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4D1FBA" w:rsidRDefault="000D0924" w:rsidP="004D1FBA">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Hawaii Department of Transportation</w:t>
      </w:r>
      <w:r w:rsidR="005B389A">
        <w:rPr>
          <w:b/>
          <w:sz w:val="32"/>
        </w:rPr>
        <w:t xml:space="preserve"> </w:t>
      </w:r>
      <w:r w:rsidR="004D1FBA">
        <w:rPr>
          <w:b/>
          <w:sz w:val="32"/>
        </w:rPr>
        <w:t>(</w:t>
      </w:r>
      <w:r w:rsidR="00B60A72">
        <w:rPr>
          <w:b/>
          <w:sz w:val="32"/>
        </w:rPr>
        <w:t>HDOT</w:t>
      </w:r>
      <w:r w:rsidR="004D1FBA">
        <w:rPr>
          <w:b/>
          <w:sz w:val="32"/>
        </w:rPr>
        <w:t>)</w:t>
      </w:r>
    </w:p>
    <w:p w:rsidR="00F80A8D" w:rsidRDefault="000D0924" w:rsidP="004D1FBA">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Honolulu, Hawaii</w:t>
      </w:r>
    </w:p>
    <w:p w:rsidR="00F80A8D" w:rsidRDefault="00F80A8D">
      <w:pPr>
        <w:spacing w:line="480" w:lineRule="auto"/>
        <w:jc w:val="center"/>
        <w:rPr>
          <w:b/>
          <w:sz w:val="28"/>
        </w:rPr>
      </w:pPr>
    </w:p>
    <w:p w:rsidR="00F80A8D" w:rsidRDefault="003E2498">
      <w:pPr>
        <w:spacing w:line="480" w:lineRule="auto"/>
        <w:jc w:val="center"/>
        <w:rPr>
          <w:b/>
          <w:sz w:val="28"/>
        </w:rPr>
      </w:pPr>
      <w:r>
        <w:rPr>
          <w:b/>
          <w:sz w:val="28"/>
        </w:rPr>
        <w:t>Final</w:t>
      </w:r>
      <w:r w:rsidR="00F80A8D">
        <w:rPr>
          <w:b/>
          <w:sz w:val="28"/>
        </w:rPr>
        <w:t xml:space="preserve"> Report</w:t>
      </w:r>
    </w:p>
    <w:p w:rsidR="00F80A8D" w:rsidRDefault="003E2498">
      <w:pPr>
        <w:spacing w:line="480" w:lineRule="auto"/>
        <w:jc w:val="center"/>
        <w:rPr>
          <w:sz w:val="24"/>
        </w:rPr>
      </w:pPr>
      <w:r>
        <w:rPr>
          <w:b/>
          <w:sz w:val="28"/>
        </w:rPr>
        <w:t>November</w:t>
      </w:r>
      <w:r w:rsidR="00742E3B">
        <w:rPr>
          <w:b/>
          <w:sz w:val="28"/>
        </w:rPr>
        <w:t xml:space="preserve"> 2010</w:t>
      </w:r>
    </w:p>
    <w:p w:rsidR="00F80A8D" w:rsidRDefault="00F80A8D">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pPr>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694D13">
      <w:pPr>
        <w:jc w:val="center"/>
        <w:rPr>
          <w:b/>
          <w:sz w:val="28"/>
          <w:szCs w:val="28"/>
        </w:rPr>
      </w:pPr>
      <w:r>
        <w:rPr>
          <w:b/>
          <w:sz w:val="28"/>
          <w:szCs w:val="28"/>
        </w:rPr>
        <w:t>2233</w:t>
      </w:r>
      <w:r w:rsidR="00FD37A5">
        <w:rPr>
          <w:b/>
          <w:sz w:val="28"/>
          <w:szCs w:val="28"/>
        </w:rPr>
        <w:t xml:space="preserve"> </w:t>
      </w:r>
      <w:r>
        <w:rPr>
          <w:b/>
          <w:sz w:val="28"/>
          <w:szCs w:val="28"/>
        </w:rPr>
        <w:t>Wisconsin</w:t>
      </w:r>
      <w:r w:rsidR="00FD37A5">
        <w:rPr>
          <w:b/>
          <w:sz w:val="28"/>
          <w:szCs w:val="28"/>
        </w:rPr>
        <w:t xml:space="preserve"> Avenue NW</w:t>
      </w:r>
    </w:p>
    <w:p w:rsidR="00694D13" w:rsidRDefault="00694D13">
      <w:pPr>
        <w:jc w:val="center"/>
        <w:rPr>
          <w:b/>
          <w:sz w:val="28"/>
          <w:szCs w:val="28"/>
        </w:rPr>
      </w:pPr>
      <w:r>
        <w:rPr>
          <w:b/>
          <w:sz w:val="28"/>
          <w:szCs w:val="28"/>
        </w:rPr>
        <w:t>Suite 405</w:t>
      </w:r>
    </w:p>
    <w:p w:rsidR="00F80A8D" w:rsidRDefault="00FD37A5">
      <w:pPr>
        <w:jc w:val="center"/>
        <w:rPr>
          <w:b/>
          <w:sz w:val="28"/>
          <w:szCs w:val="28"/>
        </w:rPr>
      </w:pPr>
      <w:r>
        <w:rPr>
          <w:b/>
          <w:sz w:val="28"/>
          <w:szCs w:val="28"/>
        </w:rPr>
        <w:t>Washington</w:t>
      </w:r>
      <w:r w:rsidR="00F80A8D">
        <w:rPr>
          <w:b/>
          <w:sz w:val="28"/>
          <w:szCs w:val="28"/>
        </w:rPr>
        <w:t xml:space="preserve">, </w:t>
      </w:r>
      <w:r>
        <w:rPr>
          <w:b/>
          <w:sz w:val="28"/>
          <w:szCs w:val="28"/>
        </w:rPr>
        <w:t>DC</w:t>
      </w:r>
      <w:r w:rsidR="00F80A8D">
        <w:rPr>
          <w:b/>
          <w:sz w:val="28"/>
          <w:szCs w:val="28"/>
        </w:rPr>
        <w:t xml:space="preserve"> 20</w:t>
      </w:r>
      <w:r>
        <w:rPr>
          <w:b/>
          <w:sz w:val="28"/>
          <w:szCs w:val="28"/>
        </w:rPr>
        <w:t>0</w:t>
      </w:r>
      <w:r w:rsidR="00694D13">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6D5BDB" w:rsidRDefault="00CB4B37">
      <w:pPr>
        <w:pStyle w:val="TOC1"/>
        <w:rPr>
          <w:rFonts w:ascii="Calibri" w:hAnsi="Calibri"/>
          <w:b w:val="0"/>
          <w:sz w:val="22"/>
          <w:szCs w:val="22"/>
        </w:rPr>
      </w:pPr>
      <w:r w:rsidRPr="00CB4B37">
        <w:rPr>
          <w:sz w:val="28"/>
          <w:szCs w:val="28"/>
        </w:rPr>
        <w:fldChar w:fldCharType="begin"/>
      </w:r>
      <w:r w:rsidR="004D1FBA">
        <w:rPr>
          <w:sz w:val="28"/>
          <w:szCs w:val="28"/>
        </w:rPr>
        <w:instrText xml:space="preserve"> TOC \o "1-2" </w:instrText>
      </w:r>
      <w:r w:rsidRPr="00CB4B37">
        <w:rPr>
          <w:sz w:val="28"/>
          <w:szCs w:val="28"/>
        </w:rPr>
        <w:fldChar w:fldCharType="separate"/>
      </w:r>
      <w:r w:rsidR="006D5BDB" w:rsidRPr="00747051">
        <w:t>I.</w:t>
      </w:r>
      <w:r w:rsidR="006D5BDB">
        <w:rPr>
          <w:rFonts w:ascii="Calibri" w:hAnsi="Calibri"/>
          <w:b w:val="0"/>
          <w:sz w:val="22"/>
          <w:szCs w:val="22"/>
        </w:rPr>
        <w:tab/>
      </w:r>
      <w:r w:rsidR="006D5BDB">
        <w:t>GENERAL INFORMATION</w:t>
      </w:r>
      <w:r w:rsidR="006D5BDB">
        <w:tab/>
      </w:r>
      <w:r w:rsidR="006D5BDB">
        <w:fldChar w:fldCharType="begin"/>
      </w:r>
      <w:r w:rsidR="006D5BDB">
        <w:instrText xml:space="preserve"> PAGEREF _Toc272221031 \h </w:instrText>
      </w:r>
      <w:r w:rsidR="006D5BDB">
        <w:fldChar w:fldCharType="separate"/>
      </w:r>
      <w:r w:rsidR="009A09A8">
        <w:t>1</w:t>
      </w:r>
      <w:r w:rsidR="006D5BDB">
        <w:fldChar w:fldCharType="end"/>
      </w:r>
    </w:p>
    <w:p w:rsidR="006D5BDB" w:rsidRDefault="006D5BDB">
      <w:pPr>
        <w:pStyle w:val="TOC1"/>
        <w:rPr>
          <w:rFonts w:ascii="Calibri" w:hAnsi="Calibri"/>
          <w:b w:val="0"/>
          <w:sz w:val="22"/>
          <w:szCs w:val="22"/>
        </w:rPr>
      </w:pPr>
      <w:r w:rsidRPr="00747051">
        <w:t>II.</w:t>
      </w:r>
      <w:r>
        <w:rPr>
          <w:rFonts w:ascii="Calibri" w:hAnsi="Calibri"/>
          <w:b w:val="0"/>
          <w:sz w:val="22"/>
          <w:szCs w:val="22"/>
        </w:rPr>
        <w:tab/>
      </w:r>
      <w:r>
        <w:t>JURISDICTION AND AUTHORITIES</w:t>
      </w:r>
      <w:r>
        <w:tab/>
      </w:r>
      <w:r>
        <w:fldChar w:fldCharType="begin"/>
      </w:r>
      <w:r>
        <w:instrText xml:space="preserve"> PAGEREF _Toc272221032 \h </w:instrText>
      </w:r>
      <w:r>
        <w:fldChar w:fldCharType="separate"/>
      </w:r>
      <w:r w:rsidR="009A09A8">
        <w:t>2</w:t>
      </w:r>
      <w:r>
        <w:fldChar w:fldCharType="end"/>
      </w:r>
    </w:p>
    <w:p w:rsidR="006D5BDB" w:rsidRDefault="006D5BDB">
      <w:pPr>
        <w:pStyle w:val="TOC1"/>
        <w:rPr>
          <w:rFonts w:ascii="Calibri" w:hAnsi="Calibri"/>
          <w:b w:val="0"/>
          <w:sz w:val="22"/>
          <w:szCs w:val="22"/>
        </w:rPr>
      </w:pPr>
      <w:r w:rsidRPr="00747051">
        <w:t>III.</w:t>
      </w:r>
      <w:r>
        <w:rPr>
          <w:rFonts w:ascii="Calibri" w:hAnsi="Calibri"/>
          <w:b w:val="0"/>
          <w:sz w:val="22"/>
          <w:szCs w:val="22"/>
        </w:rPr>
        <w:tab/>
      </w:r>
      <w:r>
        <w:t>PURPOSE AND OBJECTIVES</w:t>
      </w:r>
      <w:r>
        <w:tab/>
      </w:r>
      <w:r>
        <w:fldChar w:fldCharType="begin"/>
      </w:r>
      <w:r>
        <w:instrText xml:space="preserve"> PAGEREF _Toc272221033 \h </w:instrText>
      </w:r>
      <w:r>
        <w:fldChar w:fldCharType="separate"/>
      </w:r>
      <w:r w:rsidR="009A09A8">
        <w:t>3</w:t>
      </w:r>
      <w:r>
        <w:fldChar w:fldCharType="end"/>
      </w:r>
    </w:p>
    <w:p w:rsidR="006D5BDB" w:rsidRDefault="006D5BDB">
      <w:pPr>
        <w:pStyle w:val="TOC1"/>
        <w:rPr>
          <w:rFonts w:ascii="Calibri" w:hAnsi="Calibri"/>
          <w:b w:val="0"/>
          <w:sz w:val="22"/>
          <w:szCs w:val="22"/>
        </w:rPr>
      </w:pPr>
      <w:r w:rsidRPr="00747051">
        <w:t>IV.</w:t>
      </w:r>
      <w:r>
        <w:rPr>
          <w:rFonts w:ascii="Calibri" w:hAnsi="Calibri"/>
          <w:b w:val="0"/>
          <w:sz w:val="22"/>
          <w:szCs w:val="22"/>
        </w:rPr>
        <w:tab/>
      </w:r>
      <w:r>
        <w:t>BACKGROUND INFORMATION</w:t>
      </w:r>
      <w:r>
        <w:tab/>
      </w:r>
      <w:r>
        <w:fldChar w:fldCharType="begin"/>
      </w:r>
      <w:r>
        <w:instrText xml:space="preserve"> PAGEREF _Toc272221034 \h </w:instrText>
      </w:r>
      <w:r>
        <w:fldChar w:fldCharType="separate"/>
      </w:r>
      <w:r w:rsidR="009A09A8">
        <w:t>5</w:t>
      </w:r>
      <w:r>
        <w:fldChar w:fldCharType="end"/>
      </w:r>
    </w:p>
    <w:p w:rsidR="006D5BDB" w:rsidRDefault="006D5BDB">
      <w:pPr>
        <w:pStyle w:val="TOC1"/>
        <w:rPr>
          <w:rFonts w:ascii="Calibri" w:hAnsi="Calibri"/>
          <w:b w:val="0"/>
          <w:sz w:val="22"/>
          <w:szCs w:val="22"/>
        </w:rPr>
      </w:pPr>
      <w:r w:rsidRPr="00747051">
        <w:t>V.</w:t>
      </w:r>
      <w:r>
        <w:rPr>
          <w:rFonts w:ascii="Calibri" w:hAnsi="Calibri"/>
          <w:b w:val="0"/>
          <w:sz w:val="22"/>
          <w:szCs w:val="22"/>
        </w:rPr>
        <w:tab/>
      </w:r>
      <w:r>
        <w:t>SCOPE AND METHODOLOGY</w:t>
      </w:r>
      <w:r>
        <w:tab/>
      </w:r>
      <w:r>
        <w:fldChar w:fldCharType="begin"/>
      </w:r>
      <w:r>
        <w:instrText xml:space="preserve"> PAGEREF _Toc272221035 \h </w:instrText>
      </w:r>
      <w:r>
        <w:fldChar w:fldCharType="separate"/>
      </w:r>
      <w:r w:rsidR="009A09A8">
        <w:t>11</w:t>
      </w:r>
      <w:r>
        <w:fldChar w:fldCharType="end"/>
      </w:r>
    </w:p>
    <w:p w:rsidR="006D5BDB" w:rsidRDefault="006D5BDB">
      <w:pPr>
        <w:pStyle w:val="TOC1"/>
        <w:rPr>
          <w:rFonts w:ascii="Calibri" w:hAnsi="Calibri"/>
          <w:b w:val="0"/>
          <w:sz w:val="22"/>
          <w:szCs w:val="22"/>
        </w:rPr>
      </w:pPr>
      <w:r w:rsidRPr="00747051">
        <w:t xml:space="preserve">VI. </w:t>
      </w:r>
      <w:r>
        <w:rPr>
          <w:rFonts w:ascii="Calibri" w:hAnsi="Calibri"/>
          <w:b w:val="0"/>
          <w:sz w:val="22"/>
          <w:szCs w:val="22"/>
        </w:rPr>
        <w:tab/>
      </w:r>
      <w:r>
        <w:t>FINDINGS AND RECOMMENDATIONS</w:t>
      </w:r>
      <w:r>
        <w:tab/>
      </w:r>
      <w:r>
        <w:fldChar w:fldCharType="begin"/>
      </w:r>
      <w:r>
        <w:instrText xml:space="preserve"> PAGEREF _Toc272221036 \h </w:instrText>
      </w:r>
      <w:r>
        <w:fldChar w:fldCharType="separate"/>
      </w:r>
      <w:r w:rsidR="009A09A8">
        <w:t>19</w:t>
      </w:r>
      <w:r>
        <w:fldChar w:fldCharType="end"/>
      </w:r>
    </w:p>
    <w:p w:rsidR="006D5BDB" w:rsidRDefault="006D5BDB">
      <w:pPr>
        <w:pStyle w:val="TOC2"/>
        <w:rPr>
          <w:rFonts w:ascii="Calibri" w:hAnsi="Calibri"/>
          <w:sz w:val="22"/>
          <w:szCs w:val="22"/>
        </w:rPr>
      </w:pPr>
      <w:r w:rsidRPr="00747051">
        <w:t>1.</w:t>
      </w:r>
      <w:r>
        <w:rPr>
          <w:rFonts w:ascii="Calibri" w:hAnsi="Calibri"/>
          <w:sz w:val="22"/>
          <w:szCs w:val="22"/>
        </w:rPr>
        <w:tab/>
      </w:r>
      <w:r>
        <w:t>Inclusive Public Participation</w:t>
      </w:r>
      <w:r>
        <w:tab/>
      </w:r>
      <w:r>
        <w:fldChar w:fldCharType="begin"/>
      </w:r>
      <w:r>
        <w:instrText xml:space="preserve"> PAGEREF _Toc272221037 \h </w:instrText>
      </w:r>
      <w:r>
        <w:fldChar w:fldCharType="separate"/>
      </w:r>
      <w:r w:rsidR="009A09A8">
        <w:t>20</w:t>
      </w:r>
      <w:r>
        <w:fldChar w:fldCharType="end"/>
      </w:r>
    </w:p>
    <w:p w:rsidR="006D5BDB" w:rsidRDefault="006D5BDB">
      <w:pPr>
        <w:pStyle w:val="TOC2"/>
        <w:rPr>
          <w:rFonts w:ascii="Calibri" w:hAnsi="Calibri"/>
          <w:sz w:val="22"/>
          <w:szCs w:val="22"/>
        </w:rPr>
      </w:pPr>
      <w:r w:rsidRPr="00747051">
        <w:t>2.</w:t>
      </w:r>
      <w:r>
        <w:rPr>
          <w:rFonts w:ascii="Calibri" w:hAnsi="Calibri"/>
          <w:sz w:val="22"/>
          <w:szCs w:val="22"/>
        </w:rPr>
        <w:tab/>
      </w:r>
      <w:r>
        <w:t>Language Access to LEP Persons</w:t>
      </w:r>
      <w:r>
        <w:tab/>
      </w:r>
      <w:r>
        <w:fldChar w:fldCharType="begin"/>
      </w:r>
      <w:r>
        <w:instrText xml:space="preserve"> PAGEREF _Toc272221038 \h </w:instrText>
      </w:r>
      <w:r>
        <w:fldChar w:fldCharType="separate"/>
      </w:r>
      <w:r w:rsidR="009A09A8">
        <w:t>24</w:t>
      </w:r>
      <w:r>
        <w:fldChar w:fldCharType="end"/>
      </w:r>
    </w:p>
    <w:p w:rsidR="006D5BDB" w:rsidRDefault="006D5BDB">
      <w:pPr>
        <w:pStyle w:val="TOC2"/>
        <w:rPr>
          <w:rFonts w:ascii="Calibri" w:hAnsi="Calibri"/>
          <w:sz w:val="22"/>
          <w:szCs w:val="22"/>
        </w:rPr>
      </w:pPr>
      <w:r w:rsidRPr="00747051">
        <w:t>3.</w:t>
      </w:r>
      <w:r>
        <w:rPr>
          <w:rFonts w:ascii="Calibri" w:hAnsi="Calibri"/>
          <w:sz w:val="22"/>
          <w:szCs w:val="22"/>
        </w:rPr>
        <w:tab/>
      </w:r>
      <w:r>
        <w:t>Title VI Complaint Procedures</w:t>
      </w:r>
      <w:r>
        <w:tab/>
      </w:r>
      <w:r>
        <w:fldChar w:fldCharType="begin"/>
      </w:r>
      <w:r>
        <w:instrText xml:space="preserve"> PAGEREF _Toc272221039 \h </w:instrText>
      </w:r>
      <w:r>
        <w:fldChar w:fldCharType="separate"/>
      </w:r>
      <w:r w:rsidR="009A09A8">
        <w:t>26</w:t>
      </w:r>
      <w:r>
        <w:fldChar w:fldCharType="end"/>
      </w:r>
    </w:p>
    <w:p w:rsidR="006D5BDB" w:rsidRDefault="006D5BDB">
      <w:pPr>
        <w:pStyle w:val="TOC2"/>
        <w:rPr>
          <w:rFonts w:ascii="Calibri" w:hAnsi="Calibri"/>
          <w:sz w:val="22"/>
          <w:szCs w:val="22"/>
        </w:rPr>
      </w:pPr>
      <w:r w:rsidRPr="00747051">
        <w:t>4.</w:t>
      </w:r>
      <w:r>
        <w:rPr>
          <w:rFonts w:ascii="Calibri" w:hAnsi="Calibri"/>
          <w:sz w:val="22"/>
          <w:szCs w:val="22"/>
        </w:rPr>
        <w:tab/>
      </w:r>
      <w:r>
        <w:t>Record of Title VI Investigations, Complaints, and Lawsuits</w:t>
      </w:r>
      <w:r>
        <w:tab/>
      </w:r>
      <w:r>
        <w:fldChar w:fldCharType="begin"/>
      </w:r>
      <w:r>
        <w:instrText xml:space="preserve"> PAGEREF _Toc272221040 \h </w:instrText>
      </w:r>
      <w:r>
        <w:fldChar w:fldCharType="separate"/>
      </w:r>
      <w:r w:rsidR="009A09A8">
        <w:t>30</w:t>
      </w:r>
      <w:r>
        <w:fldChar w:fldCharType="end"/>
      </w:r>
    </w:p>
    <w:p w:rsidR="006D5BDB" w:rsidRDefault="006D5BDB">
      <w:pPr>
        <w:pStyle w:val="TOC2"/>
        <w:rPr>
          <w:rFonts w:ascii="Calibri" w:hAnsi="Calibri"/>
          <w:sz w:val="22"/>
          <w:szCs w:val="22"/>
        </w:rPr>
      </w:pPr>
      <w:r w:rsidRPr="00747051">
        <w:t>5.</w:t>
      </w:r>
      <w:r>
        <w:rPr>
          <w:rFonts w:ascii="Calibri" w:hAnsi="Calibri"/>
          <w:sz w:val="22"/>
          <w:szCs w:val="22"/>
        </w:rPr>
        <w:tab/>
      </w:r>
      <w:r>
        <w:t>Notice to Beneficiaries of Protection Under Title VI</w:t>
      </w:r>
      <w:r>
        <w:tab/>
      </w:r>
      <w:r>
        <w:fldChar w:fldCharType="begin"/>
      </w:r>
      <w:r>
        <w:instrText xml:space="preserve"> PAGEREF _Toc272221041 \h </w:instrText>
      </w:r>
      <w:r>
        <w:fldChar w:fldCharType="separate"/>
      </w:r>
      <w:r w:rsidR="009A09A8">
        <w:t>30</w:t>
      </w:r>
      <w:r>
        <w:fldChar w:fldCharType="end"/>
      </w:r>
    </w:p>
    <w:p w:rsidR="006D5BDB" w:rsidRDefault="006D5BDB">
      <w:pPr>
        <w:pStyle w:val="TOC2"/>
        <w:rPr>
          <w:rFonts w:ascii="Calibri" w:hAnsi="Calibri"/>
          <w:sz w:val="22"/>
          <w:szCs w:val="22"/>
        </w:rPr>
      </w:pPr>
      <w:r w:rsidRPr="00747051">
        <w:t>6.</w:t>
      </w:r>
      <w:r>
        <w:rPr>
          <w:rFonts w:ascii="Calibri" w:hAnsi="Calibri"/>
          <w:sz w:val="22"/>
          <w:szCs w:val="22"/>
        </w:rPr>
        <w:tab/>
      </w:r>
      <w:r>
        <w:t>Annual Title VI Certification and Assurance</w:t>
      </w:r>
      <w:r>
        <w:tab/>
      </w:r>
      <w:r>
        <w:fldChar w:fldCharType="begin"/>
      </w:r>
      <w:r>
        <w:instrText xml:space="preserve"> PAGEREF _Toc272221042 \h </w:instrText>
      </w:r>
      <w:r>
        <w:fldChar w:fldCharType="separate"/>
      </w:r>
      <w:r w:rsidR="009A09A8">
        <w:t>32</w:t>
      </w:r>
      <w:r>
        <w:fldChar w:fldCharType="end"/>
      </w:r>
    </w:p>
    <w:p w:rsidR="006D5BDB" w:rsidRDefault="006D5BDB">
      <w:pPr>
        <w:pStyle w:val="TOC2"/>
        <w:rPr>
          <w:rFonts w:ascii="Calibri" w:hAnsi="Calibri"/>
          <w:sz w:val="22"/>
          <w:szCs w:val="22"/>
        </w:rPr>
      </w:pPr>
      <w:r w:rsidRPr="00747051">
        <w:t>7.</w:t>
      </w:r>
      <w:r>
        <w:rPr>
          <w:rFonts w:ascii="Calibri" w:hAnsi="Calibri"/>
          <w:sz w:val="22"/>
          <w:szCs w:val="22"/>
        </w:rPr>
        <w:tab/>
      </w:r>
      <w:r>
        <w:t>Environmental Justice Analysis of Construction Projects</w:t>
      </w:r>
      <w:r>
        <w:tab/>
      </w:r>
      <w:r>
        <w:fldChar w:fldCharType="begin"/>
      </w:r>
      <w:r>
        <w:instrText xml:space="preserve"> PAGEREF _Toc272221043 \h </w:instrText>
      </w:r>
      <w:r>
        <w:fldChar w:fldCharType="separate"/>
      </w:r>
      <w:r w:rsidR="009A09A8">
        <w:t>33</w:t>
      </w:r>
      <w:r>
        <w:fldChar w:fldCharType="end"/>
      </w:r>
    </w:p>
    <w:p w:rsidR="006D5BDB" w:rsidRDefault="006D5BDB">
      <w:pPr>
        <w:pStyle w:val="TOC2"/>
        <w:rPr>
          <w:rFonts w:ascii="Calibri" w:hAnsi="Calibri"/>
          <w:sz w:val="22"/>
          <w:szCs w:val="22"/>
        </w:rPr>
      </w:pPr>
      <w:r w:rsidRPr="00747051">
        <w:t>8.</w:t>
      </w:r>
      <w:r>
        <w:rPr>
          <w:rFonts w:ascii="Calibri" w:hAnsi="Calibri"/>
          <w:sz w:val="22"/>
          <w:szCs w:val="22"/>
        </w:rPr>
        <w:tab/>
      </w:r>
      <w:r>
        <w:t>Submit Title VI Program</w:t>
      </w:r>
      <w:r>
        <w:tab/>
      </w:r>
      <w:r>
        <w:fldChar w:fldCharType="begin"/>
      </w:r>
      <w:r>
        <w:instrText xml:space="preserve"> PAGEREF _Toc272221044 \h </w:instrText>
      </w:r>
      <w:r>
        <w:fldChar w:fldCharType="separate"/>
      </w:r>
      <w:r w:rsidR="009A09A8">
        <w:t>35</w:t>
      </w:r>
      <w:r>
        <w:fldChar w:fldCharType="end"/>
      </w:r>
    </w:p>
    <w:p w:rsidR="006D5BDB" w:rsidRDefault="006D5BDB">
      <w:pPr>
        <w:pStyle w:val="TOC2"/>
        <w:rPr>
          <w:rFonts w:ascii="Calibri" w:hAnsi="Calibri"/>
          <w:sz w:val="22"/>
          <w:szCs w:val="22"/>
        </w:rPr>
      </w:pPr>
      <w:r w:rsidRPr="00747051">
        <w:t>9.</w:t>
      </w:r>
      <w:r>
        <w:rPr>
          <w:rFonts w:ascii="Calibri" w:hAnsi="Calibri"/>
          <w:sz w:val="22"/>
          <w:szCs w:val="22"/>
        </w:rPr>
        <w:tab/>
      </w:r>
      <w:r>
        <w:t>Statewide Planning Activities</w:t>
      </w:r>
      <w:r>
        <w:tab/>
      </w:r>
      <w:r>
        <w:fldChar w:fldCharType="begin"/>
      </w:r>
      <w:r>
        <w:instrText xml:space="preserve"> PAGEREF _Toc272221045 \h </w:instrText>
      </w:r>
      <w:r>
        <w:fldChar w:fldCharType="separate"/>
      </w:r>
      <w:r w:rsidR="009A09A8">
        <w:t>37</w:t>
      </w:r>
      <w:r>
        <w:fldChar w:fldCharType="end"/>
      </w:r>
    </w:p>
    <w:p w:rsidR="006D5BDB" w:rsidRDefault="006D5BDB">
      <w:pPr>
        <w:pStyle w:val="TOC2"/>
        <w:rPr>
          <w:rFonts w:ascii="Calibri" w:hAnsi="Calibri"/>
          <w:sz w:val="22"/>
          <w:szCs w:val="22"/>
        </w:rPr>
      </w:pPr>
      <w:r w:rsidRPr="00747051">
        <w:t>10.</w:t>
      </w:r>
      <w:r>
        <w:rPr>
          <w:rFonts w:ascii="Calibri" w:hAnsi="Calibri"/>
          <w:sz w:val="22"/>
          <w:szCs w:val="22"/>
        </w:rPr>
        <w:tab/>
      </w:r>
      <w:r>
        <w:t>Program Administration</w:t>
      </w:r>
      <w:r>
        <w:tab/>
      </w:r>
      <w:r>
        <w:fldChar w:fldCharType="begin"/>
      </w:r>
      <w:r>
        <w:instrText xml:space="preserve"> PAGEREF _Toc272221046 \h </w:instrText>
      </w:r>
      <w:r>
        <w:fldChar w:fldCharType="separate"/>
      </w:r>
      <w:r w:rsidR="009A09A8">
        <w:t>39</w:t>
      </w:r>
      <w:r>
        <w:fldChar w:fldCharType="end"/>
      </w:r>
    </w:p>
    <w:p w:rsidR="006D5BDB" w:rsidRDefault="006D5BDB">
      <w:pPr>
        <w:pStyle w:val="TOC2"/>
        <w:rPr>
          <w:rFonts w:ascii="Calibri" w:hAnsi="Calibri"/>
          <w:sz w:val="22"/>
          <w:szCs w:val="22"/>
        </w:rPr>
      </w:pPr>
      <w:r w:rsidRPr="00747051">
        <w:t>11.</w:t>
      </w:r>
      <w:r>
        <w:rPr>
          <w:rFonts w:ascii="Calibri" w:hAnsi="Calibri"/>
          <w:sz w:val="22"/>
          <w:szCs w:val="22"/>
        </w:rPr>
        <w:tab/>
      </w:r>
      <w:r>
        <w:t>Providing Assistance to Subrecipients</w:t>
      </w:r>
      <w:r>
        <w:tab/>
      </w:r>
      <w:r>
        <w:fldChar w:fldCharType="begin"/>
      </w:r>
      <w:r>
        <w:instrText xml:space="preserve"> PAGEREF _Toc272221047 \h </w:instrText>
      </w:r>
      <w:r>
        <w:fldChar w:fldCharType="separate"/>
      </w:r>
      <w:r w:rsidR="009A09A8">
        <w:t>41</w:t>
      </w:r>
      <w:r>
        <w:fldChar w:fldCharType="end"/>
      </w:r>
    </w:p>
    <w:p w:rsidR="006D5BDB" w:rsidRDefault="006D5BDB">
      <w:pPr>
        <w:pStyle w:val="TOC2"/>
        <w:rPr>
          <w:rFonts w:ascii="Calibri" w:hAnsi="Calibri"/>
          <w:sz w:val="22"/>
          <w:szCs w:val="22"/>
        </w:rPr>
      </w:pPr>
      <w:r w:rsidRPr="00747051">
        <w:t>12.</w:t>
      </w:r>
      <w:r>
        <w:rPr>
          <w:rFonts w:ascii="Calibri" w:hAnsi="Calibri"/>
          <w:sz w:val="22"/>
          <w:szCs w:val="22"/>
        </w:rPr>
        <w:tab/>
      </w:r>
      <w:r>
        <w:t>Monitoring Subrecipients</w:t>
      </w:r>
      <w:r>
        <w:tab/>
      </w:r>
      <w:r>
        <w:fldChar w:fldCharType="begin"/>
      </w:r>
      <w:r>
        <w:instrText xml:space="preserve"> PAGEREF _Toc272221048 \h </w:instrText>
      </w:r>
      <w:r>
        <w:fldChar w:fldCharType="separate"/>
      </w:r>
      <w:r w:rsidR="009A09A8">
        <w:t>42</w:t>
      </w:r>
      <w:r>
        <w:fldChar w:fldCharType="end"/>
      </w:r>
    </w:p>
    <w:p w:rsidR="006D5BDB" w:rsidRDefault="006D5BDB">
      <w:pPr>
        <w:pStyle w:val="TOC1"/>
        <w:rPr>
          <w:rFonts w:ascii="Calibri" w:hAnsi="Calibri"/>
          <w:b w:val="0"/>
          <w:sz w:val="22"/>
          <w:szCs w:val="22"/>
        </w:rPr>
      </w:pPr>
      <w:r w:rsidRPr="00747051">
        <w:t>VII.</w:t>
      </w:r>
      <w:r>
        <w:rPr>
          <w:rFonts w:ascii="Calibri" w:hAnsi="Calibri"/>
          <w:b w:val="0"/>
          <w:sz w:val="22"/>
          <w:szCs w:val="22"/>
        </w:rPr>
        <w:tab/>
      </w:r>
      <w:r>
        <w:t>SUMMARY OF FINDINGS AND CORRECTIVE ACTIONS</w:t>
      </w:r>
      <w:r>
        <w:tab/>
      </w:r>
      <w:r>
        <w:fldChar w:fldCharType="begin"/>
      </w:r>
      <w:r>
        <w:instrText xml:space="preserve"> PAGEREF _Toc272221049 \h </w:instrText>
      </w:r>
      <w:r>
        <w:fldChar w:fldCharType="separate"/>
      </w:r>
      <w:r w:rsidR="009A09A8">
        <w:t>44</w:t>
      </w:r>
      <w:r>
        <w:fldChar w:fldCharType="end"/>
      </w:r>
    </w:p>
    <w:p w:rsidR="006D5BDB" w:rsidRDefault="006D5BDB">
      <w:pPr>
        <w:pStyle w:val="TOC1"/>
        <w:rPr>
          <w:rFonts w:ascii="Calibri" w:hAnsi="Calibri"/>
          <w:b w:val="0"/>
          <w:sz w:val="22"/>
          <w:szCs w:val="22"/>
        </w:rPr>
      </w:pPr>
      <w:r w:rsidRPr="00747051">
        <w:t>VIII.</w:t>
      </w:r>
      <w:r>
        <w:rPr>
          <w:rFonts w:ascii="Calibri" w:hAnsi="Calibri"/>
          <w:b w:val="0"/>
          <w:sz w:val="22"/>
          <w:szCs w:val="22"/>
        </w:rPr>
        <w:tab/>
      </w:r>
      <w:r>
        <w:t>ATTENDEES</w:t>
      </w:r>
      <w:r>
        <w:tab/>
      </w:r>
      <w:r>
        <w:fldChar w:fldCharType="begin"/>
      </w:r>
      <w:r>
        <w:instrText xml:space="preserve"> PAGEREF _Toc272221050 \h </w:instrText>
      </w:r>
      <w:r>
        <w:fldChar w:fldCharType="separate"/>
      </w:r>
      <w:r w:rsidR="009A09A8">
        <w:t>48</w:t>
      </w:r>
      <w:r>
        <w:fldChar w:fldCharType="end"/>
      </w:r>
    </w:p>
    <w:p w:rsidR="00F80A8D" w:rsidRDefault="00CB4B37" w:rsidP="009A52A0">
      <w:pPr>
        <w:pStyle w:val="TOC1"/>
        <w:sectPr w:rsidR="00F80A8D">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r>
        <w:fldChar w:fldCharType="end"/>
      </w:r>
    </w:p>
    <w:p w:rsidR="00F80A8D" w:rsidRDefault="00F80A8D">
      <w:pPr>
        <w:pStyle w:val="BHLevel1"/>
        <w:rPr>
          <w:sz w:val="28"/>
          <w:szCs w:val="28"/>
        </w:rPr>
      </w:pPr>
      <w:bookmarkStart w:id="0" w:name="_Toc106790237"/>
      <w:bookmarkStart w:id="1" w:name="_Toc272221031"/>
      <w:r>
        <w:rPr>
          <w:sz w:val="28"/>
          <w:szCs w:val="28"/>
        </w:rPr>
        <w:lastRenderedPageBreak/>
        <w:t>GENERAL INFORMATION</w:t>
      </w:r>
      <w:bookmarkEnd w:id="0"/>
      <w:bookmarkEnd w:id="1"/>
    </w:p>
    <w:p w:rsidR="00F80A8D" w:rsidRDefault="00F80A8D">
      <w:pPr>
        <w:ind w:left="2880" w:hanging="2880"/>
        <w:rPr>
          <w:sz w:val="28"/>
          <w:szCs w:val="28"/>
        </w:rPr>
      </w:pPr>
      <w:r>
        <w:rPr>
          <w:sz w:val="28"/>
        </w:rPr>
        <w:t>Grant Recipient:</w:t>
      </w:r>
      <w:r>
        <w:rPr>
          <w:sz w:val="28"/>
        </w:rPr>
        <w:tab/>
      </w:r>
      <w:r w:rsidR="000D0924">
        <w:rPr>
          <w:sz w:val="28"/>
          <w:szCs w:val="28"/>
        </w:rPr>
        <w:t>Hawaii Department of Transportation</w:t>
      </w:r>
      <w:r w:rsidR="005B389A">
        <w:rPr>
          <w:sz w:val="28"/>
          <w:szCs w:val="28"/>
        </w:rPr>
        <w:t xml:space="preserve"> (</w:t>
      </w:r>
      <w:r w:rsidR="00B60A72">
        <w:rPr>
          <w:sz w:val="28"/>
          <w:szCs w:val="28"/>
        </w:rPr>
        <w:t>HDOT</w:t>
      </w:r>
      <w:r w:rsidR="005B389A">
        <w:rPr>
          <w:sz w:val="28"/>
          <w:szCs w:val="28"/>
        </w:rPr>
        <w:t>)</w:t>
      </w:r>
    </w:p>
    <w:p w:rsidR="00F80A8D" w:rsidRDefault="00F80A8D">
      <w:pPr>
        <w:rPr>
          <w:sz w:val="28"/>
          <w:szCs w:val="28"/>
        </w:rPr>
      </w:pPr>
    </w:p>
    <w:p w:rsidR="005B389A" w:rsidRDefault="00F80A8D" w:rsidP="005B389A">
      <w:pPr>
        <w:pStyle w:val="NumberList"/>
        <w:rPr>
          <w:noProof w:val="0"/>
          <w:sz w:val="28"/>
        </w:rPr>
      </w:pPr>
      <w:r>
        <w:rPr>
          <w:noProof w:val="0"/>
          <w:sz w:val="28"/>
        </w:rPr>
        <w:t>City/State:</w:t>
      </w:r>
      <w:r>
        <w:rPr>
          <w:noProof w:val="0"/>
          <w:sz w:val="28"/>
        </w:rPr>
        <w:tab/>
      </w:r>
      <w:r>
        <w:rPr>
          <w:noProof w:val="0"/>
          <w:sz w:val="28"/>
        </w:rPr>
        <w:tab/>
      </w:r>
      <w:r>
        <w:rPr>
          <w:noProof w:val="0"/>
          <w:sz w:val="28"/>
        </w:rPr>
        <w:tab/>
      </w:r>
      <w:r w:rsidR="000D0924">
        <w:rPr>
          <w:noProof w:val="0"/>
          <w:sz w:val="28"/>
        </w:rPr>
        <w:t>Honolulu, Hawaii</w:t>
      </w:r>
    </w:p>
    <w:p w:rsidR="005B389A" w:rsidRDefault="005B389A" w:rsidP="005B389A">
      <w:pPr>
        <w:rPr>
          <w:sz w:val="28"/>
        </w:rPr>
      </w:pPr>
    </w:p>
    <w:p w:rsidR="005B389A" w:rsidRDefault="005B389A" w:rsidP="005B389A">
      <w:pPr>
        <w:rPr>
          <w:sz w:val="28"/>
        </w:rPr>
      </w:pPr>
      <w:r>
        <w:rPr>
          <w:sz w:val="28"/>
        </w:rPr>
        <w:t>Grantee Number:</w:t>
      </w:r>
      <w:r>
        <w:rPr>
          <w:sz w:val="28"/>
        </w:rPr>
        <w:tab/>
      </w:r>
      <w:r>
        <w:rPr>
          <w:sz w:val="28"/>
        </w:rPr>
        <w:tab/>
        <w:t>1</w:t>
      </w:r>
      <w:r w:rsidR="000D0924">
        <w:rPr>
          <w:sz w:val="28"/>
        </w:rPr>
        <w:t>623</w:t>
      </w:r>
    </w:p>
    <w:p w:rsidR="005B389A" w:rsidRDefault="005B389A" w:rsidP="005B389A">
      <w:pPr>
        <w:rPr>
          <w:sz w:val="28"/>
        </w:rPr>
      </w:pPr>
    </w:p>
    <w:p w:rsidR="005B389A" w:rsidRDefault="005B389A" w:rsidP="005B389A">
      <w:pPr>
        <w:rPr>
          <w:rFonts w:cs="Tahoma"/>
          <w:sz w:val="28"/>
          <w:szCs w:val="28"/>
        </w:rPr>
      </w:pPr>
      <w:r>
        <w:rPr>
          <w:sz w:val="28"/>
        </w:rPr>
        <w:t xml:space="preserve">Executive Official:  </w:t>
      </w:r>
      <w:r>
        <w:rPr>
          <w:sz w:val="28"/>
        </w:rPr>
        <w:tab/>
      </w:r>
      <w:r>
        <w:rPr>
          <w:rFonts w:cs="Tahoma"/>
          <w:sz w:val="28"/>
          <w:szCs w:val="28"/>
        </w:rPr>
        <w:t>M</w:t>
      </w:r>
      <w:r w:rsidR="000D0924">
        <w:rPr>
          <w:rFonts w:cs="Tahoma"/>
          <w:sz w:val="28"/>
          <w:szCs w:val="28"/>
        </w:rPr>
        <w:t>r</w:t>
      </w:r>
      <w:r>
        <w:rPr>
          <w:rFonts w:cs="Tahoma"/>
          <w:sz w:val="28"/>
          <w:szCs w:val="28"/>
        </w:rPr>
        <w:t xml:space="preserve">. </w:t>
      </w:r>
      <w:proofErr w:type="spellStart"/>
      <w:r w:rsidR="000D0924">
        <w:rPr>
          <w:rFonts w:cs="Tahoma"/>
          <w:sz w:val="28"/>
          <w:szCs w:val="28"/>
        </w:rPr>
        <w:t>Brennon</w:t>
      </w:r>
      <w:proofErr w:type="spellEnd"/>
      <w:r w:rsidR="000D0924">
        <w:rPr>
          <w:rFonts w:cs="Tahoma"/>
          <w:sz w:val="28"/>
          <w:szCs w:val="28"/>
        </w:rPr>
        <w:t xml:space="preserve"> T. Morioka, </w:t>
      </w:r>
      <w:proofErr w:type="spellStart"/>
      <w:r w:rsidR="000D0924">
        <w:rPr>
          <w:rFonts w:cs="Tahoma"/>
          <w:sz w:val="28"/>
          <w:szCs w:val="28"/>
        </w:rPr>
        <w:t>Ph.D</w:t>
      </w:r>
      <w:proofErr w:type="spellEnd"/>
      <w:r w:rsidR="000D0924">
        <w:rPr>
          <w:rFonts w:cs="Tahoma"/>
          <w:sz w:val="28"/>
          <w:szCs w:val="28"/>
        </w:rPr>
        <w:t>, P.E.</w:t>
      </w:r>
    </w:p>
    <w:p w:rsidR="005B389A" w:rsidRDefault="000D0924" w:rsidP="005B389A">
      <w:pPr>
        <w:ind w:left="2880"/>
        <w:rPr>
          <w:rFonts w:cs="Tahoma"/>
          <w:sz w:val="28"/>
          <w:szCs w:val="28"/>
        </w:rPr>
      </w:pPr>
      <w:r>
        <w:rPr>
          <w:rFonts w:cs="Tahoma"/>
          <w:sz w:val="28"/>
          <w:szCs w:val="28"/>
        </w:rPr>
        <w:t>Director of Transportation</w:t>
      </w:r>
    </w:p>
    <w:p w:rsidR="005B389A" w:rsidRPr="005B389A" w:rsidRDefault="000D0924" w:rsidP="005B389A">
      <w:pPr>
        <w:ind w:left="2880"/>
        <w:rPr>
          <w:rFonts w:cs="Tahoma"/>
          <w:sz w:val="28"/>
          <w:szCs w:val="28"/>
        </w:rPr>
      </w:pPr>
      <w:r>
        <w:rPr>
          <w:rFonts w:cs="Tahoma"/>
          <w:sz w:val="28"/>
          <w:szCs w:val="28"/>
        </w:rPr>
        <w:t>Hawaii Department of Transportation</w:t>
      </w:r>
      <w:r w:rsidR="005B389A" w:rsidRPr="005B389A">
        <w:rPr>
          <w:rFonts w:cs="Tahoma"/>
          <w:sz w:val="28"/>
          <w:szCs w:val="28"/>
        </w:rPr>
        <w:t xml:space="preserve"> </w:t>
      </w:r>
    </w:p>
    <w:p w:rsidR="005B389A" w:rsidRPr="005B389A" w:rsidRDefault="000D0924" w:rsidP="005B389A">
      <w:pPr>
        <w:ind w:left="2880"/>
        <w:rPr>
          <w:rFonts w:cs="Tahoma"/>
          <w:sz w:val="28"/>
          <w:szCs w:val="28"/>
        </w:rPr>
      </w:pPr>
      <w:r>
        <w:rPr>
          <w:rFonts w:cs="Tahoma"/>
          <w:sz w:val="28"/>
          <w:szCs w:val="28"/>
        </w:rPr>
        <w:t>869 Punchbowl Street</w:t>
      </w:r>
    </w:p>
    <w:p w:rsidR="00F80A8D" w:rsidRPr="005B389A" w:rsidRDefault="000D0924" w:rsidP="005B389A">
      <w:pPr>
        <w:ind w:left="2880"/>
        <w:rPr>
          <w:rFonts w:cs="Tahoma"/>
          <w:sz w:val="28"/>
          <w:szCs w:val="28"/>
        </w:rPr>
      </w:pPr>
      <w:r>
        <w:rPr>
          <w:rFonts w:cs="Tahoma"/>
          <w:sz w:val="28"/>
          <w:szCs w:val="28"/>
        </w:rPr>
        <w:t>Honolulu</w:t>
      </w:r>
      <w:r w:rsidR="005B389A" w:rsidRPr="005B389A">
        <w:rPr>
          <w:rFonts w:cs="Tahoma"/>
          <w:sz w:val="28"/>
          <w:szCs w:val="28"/>
        </w:rPr>
        <w:t xml:space="preserve">, </w:t>
      </w:r>
      <w:r>
        <w:rPr>
          <w:rFonts w:cs="Tahoma"/>
          <w:sz w:val="28"/>
          <w:szCs w:val="28"/>
        </w:rPr>
        <w:t>HI 96813</w:t>
      </w:r>
    </w:p>
    <w:p w:rsidR="00F80A8D" w:rsidRDefault="00F80A8D">
      <w:pPr>
        <w:ind w:left="2880"/>
        <w:jc w:val="both"/>
        <w:rPr>
          <w:sz w:val="28"/>
          <w:szCs w:val="28"/>
        </w:rPr>
      </w:pPr>
    </w:p>
    <w:p w:rsidR="00F80A8D" w:rsidRDefault="00F80A8D">
      <w:pPr>
        <w:rPr>
          <w:sz w:val="28"/>
          <w:szCs w:val="28"/>
        </w:rPr>
      </w:pPr>
      <w:r>
        <w:rPr>
          <w:sz w:val="28"/>
          <w:szCs w:val="28"/>
        </w:rPr>
        <w:t>Report Prepared By:</w:t>
      </w:r>
      <w:r>
        <w:rPr>
          <w:sz w:val="28"/>
          <w:szCs w:val="28"/>
        </w:rPr>
        <w:tab/>
        <w:t>THE DMP GROUP, LLC</w:t>
      </w:r>
    </w:p>
    <w:p w:rsidR="00F80A8D" w:rsidRDefault="00F80A8D">
      <w:pPr>
        <w:rPr>
          <w:sz w:val="28"/>
          <w:szCs w:val="28"/>
        </w:rPr>
      </w:pPr>
      <w:r>
        <w:rPr>
          <w:sz w:val="28"/>
          <w:szCs w:val="28"/>
        </w:rPr>
        <w:tab/>
      </w:r>
      <w:r>
        <w:rPr>
          <w:sz w:val="28"/>
          <w:szCs w:val="28"/>
        </w:rPr>
        <w:tab/>
      </w:r>
      <w:r>
        <w:rPr>
          <w:sz w:val="28"/>
          <w:szCs w:val="28"/>
        </w:rPr>
        <w:tab/>
      </w:r>
      <w:r>
        <w:rPr>
          <w:sz w:val="28"/>
          <w:szCs w:val="28"/>
        </w:rPr>
        <w:tab/>
      </w:r>
      <w:r w:rsidR="00694D13">
        <w:rPr>
          <w:sz w:val="28"/>
          <w:szCs w:val="28"/>
        </w:rPr>
        <w:t>2233</w:t>
      </w:r>
      <w:r w:rsidR="00FD37A5">
        <w:rPr>
          <w:sz w:val="28"/>
          <w:szCs w:val="28"/>
        </w:rPr>
        <w:t xml:space="preserve"> </w:t>
      </w:r>
      <w:r w:rsidR="00694D13">
        <w:rPr>
          <w:sz w:val="28"/>
          <w:szCs w:val="28"/>
        </w:rPr>
        <w:t>Wisconsin</w:t>
      </w:r>
      <w:r w:rsidR="00FD37A5">
        <w:rPr>
          <w:sz w:val="28"/>
          <w:szCs w:val="28"/>
        </w:rPr>
        <w:t xml:space="preserve"> Avenue NW</w:t>
      </w:r>
    </w:p>
    <w:p w:rsidR="00694D13" w:rsidRDefault="00694D13">
      <w:pPr>
        <w:rPr>
          <w:sz w:val="28"/>
          <w:szCs w:val="28"/>
        </w:rPr>
      </w:pPr>
      <w:r>
        <w:rPr>
          <w:sz w:val="28"/>
          <w:szCs w:val="28"/>
        </w:rPr>
        <w:t xml:space="preserve">                                          Suite 405</w:t>
      </w:r>
    </w:p>
    <w:p w:rsidR="00F80A8D" w:rsidRDefault="00F80A8D">
      <w:pPr>
        <w:rPr>
          <w:sz w:val="28"/>
          <w:szCs w:val="28"/>
        </w:rPr>
      </w:pPr>
      <w:r>
        <w:rPr>
          <w:sz w:val="28"/>
          <w:szCs w:val="28"/>
        </w:rPr>
        <w:tab/>
      </w:r>
      <w:r>
        <w:rPr>
          <w:sz w:val="28"/>
          <w:szCs w:val="28"/>
        </w:rPr>
        <w:tab/>
      </w:r>
      <w:r>
        <w:rPr>
          <w:sz w:val="28"/>
          <w:szCs w:val="28"/>
        </w:rPr>
        <w:tab/>
      </w:r>
      <w:r>
        <w:rPr>
          <w:sz w:val="28"/>
          <w:szCs w:val="28"/>
        </w:rPr>
        <w:tab/>
      </w:r>
      <w:r w:rsidR="00FD37A5">
        <w:rPr>
          <w:sz w:val="28"/>
          <w:szCs w:val="28"/>
        </w:rPr>
        <w:t>Washington</w:t>
      </w:r>
      <w:r>
        <w:rPr>
          <w:sz w:val="28"/>
          <w:szCs w:val="28"/>
        </w:rPr>
        <w:t xml:space="preserve">, </w:t>
      </w:r>
      <w:r w:rsidR="00FD37A5">
        <w:rPr>
          <w:sz w:val="28"/>
          <w:szCs w:val="28"/>
        </w:rPr>
        <w:t>DC</w:t>
      </w:r>
      <w:r>
        <w:rPr>
          <w:sz w:val="28"/>
          <w:szCs w:val="28"/>
        </w:rPr>
        <w:t xml:space="preserve"> 20</w:t>
      </w:r>
      <w:r w:rsidR="00FD37A5">
        <w:rPr>
          <w:sz w:val="28"/>
          <w:szCs w:val="28"/>
        </w:rPr>
        <w:t>0</w:t>
      </w:r>
      <w:r w:rsidR="00694D13">
        <w:rPr>
          <w:sz w:val="28"/>
          <w:szCs w:val="28"/>
        </w:rPr>
        <w:t>07</w:t>
      </w:r>
    </w:p>
    <w:p w:rsidR="00F80A8D" w:rsidRDefault="00F80A8D">
      <w:pPr>
        <w:rPr>
          <w:sz w:val="28"/>
          <w:szCs w:val="28"/>
        </w:rPr>
      </w:pPr>
    </w:p>
    <w:p w:rsidR="00F80A8D" w:rsidRDefault="00F80A8D">
      <w:pPr>
        <w:rPr>
          <w:sz w:val="28"/>
          <w:szCs w:val="28"/>
        </w:rPr>
      </w:pPr>
      <w:r>
        <w:rPr>
          <w:sz w:val="28"/>
          <w:szCs w:val="28"/>
        </w:rPr>
        <w:t>Site Visit Dates:</w:t>
      </w:r>
      <w:r>
        <w:rPr>
          <w:sz w:val="28"/>
          <w:szCs w:val="28"/>
        </w:rPr>
        <w:tab/>
      </w:r>
      <w:r>
        <w:rPr>
          <w:sz w:val="28"/>
          <w:szCs w:val="28"/>
        </w:rPr>
        <w:tab/>
      </w:r>
      <w:r w:rsidR="000D0924">
        <w:rPr>
          <w:sz w:val="28"/>
          <w:szCs w:val="28"/>
        </w:rPr>
        <w:t>February</w:t>
      </w:r>
      <w:r w:rsidR="005B389A">
        <w:rPr>
          <w:sz w:val="28"/>
          <w:szCs w:val="28"/>
        </w:rPr>
        <w:t xml:space="preserve"> 1</w:t>
      </w:r>
      <w:r w:rsidR="000D0924">
        <w:rPr>
          <w:sz w:val="28"/>
          <w:szCs w:val="28"/>
        </w:rPr>
        <w:t>6</w:t>
      </w:r>
      <w:r w:rsidR="005B389A">
        <w:rPr>
          <w:sz w:val="28"/>
          <w:szCs w:val="28"/>
        </w:rPr>
        <w:t xml:space="preserve"> – 1</w:t>
      </w:r>
      <w:r w:rsidR="000D0924">
        <w:rPr>
          <w:sz w:val="28"/>
          <w:szCs w:val="28"/>
        </w:rPr>
        <w:t>9</w:t>
      </w:r>
      <w:r>
        <w:rPr>
          <w:sz w:val="28"/>
          <w:szCs w:val="28"/>
        </w:rPr>
        <w:t>, 20</w:t>
      </w:r>
      <w:r w:rsidR="000D0924">
        <w:rPr>
          <w:sz w:val="28"/>
          <w:szCs w:val="28"/>
        </w:rPr>
        <w:t>10</w:t>
      </w:r>
    </w:p>
    <w:p w:rsidR="00F80A8D" w:rsidRDefault="00F80A8D">
      <w:pPr>
        <w:rPr>
          <w:sz w:val="28"/>
          <w:szCs w:val="28"/>
        </w:rPr>
      </w:pPr>
    </w:p>
    <w:p w:rsidR="00F80A8D" w:rsidRDefault="00F80A8D">
      <w:pPr>
        <w:rPr>
          <w:sz w:val="28"/>
          <w:szCs w:val="28"/>
        </w:rPr>
      </w:pPr>
      <w:r>
        <w:rPr>
          <w:sz w:val="28"/>
          <w:szCs w:val="28"/>
        </w:rPr>
        <w:t xml:space="preserve">Compliance Review </w:t>
      </w:r>
    </w:p>
    <w:p w:rsidR="00F80A8D" w:rsidRDefault="00F80A8D">
      <w:pPr>
        <w:rPr>
          <w:sz w:val="28"/>
          <w:szCs w:val="28"/>
        </w:rPr>
      </w:pPr>
      <w:r>
        <w:rPr>
          <w:sz w:val="28"/>
          <w:szCs w:val="28"/>
        </w:rPr>
        <w:t>Team Members:</w:t>
      </w:r>
      <w:r>
        <w:rPr>
          <w:sz w:val="28"/>
          <w:szCs w:val="28"/>
        </w:rPr>
        <w:tab/>
      </w:r>
      <w:r>
        <w:rPr>
          <w:sz w:val="28"/>
          <w:szCs w:val="28"/>
        </w:rPr>
        <w:tab/>
      </w:r>
      <w:r w:rsidR="000D0924">
        <w:rPr>
          <w:sz w:val="28"/>
          <w:szCs w:val="28"/>
        </w:rPr>
        <w:t>John Potts</w:t>
      </w:r>
      <w:r>
        <w:rPr>
          <w:sz w:val="28"/>
          <w:szCs w:val="28"/>
        </w:rPr>
        <w:t>, Lead Reviewer</w:t>
      </w:r>
    </w:p>
    <w:p w:rsidR="00F80A8D" w:rsidRDefault="00F80A8D">
      <w:pPr>
        <w:ind w:left="2160" w:firstLine="720"/>
        <w:rPr>
          <w:sz w:val="28"/>
          <w:szCs w:val="28"/>
        </w:rPr>
      </w:pPr>
      <w:r>
        <w:rPr>
          <w:sz w:val="28"/>
          <w:szCs w:val="28"/>
        </w:rPr>
        <w:t xml:space="preserve">Bridgett </w:t>
      </w:r>
      <w:proofErr w:type="spellStart"/>
      <w:r>
        <w:rPr>
          <w:sz w:val="28"/>
          <w:szCs w:val="28"/>
        </w:rPr>
        <w:t>Gagné</w:t>
      </w:r>
      <w:proofErr w:type="spellEnd"/>
      <w:r>
        <w:rPr>
          <w:sz w:val="28"/>
          <w:szCs w:val="28"/>
        </w:rPr>
        <w:t>, Reviewer</w:t>
      </w:r>
    </w:p>
    <w:p w:rsidR="00F80A8D" w:rsidRDefault="00F80A8D">
      <w:pPr>
        <w:ind w:left="2160" w:firstLine="720"/>
        <w:rPr>
          <w:sz w:val="28"/>
          <w:szCs w:val="28"/>
        </w:rPr>
      </w:pPr>
      <w:r>
        <w:rPr>
          <w:sz w:val="28"/>
          <w:szCs w:val="28"/>
        </w:rPr>
        <w:t>Khalique Davis, Reviewer</w:t>
      </w:r>
    </w:p>
    <w:p w:rsidR="00F80A8D" w:rsidRDefault="00F80A8D">
      <w:pPr>
        <w:rPr>
          <w:sz w:val="28"/>
          <w:szCs w:val="28"/>
        </w:rPr>
      </w:pP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2" w:name="_Toc106790238"/>
      <w:bookmarkStart w:id="3" w:name="_Toc272221032"/>
      <w:r>
        <w:rPr>
          <w:sz w:val="28"/>
          <w:szCs w:val="28"/>
        </w:rPr>
        <w:lastRenderedPageBreak/>
        <w:t>JURISDICTION AND AUTHORITIES</w:t>
      </w:r>
      <w:bookmarkEnd w:id="2"/>
      <w:bookmarkEnd w:id="3"/>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0D0924">
        <w:rPr>
          <w:sz w:val="28"/>
          <w:szCs w:val="28"/>
        </w:rPr>
        <w:t>Hawaii Department of Transportation</w:t>
      </w:r>
      <w:r w:rsidR="005B389A">
        <w:rPr>
          <w:sz w:val="28"/>
          <w:szCs w:val="28"/>
        </w:rPr>
        <w:t xml:space="preserve"> </w:t>
      </w:r>
      <w:r>
        <w:rPr>
          <w:sz w:val="28"/>
        </w:rPr>
        <w:t>(</w:t>
      </w:r>
      <w:r w:rsidR="00B60A72">
        <w:rPr>
          <w:sz w:val="28"/>
        </w:rPr>
        <w:t>HDOT</w:t>
      </w:r>
      <w:r>
        <w:rPr>
          <w:sz w:val="28"/>
        </w:rPr>
        <w:t>)</w:t>
      </w:r>
      <w:r>
        <w:rPr>
          <w:sz w:val="28"/>
          <w:szCs w:val="28"/>
        </w:rPr>
        <w:t xml:space="preserve"> is a recipient of FTA funding assistance and is therefore subject to the Title VI compliance conditions associated with the use of these funds pursuant to the following: </w:t>
      </w:r>
    </w:p>
    <w:p w:rsidR="008C1061" w:rsidRDefault="008C1061">
      <w:pPr>
        <w:spacing w:line="360" w:lineRule="auto"/>
        <w:jc w:val="both"/>
        <w:rPr>
          <w:sz w:val="28"/>
          <w:szCs w:val="28"/>
        </w:rPr>
      </w:pPr>
    </w:p>
    <w:p w:rsidR="00F80A8D" w:rsidRDefault="00F80A8D" w:rsidP="00724AFC">
      <w:pPr>
        <w:numPr>
          <w:ilvl w:val="0"/>
          <w:numId w:val="9"/>
        </w:numPr>
        <w:spacing w:after="120"/>
        <w:jc w:val="both"/>
        <w:rPr>
          <w:sz w:val="28"/>
        </w:rPr>
      </w:pPr>
      <w:r>
        <w:rPr>
          <w:sz w:val="28"/>
        </w:rPr>
        <w:t xml:space="preserve">Title VI of the Civil Rights Act of 1964 (42 U.S.C. Section 2000d). </w:t>
      </w:r>
    </w:p>
    <w:p w:rsidR="00F80A8D" w:rsidRDefault="00F80A8D" w:rsidP="00724AFC">
      <w:pPr>
        <w:numPr>
          <w:ilvl w:val="0"/>
          <w:numId w:val="9"/>
        </w:numPr>
        <w:spacing w:after="120"/>
        <w:jc w:val="both"/>
        <w:rPr>
          <w:sz w:val="28"/>
        </w:rPr>
      </w:pPr>
      <w:r>
        <w:rPr>
          <w:sz w:val="28"/>
        </w:rPr>
        <w:t xml:space="preserve">Federal Transit Laws, as amended (49 U.S.C. Chapter 53 et seq.). </w:t>
      </w:r>
    </w:p>
    <w:p w:rsidR="00F80A8D" w:rsidRDefault="00F80A8D" w:rsidP="00724AFC">
      <w:pPr>
        <w:numPr>
          <w:ilvl w:val="0"/>
          <w:numId w:val="9"/>
        </w:numPr>
        <w:spacing w:after="120"/>
        <w:jc w:val="both"/>
        <w:rPr>
          <w:sz w:val="28"/>
        </w:rPr>
      </w:pPr>
      <w:r>
        <w:rPr>
          <w:sz w:val="28"/>
        </w:rPr>
        <w:t xml:space="preserve">Uniform Relocation Assistance and Real Property Acquisition Policies Act of 1970, as amended (42 U.S.C. 4601, et seq.). </w:t>
      </w:r>
    </w:p>
    <w:p w:rsidR="00F80A8D" w:rsidRDefault="00F80A8D" w:rsidP="00724AFC">
      <w:pPr>
        <w:numPr>
          <w:ilvl w:val="0"/>
          <w:numId w:val="9"/>
        </w:numPr>
        <w:spacing w:after="120"/>
        <w:jc w:val="both"/>
        <w:rPr>
          <w:sz w:val="28"/>
        </w:rPr>
      </w:pPr>
      <w:r>
        <w:rPr>
          <w:sz w:val="28"/>
        </w:rPr>
        <w:t xml:space="preserve">Department of Justice regulation, 28 CFR </w:t>
      </w:r>
      <w:proofErr w:type="gramStart"/>
      <w:r>
        <w:rPr>
          <w:sz w:val="28"/>
        </w:rPr>
        <w:t>part</w:t>
      </w:r>
      <w:proofErr w:type="gramEnd"/>
      <w:r>
        <w:rPr>
          <w:sz w:val="28"/>
        </w:rPr>
        <w:t xml:space="preserve"> 42, Subpart F, “Coordination of Enforcement of Nondiscrimination in Federally-Assisted Programs” (December 1, 1976, unless otherwise noted). </w:t>
      </w:r>
    </w:p>
    <w:p w:rsidR="00F80A8D" w:rsidRDefault="00F80A8D" w:rsidP="00724AFC">
      <w:pPr>
        <w:numPr>
          <w:ilvl w:val="0"/>
          <w:numId w:val="9"/>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F80A8D" w:rsidRDefault="00F80A8D" w:rsidP="00724AFC">
      <w:pPr>
        <w:numPr>
          <w:ilvl w:val="0"/>
          <w:numId w:val="9"/>
        </w:numPr>
        <w:spacing w:after="120"/>
        <w:jc w:val="both"/>
        <w:rPr>
          <w:sz w:val="28"/>
        </w:rPr>
      </w:pPr>
      <w:r>
        <w:rPr>
          <w:sz w:val="28"/>
        </w:rPr>
        <w:t>DOT Order 5610.2, “</w:t>
      </w:r>
      <w:smartTag w:uri="urn:schemas-microsoft-com:office:smarttags" w:element="place">
        <w:smartTag w:uri="urn:schemas-microsoft-com:office:smarttags" w:element="country-region">
          <w:r>
            <w:rPr>
              <w:sz w:val="28"/>
            </w:rPr>
            <w:t>U.S.</w:t>
          </w:r>
        </w:smartTag>
      </w:smartTag>
      <w:r>
        <w:rPr>
          <w:sz w:val="28"/>
        </w:rPr>
        <w:t xml:space="preserve"> DOT Order on Environmental Justice to Address Environmental Justice in Minority Populations and Low-Income Populations,” (April 15, 1997). </w:t>
      </w:r>
    </w:p>
    <w:p w:rsidR="00F80A8D" w:rsidRDefault="00F80A8D" w:rsidP="00724AFC">
      <w:pPr>
        <w:numPr>
          <w:ilvl w:val="0"/>
          <w:numId w:val="9"/>
        </w:numPr>
        <w:spacing w:after="120"/>
        <w:jc w:val="both"/>
        <w:rPr>
          <w:sz w:val="28"/>
        </w:rPr>
      </w:pPr>
      <w:r>
        <w:rPr>
          <w:sz w:val="28"/>
        </w:rPr>
        <w:t xml:space="preserve">DOT Policy Guidance Concerning Recipients’ Responsibilities to Limited English Proficient Persons, (December 14, 2005). </w:t>
      </w:r>
    </w:p>
    <w:p w:rsidR="00F80A8D" w:rsidRDefault="00F80A8D" w:rsidP="00724AFC">
      <w:pPr>
        <w:numPr>
          <w:ilvl w:val="0"/>
          <w:numId w:val="9"/>
        </w:numPr>
        <w:jc w:val="both"/>
        <w:rPr>
          <w:bCs/>
          <w:sz w:val="28"/>
          <w:szCs w:val="28"/>
        </w:rPr>
      </w:pPr>
      <w:r>
        <w:rPr>
          <w:sz w:val="28"/>
        </w:rPr>
        <w:t>FTA Circular 4702.1A,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 May 17, 2007.</w:t>
      </w:r>
    </w:p>
    <w:p w:rsidR="00F80A8D" w:rsidRDefault="00F80A8D">
      <w:pPr>
        <w:spacing w:line="360" w:lineRule="auto"/>
        <w:jc w:val="both"/>
        <w:rPr>
          <w:sz w:val="28"/>
          <w:szCs w:val="28"/>
        </w:rPr>
      </w:pPr>
    </w:p>
    <w:p w:rsidR="00F80A8D" w:rsidRDefault="00F80A8D" w:rsidP="004D1FBA">
      <w:pPr>
        <w:pStyle w:val="BHLevel1"/>
      </w:pPr>
      <w:bookmarkStart w:id="4" w:name="_Toc106790239"/>
      <w:r>
        <w:br w:type="page"/>
      </w:r>
      <w:bookmarkStart w:id="5" w:name="_Toc272221033"/>
      <w:r>
        <w:lastRenderedPageBreak/>
        <w:t>PURPOSE AND OBJECTIVES</w:t>
      </w:r>
      <w:bookmarkEnd w:id="4"/>
      <w:bookmarkEnd w:id="5"/>
      <w:r>
        <w:t xml:space="preserve"> </w:t>
      </w:r>
    </w:p>
    <w:p w:rsidR="00F80A8D" w:rsidRDefault="00F80A8D"/>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B60A72">
        <w:rPr>
          <w:sz w:val="28"/>
          <w:szCs w:val="28"/>
        </w:rPr>
        <w:t>HDOT</w:t>
      </w:r>
      <w:r>
        <w:rPr>
          <w:sz w:val="28"/>
          <w:szCs w:val="28"/>
        </w:rPr>
        <w:t xml:space="preserve">’s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B60A72">
        <w:rPr>
          <w:sz w:val="28"/>
          <w:szCs w:val="28"/>
        </w:rPr>
        <w:t>HDOT</w:t>
      </w:r>
      <w:r>
        <w:rPr>
          <w:sz w:val="28"/>
          <w:szCs w:val="28"/>
        </w:rPr>
        <w:t xml:space="preserve">.  The primary purpose of this Compliance Review was to determine the extent to which </w:t>
      </w:r>
      <w:r w:rsidR="00B60A72">
        <w:rPr>
          <w:sz w:val="28"/>
          <w:szCs w:val="28"/>
        </w:rPr>
        <w:t>HDOT</w:t>
      </w:r>
      <w:r>
        <w:rPr>
          <w:sz w:val="28"/>
          <w:szCs w:val="28"/>
        </w:rPr>
        <w:t xml:space="preserve"> has met its General Reporting and Program-Specific Requirements</w:t>
      </w:r>
      <w:r w:rsidR="00465F5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Pr>
          <w:sz w:val="28"/>
          <w:szCs w:val="28"/>
        </w:rPr>
        <w:t xml:space="preserve">.  Members of the Compliance Review team also discussed with </w:t>
      </w:r>
      <w:r w:rsidR="00B60A72">
        <w:rPr>
          <w:sz w:val="28"/>
          <w:szCs w:val="28"/>
        </w:rPr>
        <w:t>HDOT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B60A72">
        <w:rPr>
          <w:sz w:val="28"/>
          <w:szCs w:val="28"/>
        </w:rPr>
        <w:t>HDOT</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pPr>
        <w:spacing w:line="360" w:lineRule="auto"/>
        <w:rPr>
          <w:sz w:val="28"/>
          <w:szCs w:val="28"/>
        </w:rPr>
      </w:pP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F80A8D" w:rsidRDefault="00F80A8D">
      <w:pPr>
        <w:pStyle w:val="BHLevel1"/>
        <w:numPr>
          <w:ilvl w:val="0"/>
          <w:numId w:val="0"/>
        </w:numPr>
        <w:spacing w:line="360" w:lineRule="auto"/>
        <w:ind w:left="360"/>
        <w:rPr>
          <w:sz w:val="28"/>
          <w:szCs w:val="28"/>
        </w:rPr>
      </w:pPr>
      <w:bookmarkStart w:id="6" w:name="_Toc177111266"/>
      <w:r>
        <w:rPr>
          <w:sz w:val="28"/>
          <w:szCs w:val="28"/>
        </w:rPr>
        <w:br w:type="page"/>
      </w:r>
      <w:bookmarkStart w:id="7" w:name="_Toc106790240"/>
      <w:bookmarkStart w:id="8" w:name="_Toc272221034"/>
      <w:r>
        <w:rPr>
          <w:sz w:val="28"/>
          <w:szCs w:val="28"/>
          <w:u w:val="none"/>
        </w:rPr>
        <w:lastRenderedPageBreak/>
        <w:t>IV.</w:t>
      </w:r>
      <w:r>
        <w:rPr>
          <w:sz w:val="28"/>
          <w:szCs w:val="28"/>
          <w:u w:val="none"/>
        </w:rPr>
        <w:tab/>
      </w:r>
      <w:r>
        <w:rPr>
          <w:sz w:val="28"/>
          <w:szCs w:val="28"/>
        </w:rPr>
        <w:t>BACKGROUND INFORMATION</w:t>
      </w:r>
      <w:bookmarkEnd w:id="8"/>
    </w:p>
    <w:p w:rsidR="00E95667" w:rsidRDefault="00E95667" w:rsidP="00255EE1">
      <w:pPr>
        <w:spacing w:line="360" w:lineRule="auto"/>
        <w:rPr>
          <w:sz w:val="28"/>
          <w:szCs w:val="28"/>
        </w:rPr>
      </w:pPr>
      <w:bookmarkStart w:id="9" w:name="_Toc106790241"/>
      <w:bookmarkEnd w:id="6"/>
      <w:bookmarkEnd w:id="7"/>
      <w:r w:rsidRPr="00E95667">
        <w:rPr>
          <w:sz w:val="28"/>
          <w:szCs w:val="28"/>
        </w:rPr>
        <w:t xml:space="preserve">The </w:t>
      </w:r>
      <w:r>
        <w:rPr>
          <w:sz w:val="28"/>
          <w:szCs w:val="28"/>
        </w:rPr>
        <w:t>State of Hawaii Department of Transportation (H</w:t>
      </w:r>
      <w:r w:rsidRPr="00E95667">
        <w:rPr>
          <w:sz w:val="28"/>
          <w:szCs w:val="28"/>
        </w:rPr>
        <w:t>DOT</w:t>
      </w:r>
      <w:r>
        <w:rPr>
          <w:sz w:val="28"/>
          <w:szCs w:val="28"/>
        </w:rPr>
        <w:t>)</w:t>
      </w:r>
      <w:r w:rsidRPr="00E95667">
        <w:rPr>
          <w:sz w:val="28"/>
          <w:szCs w:val="28"/>
        </w:rPr>
        <w:t xml:space="preserve"> was formed shortly after</w:t>
      </w:r>
      <w:r>
        <w:rPr>
          <w:sz w:val="28"/>
          <w:szCs w:val="28"/>
        </w:rPr>
        <w:t xml:space="preserve"> Hawaii became a state in 1959. </w:t>
      </w:r>
      <w:r w:rsidRPr="00E95667">
        <w:rPr>
          <w:sz w:val="28"/>
          <w:szCs w:val="28"/>
        </w:rPr>
        <w:t xml:space="preserve"> </w:t>
      </w:r>
      <w:r>
        <w:rPr>
          <w:sz w:val="28"/>
          <w:szCs w:val="28"/>
        </w:rPr>
        <w:t xml:space="preserve">HDOT has </w:t>
      </w:r>
      <w:r w:rsidRPr="00E95667">
        <w:rPr>
          <w:sz w:val="28"/>
          <w:szCs w:val="28"/>
        </w:rPr>
        <w:t>three modal Divisions (Airports, Harbors, and Highways) and a Support Servic</w:t>
      </w:r>
      <w:r>
        <w:rPr>
          <w:sz w:val="28"/>
          <w:szCs w:val="28"/>
        </w:rPr>
        <w:t xml:space="preserve">es or Administration Division.  </w:t>
      </w:r>
      <w:r w:rsidR="00584474">
        <w:rPr>
          <w:sz w:val="28"/>
          <w:szCs w:val="28"/>
        </w:rPr>
        <w:t>H</w:t>
      </w:r>
      <w:r w:rsidRPr="00E95667">
        <w:rPr>
          <w:sz w:val="28"/>
          <w:szCs w:val="28"/>
        </w:rPr>
        <w:t>DOT currently provides, operates, and maintains eleven commercial service airports; four general aviation airports; nine commercial harbors; and 2,450</w:t>
      </w:r>
      <w:r>
        <w:rPr>
          <w:sz w:val="28"/>
          <w:szCs w:val="28"/>
        </w:rPr>
        <w:t xml:space="preserve"> lane miles of highway. </w:t>
      </w:r>
      <w:r w:rsidRPr="00E95667">
        <w:rPr>
          <w:sz w:val="28"/>
          <w:szCs w:val="28"/>
        </w:rPr>
        <w:t xml:space="preserve"> </w:t>
      </w:r>
      <w:r>
        <w:rPr>
          <w:sz w:val="28"/>
          <w:szCs w:val="28"/>
        </w:rPr>
        <w:t xml:space="preserve">HDOT has </w:t>
      </w:r>
      <w:r w:rsidRPr="00E95667">
        <w:rPr>
          <w:sz w:val="28"/>
          <w:szCs w:val="28"/>
        </w:rPr>
        <w:t>transportation facilities and infrastructure on all of the six major islands.</w:t>
      </w:r>
      <w:r w:rsidR="00CF44AD">
        <w:rPr>
          <w:sz w:val="28"/>
          <w:szCs w:val="28"/>
        </w:rPr>
        <w:t xml:space="preserve"> </w:t>
      </w:r>
      <w:r w:rsidRPr="00E95667">
        <w:rPr>
          <w:sz w:val="28"/>
          <w:szCs w:val="28"/>
        </w:rPr>
        <w:t xml:space="preserve">The Support Services Division consists of the following eight </w:t>
      </w:r>
      <w:r>
        <w:rPr>
          <w:sz w:val="28"/>
          <w:szCs w:val="28"/>
        </w:rPr>
        <w:t>offices:</w:t>
      </w:r>
    </w:p>
    <w:p w:rsidR="0098135E" w:rsidRDefault="0098135E" w:rsidP="00255EE1">
      <w:pPr>
        <w:spacing w:line="360" w:lineRule="auto"/>
        <w:rPr>
          <w:sz w:val="28"/>
          <w:szCs w:val="28"/>
        </w:rPr>
      </w:pPr>
    </w:p>
    <w:p w:rsidR="00E95667" w:rsidRDefault="00E95667" w:rsidP="0064099D">
      <w:pPr>
        <w:numPr>
          <w:ilvl w:val="0"/>
          <w:numId w:val="35"/>
        </w:numPr>
        <w:spacing w:line="360" w:lineRule="auto"/>
        <w:rPr>
          <w:sz w:val="28"/>
          <w:szCs w:val="28"/>
        </w:rPr>
      </w:pPr>
      <w:r w:rsidRPr="00E95667">
        <w:rPr>
          <w:sz w:val="28"/>
          <w:szCs w:val="28"/>
        </w:rPr>
        <w:t>Statewide Transp</w:t>
      </w:r>
      <w:r>
        <w:rPr>
          <w:sz w:val="28"/>
          <w:szCs w:val="28"/>
        </w:rPr>
        <w:t>ortation Planning Office (STP);</w:t>
      </w:r>
    </w:p>
    <w:p w:rsidR="00E95667" w:rsidRDefault="00E95667" w:rsidP="0064099D">
      <w:pPr>
        <w:numPr>
          <w:ilvl w:val="0"/>
          <w:numId w:val="35"/>
        </w:numPr>
        <w:spacing w:line="360" w:lineRule="auto"/>
        <w:rPr>
          <w:sz w:val="28"/>
          <w:szCs w:val="28"/>
        </w:rPr>
      </w:pPr>
      <w:r>
        <w:rPr>
          <w:sz w:val="28"/>
          <w:szCs w:val="28"/>
        </w:rPr>
        <w:t>Office of Civil Rights (OCR);</w:t>
      </w:r>
    </w:p>
    <w:p w:rsidR="00E95667" w:rsidRDefault="00E95667" w:rsidP="0064099D">
      <w:pPr>
        <w:numPr>
          <w:ilvl w:val="0"/>
          <w:numId w:val="35"/>
        </w:numPr>
        <w:spacing w:line="360" w:lineRule="auto"/>
        <w:rPr>
          <w:sz w:val="28"/>
          <w:szCs w:val="28"/>
        </w:rPr>
      </w:pPr>
      <w:r w:rsidRPr="00E95667">
        <w:rPr>
          <w:sz w:val="28"/>
          <w:szCs w:val="28"/>
        </w:rPr>
        <w:t xml:space="preserve">Office of Special Compliance Programs (DIR-CZ); </w:t>
      </w:r>
    </w:p>
    <w:p w:rsidR="00E95667" w:rsidRDefault="00E95667" w:rsidP="0064099D">
      <w:pPr>
        <w:numPr>
          <w:ilvl w:val="0"/>
          <w:numId w:val="35"/>
        </w:numPr>
        <w:spacing w:line="360" w:lineRule="auto"/>
        <w:rPr>
          <w:sz w:val="28"/>
          <w:szCs w:val="28"/>
        </w:rPr>
      </w:pPr>
      <w:r w:rsidRPr="00E95667">
        <w:rPr>
          <w:sz w:val="28"/>
          <w:szCs w:val="28"/>
        </w:rPr>
        <w:t xml:space="preserve">Personnel Office (PER); </w:t>
      </w:r>
    </w:p>
    <w:p w:rsidR="00E95667" w:rsidRDefault="00E95667" w:rsidP="0064099D">
      <w:pPr>
        <w:numPr>
          <w:ilvl w:val="0"/>
          <w:numId w:val="35"/>
        </w:numPr>
        <w:spacing w:line="360" w:lineRule="auto"/>
        <w:rPr>
          <w:sz w:val="28"/>
          <w:szCs w:val="28"/>
        </w:rPr>
      </w:pPr>
      <w:r w:rsidRPr="00E95667">
        <w:rPr>
          <w:sz w:val="28"/>
          <w:szCs w:val="28"/>
        </w:rPr>
        <w:t xml:space="preserve">Contracts Office (CON); </w:t>
      </w:r>
    </w:p>
    <w:p w:rsidR="00E95667" w:rsidRDefault="00E95667" w:rsidP="0064099D">
      <w:pPr>
        <w:numPr>
          <w:ilvl w:val="0"/>
          <w:numId w:val="35"/>
        </w:numPr>
        <w:spacing w:line="360" w:lineRule="auto"/>
        <w:rPr>
          <w:sz w:val="28"/>
          <w:szCs w:val="28"/>
        </w:rPr>
      </w:pPr>
      <w:r w:rsidRPr="00E95667">
        <w:rPr>
          <w:sz w:val="28"/>
          <w:szCs w:val="28"/>
        </w:rPr>
        <w:t xml:space="preserve">Computer Systems and Services Office (CSS); </w:t>
      </w:r>
    </w:p>
    <w:p w:rsidR="00E95667" w:rsidRDefault="00E95667" w:rsidP="0064099D">
      <w:pPr>
        <w:numPr>
          <w:ilvl w:val="0"/>
          <w:numId w:val="35"/>
        </w:numPr>
        <w:spacing w:line="360" w:lineRule="auto"/>
        <w:rPr>
          <w:sz w:val="28"/>
          <w:szCs w:val="28"/>
        </w:rPr>
      </w:pPr>
      <w:r w:rsidRPr="00E95667">
        <w:rPr>
          <w:sz w:val="28"/>
          <w:szCs w:val="28"/>
        </w:rPr>
        <w:t xml:space="preserve">Business Management Office (BUS); and </w:t>
      </w:r>
    </w:p>
    <w:p w:rsidR="00E95667" w:rsidRDefault="00E95667" w:rsidP="0064099D">
      <w:pPr>
        <w:numPr>
          <w:ilvl w:val="0"/>
          <w:numId w:val="35"/>
        </w:numPr>
        <w:spacing w:line="360" w:lineRule="auto"/>
        <w:rPr>
          <w:sz w:val="28"/>
          <w:szCs w:val="28"/>
        </w:rPr>
      </w:pPr>
      <w:r w:rsidRPr="00E95667">
        <w:rPr>
          <w:sz w:val="28"/>
          <w:szCs w:val="28"/>
        </w:rPr>
        <w:t>Planning, Programming, and Budgeting Office (PPB).</w:t>
      </w:r>
      <w:r>
        <w:rPr>
          <w:sz w:val="28"/>
          <w:szCs w:val="28"/>
        </w:rPr>
        <w:t xml:space="preserve">  </w:t>
      </w:r>
    </w:p>
    <w:p w:rsidR="00E95667" w:rsidRDefault="00E95667" w:rsidP="00E95667">
      <w:pPr>
        <w:spacing w:line="360" w:lineRule="auto"/>
        <w:rPr>
          <w:sz w:val="28"/>
          <w:szCs w:val="28"/>
        </w:rPr>
      </w:pPr>
    </w:p>
    <w:p w:rsidR="00E95667" w:rsidRPr="00E95667" w:rsidRDefault="00E95667" w:rsidP="00E95667">
      <w:pPr>
        <w:spacing w:line="360" w:lineRule="auto"/>
        <w:rPr>
          <w:sz w:val="28"/>
          <w:szCs w:val="28"/>
        </w:rPr>
      </w:pPr>
      <w:r>
        <w:rPr>
          <w:sz w:val="28"/>
          <w:szCs w:val="28"/>
        </w:rPr>
        <w:t xml:space="preserve">The </w:t>
      </w:r>
      <w:r w:rsidRPr="00E95667">
        <w:rPr>
          <w:sz w:val="28"/>
          <w:szCs w:val="28"/>
        </w:rPr>
        <w:t xml:space="preserve">STP </w:t>
      </w:r>
      <w:r w:rsidR="008C6590">
        <w:rPr>
          <w:sz w:val="28"/>
          <w:szCs w:val="28"/>
        </w:rPr>
        <w:t xml:space="preserve">Office </w:t>
      </w:r>
      <w:r w:rsidRPr="00E95667">
        <w:rPr>
          <w:sz w:val="28"/>
          <w:szCs w:val="28"/>
        </w:rPr>
        <w:t xml:space="preserve">coordinates </w:t>
      </w:r>
      <w:r>
        <w:rPr>
          <w:sz w:val="28"/>
          <w:szCs w:val="28"/>
        </w:rPr>
        <w:t>H</w:t>
      </w:r>
      <w:r w:rsidRPr="00E95667">
        <w:rPr>
          <w:sz w:val="28"/>
          <w:szCs w:val="28"/>
        </w:rPr>
        <w:t>DOT’s multi-modal tra</w:t>
      </w:r>
      <w:r>
        <w:rPr>
          <w:sz w:val="28"/>
          <w:szCs w:val="28"/>
        </w:rPr>
        <w:t xml:space="preserve">nsportation planning programs.  </w:t>
      </w:r>
      <w:r w:rsidR="002327EC">
        <w:rPr>
          <w:sz w:val="28"/>
          <w:szCs w:val="28"/>
        </w:rPr>
        <w:t xml:space="preserve">In coordination with </w:t>
      </w:r>
      <w:r>
        <w:rPr>
          <w:sz w:val="28"/>
          <w:szCs w:val="28"/>
        </w:rPr>
        <w:t>H</w:t>
      </w:r>
      <w:r w:rsidRPr="00E95667">
        <w:rPr>
          <w:sz w:val="28"/>
          <w:szCs w:val="28"/>
        </w:rPr>
        <w:t>DOT’s Airport, Harbors, and Highways Planning Offices, the Oahu Metropolitan Planning Organization (OMPO), the city/county planning departments, the U.S. DOT Federal Highway Administration</w:t>
      </w:r>
      <w:r w:rsidR="00F252E8">
        <w:rPr>
          <w:sz w:val="28"/>
          <w:szCs w:val="28"/>
        </w:rPr>
        <w:t xml:space="preserve"> </w:t>
      </w:r>
      <w:r w:rsidR="00CF44AD">
        <w:rPr>
          <w:sz w:val="28"/>
          <w:szCs w:val="28"/>
        </w:rPr>
        <w:t>(FHWA)</w:t>
      </w:r>
      <w:r w:rsidRPr="00E95667">
        <w:rPr>
          <w:sz w:val="28"/>
          <w:szCs w:val="28"/>
        </w:rPr>
        <w:t>, and the Federal Transit Administration</w:t>
      </w:r>
      <w:r w:rsidR="00CF44AD">
        <w:rPr>
          <w:sz w:val="28"/>
          <w:szCs w:val="28"/>
        </w:rPr>
        <w:t xml:space="preserve"> (FTA)</w:t>
      </w:r>
      <w:r w:rsidR="002327EC">
        <w:rPr>
          <w:sz w:val="28"/>
          <w:szCs w:val="28"/>
        </w:rPr>
        <w:t>, the</w:t>
      </w:r>
      <w:r w:rsidRPr="00E95667">
        <w:rPr>
          <w:sz w:val="28"/>
          <w:szCs w:val="28"/>
        </w:rPr>
        <w:t xml:space="preserve"> STP</w:t>
      </w:r>
      <w:r w:rsidR="008C6590">
        <w:rPr>
          <w:sz w:val="28"/>
          <w:szCs w:val="28"/>
        </w:rPr>
        <w:t xml:space="preserve"> Office</w:t>
      </w:r>
      <w:r w:rsidRPr="00E95667">
        <w:rPr>
          <w:sz w:val="28"/>
          <w:szCs w:val="28"/>
        </w:rPr>
        <w:t xml:space="preserve"> develops and maintains the statewide t</w:t>
      </w:r>
      <w:r w:rsidR="0004231E">
        <w:rPr>
          <w:sz w:val="28"/>
          <w:szCs w:val="28"/>
        </w:rPr>
        <w:t xml:space="preserve">ransportation planning </w:t>
      </w:r>
      <w:r w:rsidR="0004231E">
        <w:rPr>
          <w:sz w:val="28"/>
          <w:szCs w:val="28"/>
        </w:rPr>
        <w:lastRenderedPageBreak/>
        <w:t xml:space="preserve">process. </w:t>
      </w:r>
      <w:r w:rsidR="002327EC">
        <w:rPr>
          <w:sz w:val="28"/>
          <w:szCs w:val="28"/>
        </w:rPr>
        <w:t>The</w:t>
      </w:r>
      <w:r w:rsidRPr="00E95667">
        <w:rPr>
          <w:sz w:val="28"/>
          <w:szCs w:val="28"/>
        </w:rPr>
        <w:t xml:space="preserve"> STP </w:t>
      </w:r>
      <w:r w:rsidR="008C6590">
        <w:rPr>
          <w:sz w:val="28"/>
          <w:szCs w:val="28"/>
        </w:rPr>
        <w:t xml:space="preserve">Office </w:t>
      </w:r>
      <w:r w:rsidRPr="00E95667">
        <w:rPr>
          <w:sz w:val="28"/>
          <w:szCs w:val="28"/>
        </w:rPr>
        <w:t>ensures that these plans are comprehensive, integrated, and publicly accountable.</w:t>
      </w:r>
      <w:r w:rsidR="0004231E">
        <w:rPr>
          <w:sz w:val="28"/>
          <w:szCs w:val="28"/>
        </w:rPr>
        <w:t xml:space="preserve">  </w:t>
      </w:r>
      <w:r w:rsidR="002327EC">
        <w:rPr>
          <w:sz w:val="28"/>
          <w:szCs w:val="28"/>
        </w:rPr>
        <w:t xml:space="preserve">The </w:t>
      </w:r>
      <w:r w:rsidRPr="00E95667">
        <w:rPr>
          <w:sz w:val="28"/>
          <w:szCs w:val="28"/>
        </w:rPr>
        <w:t xml:space="preserve">STP </w:t>
      </w:r>
      <w:r w:rsidR="008C6590">
        <w:rPr>
          <w:sz w:val="28"/>
          <w:szCs w:val="28"/>
        </w:rPr>
        <w:t xml:space="preserve">Office </w:t>
      </w:r>
      <w:r w:rsidRPr="00E95667">
        <w:rPr>
          <w:sz w:val="28"/>
          <w:szCs w:val="28"/>
        </w:rPr>
        <w:t xml:space="preserve">also administers the Federal Transit Administration </w:t>
      </w:r>
      <w:r w:rsidR="00CF44AD">
        <w:rPr>
          <w:sz w:val="28"/>
          <w:szCs w:val="28"/>
        </w:rPr>
        <w:t xml:space="preserve">(FTA) </w:t>
      </w:r>
      <w:r w:rsidRPr="00E95667">
        <w:rPr>
          <w:sz w:val="28"/>
          <w:szCs w:val="28"/>
        </w:rPr>
        <w:t>assistance program.</w:t>
      </w:r>
    </w:p>
    <w:p w:rsidR="00E95667" w:rsidRDefault="00E95667" w:rsidP="00E95667">
      <w:pPr>
        <w:spacing w:line="360" w:lineRule="auto"/>
        <w:rPr>
          <w:sz w:val="28"/>
          <w:szCs w:val="28"/>
        </w:rPr>
      </w:pPr>
    </w:p>
    <w:p w:rsidR="00255EE1" w:rsidRPr="00255EE1" w:rsidRDefault="00255EE1" w:rsidP="00E95667">
      <w:pPr>
        <w:spacing w:line="360" w:lineRule="auto"/>
        <w:rPr>
          <w:sz w:val="28"/>
          <w:szCs w:val="28"/>
        </w:rPr>
      </w:pPr>
      <w:r w:rsidRPr="00255EE1">
        <w:rPr>
          <w:sz w:val="28"/>
          <w:szCs w:val="28"/>
        </w:rPr>
        <w:t xml:space="preserve">The Governor of Hawaii designated HDOT as the agency responsible for administering the </w:t>
      </w:r>
      <w:r w:rsidR="002327EC">
        <w:rPr>
          <w:sz w:val="28"/>
          <w:szCs w:val="28"/>
        </w:rPr>
        <w:t xml:space="preserve">FTA </w:t>
      </w:r>
      <w:r w:rsidRPr="00255EE1">
        <w:rPr>
          <w:sz w:val="28"/>
          <w:szCs w:val="28"/>
        </w:rPr>
        <w:t xml:space="preserve">Section 5309, 5310, 5311, 5316, and 5317 programs.  A staff of three within the </w:t>
      </w:r>
      <w:r w:rsidR="002327EC">
        <w:rPr>
          <w:sz w:val="28"/>
          <w:szCs w:val="28"/>
        </w:rPr>
        <w:t>STP</w:t>
      </w:r>
      <w:r w:rsidRPr="00255EE1">
        <w:rPr>
          <w:sz w:val="28"/>
          <w:szCs w:val="28"/>
        </w:rPr>
        <w:t xml:space="preserve"> Office administers the FTA programs.  The program manager has overall responsibility for the FTA programs, including planning grants.  One staff member administers the Section 5309 and 5311 programs and the other staff member administers the Section 5310, 5316 and 5317 programs.</w:t>
      </w:r>
      <w:r w:rsidR="00CF44AD">
        <w:rPr>
          <w:sz w:val="28"/>
          <w:szCs w:val="28"/>
        </w:rPr>
        <w:t xml:space="preserve"> In the Office of Civil Rights (OCR), the</w:t>
      </w:r>
      <w:r w:rsidR="00F252E8">
        <w:rPr>
          <w:sz w:val="28"/>
          <w:szCs w:val="28"/>
        </w:rPr>
        <w:t>re</w:t>
      </w:r>
      <w:r w:rsidR="00CF44AD">
        <w:rPr>
          <w:sz w:val="28"/>
          <w:szCs w:val="28"/>
        </w:rPr>
        <w:t xml:space="preserve"> is a Title VI Coordinator for all HDOT programs, including FTA.</w:t>
      </w:r>
    </w:p>
    <w:p w:rsidR="00255EE1" w:rsidRPr="00255EE1" w:rsidRDefault="00255EE1" w:rsidP="00255EE1">
      <w:pPr>
        <w:spacing w:line="360" w:lineRule="auto"/>
        <w:rPr>
          <w:sz w:val="28"/>
          <w:szCs w:val="28"/>
        </w:rPr>
      </w:pPr>
    </w:p>
    <w:p w:rsidR="00255EE1" w:rsidRPr="00255EE1" w:rsidRDefault="00255EE1" w:rsidP="00255EE1">
      <w:pPr>
        <w:spacing w:line="360" w:lineRule="auto"/>
        <w:rPr>
          <w:sz w:val="28"/>
          <w:szCs w:val="28"/>
        </w:rPr>
      </w:pPr>
      <w:r w:rsidRPr="00255EE1">
        <w:rPr>
          <w:sz w:val="28"/>
          <w:szCs w:val="28"/>
        </w:rPr>
        <w:t>HDOT funds 3</w:t>
      </w:r>
      <w:r w:rsidR="0098135E">
        <w:rPr>
          <w:sz w:val="28"/>
          <w:szCs w:val="28"/>
        </w:rPr>
        <w:t>5</w:t>
      </w:r>
      <w:r w:rsidRPr="00255EE1">
        <w:rPr>
          <w:sz w:val="28"/>
          <w:szCs w:val="28"/>
        </w:rPr>
        <w:t xml:space="preserve"> Section 5310 subrecipients operating 94 vehicles and three Section 5311 subrecipients, the counties of Hawaii, Maui, and Kauai.  All three Section 5311 subrecipients operate fixed route service.  HDOT monitors its subrecipients mainly through annual site visits.  Currently, HDOT is </w:t>
      </w:r>
      <w:r w:rsidR="002327EC">
        <w:rPr>
          <w:sz w:val="28"/>
          <w:szCs w:val="28"/>
        </w:rPr>
        <w:t>processing</w:t>
      </w:r>
      <w:r w:rsidR="002327EC" w:rsidRPr="00255EE1">
        <w:rPr>
          <w:sz w:val="28"/>
          <w:szCs w:val="28"/>
        </w:rPr>
        <w:t xml:space="preserve"> </w:t>
      </w:r>
      <w:r w:rsidRPr="00255EE1">
        <w:rPr>
          <w:sz w:val="28"/>
          <w:szCs w:val="28"/>
        </w:rPr>
        <w:t>its first applications for Section 5316 and 5317 assistance.</w:t>
      </w:r>
    </w:p>
    <w:p w:rsidR="00255EE1" w:rsidRPr="00255EE1" w:rsidRDefault="00255EE1" w:rsidP="00255EE1">
      <w:pPr>
        <w:spacing w:line="360" w:lineRule="auto"/>
        <w:rPr>
          <w:sz w:val="28"/>
          <w:szCs w:val="28"/>
        </w:rPr>
      </w:pPr>
    </w:p>
    <w:p w:rsidR="00255EE1" w:rsidRPr="00255EE1" w:rsidRDefault="00255EE1" w:rsidP="00255EE1">
      <w:pPr>
        <w:spacing w:line="360" w:lineRule="auto"/>
        <w:rPr>
          <w:sz w:val="28"/>
          <w:szCs w:val="28"/>
        </w:rPr>
      </w:pPr>
      <w:r w:rsidRPr="00255EE1">
        <w:rPr>
          <w:sz w:val="28"/>
          <w:szCs w:val="28"/>
        </w:rPr>
        <w:t>HDOT passes Section 5309 assistance to its Section 5311 subrecipients for vehicle procurements and facility construction projects, which have included construction of an operations and maintenance facility on Kauai, design for the expansion of a bus storage yard on Kauai, and the construction of bus shelters on Maui and Hawaii.</w:t>
      </w:r>
    </w:p>
    <w:p w:rsidR="00255EE1" w:rsidRPr="00255EE1" w:rsidRDefault="00255EE1" w:rsidP="00255EE1">
      <w:pPr>
        <w:spacing w:line="360" w:lineRule="auto"/>
        <w:rPr>
          <w:sz w:val="28"/>
          <w:szCs w:val="28"/>
        </w:rPr>
      </w:pPr>
    </w:p>
    <w:p w:rsidR="00255EE1" w:rsidRPr="00255EE1" w:rsidRDefault="00255EE1" w:rsidP="00255EE1">
      <w:pPr>
        <w:spacing w:line="360" w:lineRule="auto"/>
        <w:rPr>
          <w:sz w:val="28"/>
          <w:szCs w:val="28"/>
        </w:rPr>
      </w:pPr>
      <w:r w:rsidRPr="00255EE1">
        <w:rPr>
          <w:sz w:val="28"/>
          <w:szCs w:val="28"/>
        </w:rPr>
        <w:lastRenderedPageBreak/>
        <w:t xml:space="preserve">HDOT passes Section 5309 assistance to the State of Hawaii Department of Land and Natural Resources (DLNR) for ferry terminal improvements on the islands of </w:t>
      </w:r>
      <w:smartTag w:uri="urn:schemas-microsoft-com:office:smarttags" w:element="place">
        <w:r w:rsidRPr="00255EE1">
          <w:rPr>
            <w:sz w:val="28"/>
            <w:szCs w:val="28"/>
          </w:rPr>
          <w:t>Maui</w:t>
        </w:r>
      </w:smartTag>
      <w:r w:rsidRPr="00255EE1">
        <w:rPr>
          <w:sz w:val="28"/>
          <w:szCs w:val="28"/>
        </w:rPr>
        <w:t xml:space="preserve">, </w:t>
      </w:r>
      <w:smartTag w:uri="urn:schemas-microsoft-com:office:smarttags" w:element="place">
        <w:r w:rsidRPr="00255EE1">
          <w:rPr>
            <w:sz w:val="28"/>
            <w:szCs w:val="28"/>
          </w:rPr>
          <w:t>Lanai</w:t>
        </w:r>
      </w:smartTag>
      <w:r w:rsidRPr="00255EE1">
        <w:rPr>
          <w:sz w:val="28"/>
          <w:szCs w:val="28"/>
        </w:rPr>
        <w:t xml:space="preserve">, and </w:t>
      </w:r>
      <w:smartTag w:uri="urn:schemas-microsoft-com:office:smarttags" w:element="place">
        <w:r w:rsidRPr="00255EE1">
          <w:rPr>
            <w:sz w:val="28"/>
            <w:szCs w:val="28"/>
          </w:rPr>
          <w:t>Molokai</w:t>
        </w:r>
      </w:smartTag>
      <w:r w:rsidRPr="00255EE1">
        <w:rPr>
          <w:sz w:val="28"/>
          <w:szCs w:val="28"/>
        </w:rPr>
        <w:t xml:space="preserve">.  Private ferry operators provide the service.  To date, DLNR has rehabilitated the ferry terminal in </w:t>
      </w:r>
      <w:proofErr w:type="spellStart"/>
      <w:r w:rsidRPr="00255EE1">
        <w:rPr>
          <w:sz w:val="28"/>
          <w:szCs w:val="28"/>
        </w:rPr>
        <w:t>Lahaina</w:t>
      </w:r>
      <w:proofErr w:type="spellEnd"/>
      <w:r w:rsidRPr="00255EE1">
        <w:rPr>
          <w:sz w:val="28"/>
          <w:szCs w:val="28"/>
        </w:rPr>
        <w:t xml:space="preserve"> on </w:t>
      </w:r>
      <w:smartTag w:uri="urn:schemas-microsoft-com:office:smarttags" w:element="place">
        <w:r w:rsidRPr="00255EE1">
          <w:rPr>
            <w:sz w:val="28"/>
            <w:szCs w:val="28"/>
          </w:rPr>
          <w:t>Maui</w:t>
        </w:r>
      </w:smartTag>
      <w:r w:rsidRPr="00255EE1">
        <w:rPr>
          <w:sz w:val="28"/>
          <w:szCs w:val="28"/>
        </w:rPr>
        <w:t xml:space="preserve"> and rehabilitated the harbor in </w:t>
      </w:r>
      <w:proofErr w:type="spellStart"/>
      <w:r w:rsidRPr="00255EE1">
        <w:rPr>
          <w:sz w:val="28"/>
          <w:szCs w:val="28"/>
        </w:rPr>
        <w:t>Manele</w:t>
      </w:r>
      <w:proofErr w:type="spellEnd"/>
      <w:r w:rsidRPr="00255EE1">
        <w:rPr>
          <w:sz w:val="28"/>
          <w:szCs w:val="28"/>
        </w:rPr>
        <w:t xml:space="preserve"> on </w:t>
      </w:r>
      <w:smartTag w:uri="urn:schemas-microsoft-com:office:smarttags" w:element="place">
        <w:r w:rsidRPr="00255EE1">
          <w:rPr>
            <w:sz w:val="28"/>
            <w:szCs w:val="28"/>
          </w:rPr>
          <w:t>Lanai</w:t>
        </w:r>
      </w:smartTag>
      <w:r w:rsidRPr="00255EE1">
        <w:rPr>
          <w:sz w:val="28"/>
          <w:szCs w:val="28"/>
        </w:rPr>
        <w:t xml:space="preserve">.  The rehabilitation of the small boat harbor in </w:t>
      </w:r>
      <w:proofErr w:type="spellStart"/>
      <w:r w:rsidRPr="00255EE1">
        <w:rPr>
          <w:sz w:val="28"/>
          <w:szCs w:val="28"/>
        </w:rPr>
        <w:t>Maalaea</w:t>
      </w:r>
      <w:proofErr w:type="spellEnd"/>
      <w:r w:rsidRPr="00255EE1">
        <w:rPr>
          <w:sz w:val="28"/>
          <w:szCs w:val="28"/>
        </w:rPr>
        <w:t xml:space="preserve">, </w:t>
      </w:r>
      <w:smartTag w:uri="urn:schemas-microsoft-com:office:smarttags" w:element="place">
        <w:r w:rsidRPr="00255EE1">
          <w:rPr>
            <w:sz w:val="28"/>
            <w:szCs w:val="28"/>
          </w:rPr>
          <w:t>Maui</w:t>
        </w:r>
      </w:smartTag>
      <w:r w:rsidRPr="00255EE1">
        <w:rPr>
          <w:sz w:val="28"/>
          <w:szCs w:val="28"/>
        </w:rPr>
        <w:t xml:space="preserve"> and terminal and site improvements at Kaunakakai, </w:t>
      </w:r>
      <w:smartTag w:uri="urn:schemas-microsoft-com:office:smarttags" w:element="place">
        <w:r w:rsidRPr="00255EE1">
          <w:rPr>
            <w:sz w:val="28"/>
            <w:szCs w:val="28"/>
          </w:rPr>
          <w:t>Molokai</w:t>
        </w:r>
      </w:smartTag>
      <w:r w:rsidRPr="00255EE1">
        <w:rPr>
          <w:sz w:val="28"/>
          <w:szCs w:val="28"/>
        </w:rPr>
        <w:t xml:space="preserve"> are in design.  A grant application is pending for construction of these projects.</w:t>
      </w:r>
    </w:p>
    <w:p w:rsidR="00255EE1" w:rsidRPr="00255EE1" w:rsidRDefault="00255EE1" w:rsidP="00255EE1">
      <w:pPr>
        <w:spacing w:line="360" w:lineRule="auto"/>
        <w:rPr>
          <w:sz w:val="28"/>
          <w:szCs w:val="28"/>
        </w:rPr>
      </w:pPr>
    </w:p>
    <w:p w:rsidR="0099521B" w:rsidRDefault="00255EE1" w:rsidP="00255EE1">
      <w:pPr>
        <w:pStyle w:val="ListContinue2"/>
        <w:spacing w:after="0" w:line="360" w:lineRule="auto"/>
        <w:ind w:left="0"/>
        <w:rPr>
          <w:sz w:val="28"/>
        </w:rPr>
      </w:pPr>
      <w:r w:rsidRPr="00255EE1">
        <w:rPr>
          <w:sz w:val="28"/>
        </w:rPr>
        <w:t xml:space="preserve">HDOT has passed Section 5309 funds to the Department of the Navy for the construction of ferry vessels </w:t>
      </w:r>
      <w:r w:rsidR="002327EC">
        <w:rPr>
          <w:sz w:val="28"/>
        </w:rPr>
        <w:t>that</w:t>
      </w:r>
      <w:r w:rsidRPr="00255EE1">
        <w:rPr>
          <w:sz w:val="28"/>
        </w:rPr>
        <w:t xml:space="preserve"> will be operated by US Park Service and used to ferry passengers to the U.S.S. Arizona Memorial.</w:t>
      </w:r>
    </w:p>
    <w:p w:rsidR="00443A26" w:rsidRDefault="00443A26" w:rsidP="00255EE1">
      <w:pPr>
        <w:pStyle w:val="ListContinue2"/>
        <w:spacing w:after="0" w:line="360" w:lineRule="auto"/>
        <w:ind w:left="0"/>
        <w:rPr>
          <w:sz w:val="28"/>
        </w:rPr>
      </w:pPr>
    </w:p>
    <w:p w:rsidR="00443A26" w:rsidRPr="00651DDB" w:rsidRDefault="002327EC" w:rsidP="00255EE1">
      <w:pPr>
        <w:pStyle w:val="ListContinue2"/>
        <w:spacing w:after="0" w:line="360" w:lineRule="auto"/>
        <w:ind w:left="0"/>
        <w:rPr>
          <w:sz w:val="28"/>
        </w:rPr>
      </w:pPr>
      <w:r w:rsidRPr="00651DDB">
        <w:rPr>
          <w:sz w:val="28"/>
        </w:rPr>
        <w:t xml:space="preserve">The following is a list of </w:t>
      </w:r>
      <w:r w:rsidR="00443A26" w:rsidRPr="00651DDB">
        <w:rPr>
          <w:sz w:val="28"/>
        </w:rPr>
        <w:t>HDOT Subrecipients</w:t>
      </w:r>
      <w:r w:rsidRPr="00651DDB">
        <w:rPr>
          <w:sz w:val="28"/>
        </w:rPr>
        <w:t>:</w:t>
      </w:r>
    </w:p>
    <w:tbl>
      <w:tblPr>
        <w:tblW w:w="8020" w:type="dxa"/>
        <w:tblInd w:w="93" w:type="dxa"/>
        <w:tblLook w:val="04A0"/>
      </w:tblPr>
      <w:tblGrid>
        <w:gridCol w:w="8020"/>
      </w:tblGrid>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651DDB" w:rsidRDefault="002327EC" w:rsidP="005A29C8">
            <w:pPr>
              <w:rPr>
                <w:rFonts w:ascii="Arial Black" w:hAnsi="Arial Black"/>
                <w:bCs/>
                <w:color w:val="000000"/>
                <w:sz w:val="24"/>
                <w:szCs w:val="24"/>
              </w:rPr>
            </w:pPr>
            <w:r w:rsidRPr="00651DDB">
              <w:rPr>
                <w:rFonts w:ascii="Arial Black" w:hAnsi="Arial Black"/>
                <w:bCs/>
                <w:color w:val="000000"/>
                <w:sz w:val="24"/>
                <w:szCs w:val="24"/>
              </w:rPr>
              <w:t xml:space="preserve">Section </w:t>
            </w:r>
            <w:r w:rsidR="005A29C8" w:rsidRPr="00651DDB">
              <w:rPr>
                <w:rFonts w:ascii="Arial Black" w:hAnsi="Arial Black"/>
                <w:bCs/>
                <w:color w:val="000000"/>
                <w:sz w:val="24"/>
                <w:szCs w:val="24"/>
              </w:rPr>
              <w:t>5303</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651DDB" w:rsidRDefault="005A29C8" w:rsidP="005A29C8">
            <w:pPr>
              <w:rPr>
                <w:rFonts w:ascii="Arial Black" w:hAnsi="Arial Black"/>
                <w:bCs/>
                <w:color w:val="000000"/>
                <w:sz w:val="24"/>
                <w:szCs w:val="24"/>
              </w:rPr>
            </w:pPr>
            <w:r w:rsidRPr="00651DDB">
              <w:rPr>
                <w:rFonts w:ascii="Arial Black" w:hAnsi="Arial Black"/>
                <w:bCs/>
                <w:color w:val="000000"/>
                <w:sz w:val="24"/>
                <w:szCs w:val="24"/>
              </w:rPr>
              <w:t>Metropolitan Planning Grant</w:t>
            </w:r>
            <w:r w:rsidR="002327EC" w:rsidRPr="00651DDB">
              <w:rPr>
                <w:rFonts w:ascii="Arial Black" w:hAnsi="Arial Black"/>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State of Hawaii</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Oahu Metropolitan Planning Organization</w:t>
            </w:r>
          </w:p>
        </w:tc>
      </w:tr>
      <w:tr w:rsidR="005A29C8" w:rsidRPr="005A29C8" w:rsidTr="005A29C8">
        <w:trPr>
          <w:trHeight w:val="30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Calibri" w:hAnsi="Calibri"/>
                <w:color w:val="000000"/>
                <w:sz w:val="22"/>
                <w:szCs w:val="22"/>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2327EC" w:rsidP="005A29C8">
            <w:pPr>
              <w:rPr>
                <w:rFonts w:ascii="Arial Black" w:hAnsi="Arial Black"/>
                <w:b/>
                <w:bCs/>
                <w:color w:val="000000"/>
                <w:sz w:val="24"/>
                <w:szCs w:val="24"/>
              </w:rPr>
            </w:pPr>
            <w:r>
              <w:rPr>
                <w:rFonts w:ascii="Arial Black" w:hAnsi="Arial Black"/>
                <w:b/>
                <w:bCs/>
                <w:color w:val="000000"/>
                <w:sz w:val="24"/>
                <w:szCs w:val="24"/>
              </w:rPr>
              <w:t xml:space="preserve">Section </w:t>
            </w:r>
            <w:r w:rsidR="005A29C8" w:rsidRPr="005A29C8">
              <w:rPr>
                <w:rFonts w:ascii="Arial Black" w:hAnsi="Arial Black"/>
                <w:b/>
                <w:bCs/>
                <w:color w:val="000000"/>
                <w:sz w:val="24"/>
                <w:szCs w:val="24"/>
              </w:rPr>
              <w:t>5304</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Statewide Planning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State of Hawaii</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Department of Transportation Statewide Transportation Planning Office</w:t>
            </w:r>
          </w:p>
        </w:tc>
      </w:tr>
      <w:tr w:rsidR="005A29C8" w:rsidRPr="005A29C8" w:rsidTr="005A29C8">
        <w:trPr>
          <w:trHeight w:val="30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Calibri" w:hAnsi="Calibri"/>
                <w:color w:val="000000"/>
                <w:sz w:val="22"/>
                <w:szCs w:val="22"/>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2327EC" w:rsidP="005A29C8">
            <w:pPr>
              <w:rPr>
                <w:rFonts w:ascii="Arial Black" w:hAnsi="Arial Black"/>
                <w:b/>
                <w:bCs/>
                <w:color w:val="000000"/>
                <w:sz w:val="24"/>
                <w:szCs w:val="24"/>
              </w:rPr>
            </w:pPr>
            <w:r>
              <w:rPr>
                <w:rFonts w:ascii="Arial Black" w:hAnsi="Arial Black"/>
                <w:b/>
                <w:bCs/>
                <w:color w:val="000000"/>
                <w:sz w:val="24"/>
                <w:szCs w:val="24"/>
              </w:rPr>
              <w:t xml:space="preserve">Section </w:t>
            </w:r>
            <w:r w:rsidR="005A29C8" w:rsidRPr="005A29C8">
              <w:rPr>
                <w:rFonts w:ascii="Arial Black" w:hAnsi="Arial Black"/>
                <w:b/>
                <w:bCs/>
                <w:color w:val="000000"/>
                <w:sz w:val="24"/>
                <w:szCs w:val="24"/>
              </w:rPr>
              <w:t>5309</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New Starts and Alaska-Hawaii Ferry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State of Hawaii</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Department of Land and Natural Resources</w:t>
            </w:r>
          </w:p>
        </w:tc>
      </w:tr>
      <w:tr w:rsidR="005A29C8" w:rsidRPr="005A29C8" w:rsidTr="005A29C8">
        <w:trPr>
          <w:trHeight w:val="30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Calibri" w:hAnsi="Calibri"/>
                <w:color w:val="000000"/>
                <w:sz w:val="22"/>
                <w:szCs w:val="22"/>
              </w:rPr>
            </w:pPr>
          </w:p>
        </w:tc>
      </w:tr>
    </w:tbl>
    <w:p w:rsidR="00AB2C38" w:rsidRDefault="00AB2C38">
      <w:r>
        <w:br w:type="page"/>
      </w:r>
    </w:p>
    <w:tbl>
      <w:tblPr>
        <w:tblW w:w="8020" w:type="dxa"/>
        <w:tblInd w:w="93" w:type="dxa"/>
        <w:tblLook w:val="04A0"/>
      </w:tblPr>
      <w:tblGrid>
        <w:gridCol w:w="8020"/>
      </w:tblGrid>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2327EC" w:rsidP="005A29C8">
            <w:pPr>
              <w:rPr>
                <w:rFonts w:ascii="Arial Black" w:hAnsi="Arial Black"/>
                <w:b/>
                <w:bCs/>
                <w:color w:val="000000"/>
                <w:sz w:val="24"/>
                <w:szCs w:val="24"/>
              </w:rPr>
            </w:pPr>
            <w:r>
              <w:rPr>
                <w:rFonts w:ascii="Arial Black" w:hAnsi="Arial Black"/>
                <w:b/>
                <w:bCs/>
                <w:color w:val="000000"/>
                <w:sz w:val="24"/>
                <w:szCs w:val="24"/>
              </w:rPr>
              <w:lastRenderedPageBreak/>
              <w:t xml:space="preserve">Section </w:t>
            </w:r>
            <w:r w:rsidR="005A29C8" w:rsidRPr="005A29C8">
              <w:rPr>
                <w:rFonts w:ascii="Arial Black" w:hAnsi="Arial Black"/>
                <w:b/>
                <w:bCs/>
                <w:color w:val="000000"/>
                <w:sz w:val="24"/>
                <w:szCs w:val="24"/>
              </w:rPr>
              <w:t>5309</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Bus and Bus Facility Program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County of Hawaii, Mass Transit Agency</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Maui County Department of Transportation</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Default="005A29C8" w:rsidP="005A29C8">
            <w:pPr>
              <w:rPr>
                <w:color w:val="000000"/>
                <w:sz w:val="24"/>
                <w:szCs w:val="24"/>
              </w:rPr>
            </w:pPr>
            <w:r w:rsidRPr="005A29C8">
              <w:rPr>
                <w:color w:val="000000"/>
                <w:sz w:val="24"/>
                <w:szCs w:val="24"/>
              </w:rPr>
              <w:t>County of Kauai Transportation Agency Office of Community Assistance</w:t>
            </w:r>
          </w:p>
          <w:p w:rsidR="00651DDB" w:rsidRDefault="00651DDB" w:rsidP="005A29C8">
            <w:pPr>
              <w:rPr>
                <w:color w:val="000000"/>
                <w:sz w:val="24"/>
                <w:szCs w:val="24"/>
              </w:rPr>
            </w:pPr>
          </w:p>
          <w:p w:rsidR="00651DDB" w:rsidRPr="00651DDB" w:rsidRDefault="00651DDB" w:rsidP="005A29C8">
            <w:pPr>
              <w:rPr>
                <w:rFonts w:ascii="Arial Black" w:hAnsi="Arial Black"/>
                <w:color w:val="000000"/>
                <w:sz w:val="24"/>
                <w:szCs w:val="24"/>
              </w:rPr>
            </w:pPr>
            <w:r w:rsidRPr="00651DDB">
              <w:rPr>
                <w:rFonts w:ascii="Arial Black" w:hAnsi="Arial Black"/>
                <w:color w:val="000000"/>
                <w:sz w:val="24"/>
                <w:szCs w:val="24"/>
              </w:rPr>
              <w:t>Section 5311</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Transportation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County of Hawaii, Mass Transit Agency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651DDB">
            <w:pPr>
              <w:rPr>
                <w:color w:val="000000"/>
                <w:sz w:val="24"/>
                <w:szCs w:val="24"/>
              </w:rPr>
            </w:pPr>
            <w:r w:rsidRPr="005A29C8">
              <w:rPr>
                <w:color w:val="000000"/>
                <w:sz w:val="24"/>
                <w:szCs w:val="24"/>
              </w:rPr>
              <w:t xml:space="preserve">Maui County Department of Transportation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County of Kauai Transportation Agency Office of Community Assistance</w:t>
            </w:r>
          </w:p>
        </w:tc>
      </w:tr>
      <w:tr w:rsidR="005A29C8" w:rsidRPr="005A29C8" w:rsidTr="005A29C8">
        <w:trPr>
          <w:trHeight w:val="30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Calibri" w:hAnsi="Calibri"/>
                <w:color w:val="000000"/>
                <w:sz w:val="22"/>
                <w:szCs w:val="22"/>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2327EC" w:rsidP="005A29C8">
            <w:pPr>
              <w:rPr>
                <w:rFonts w:ascii="Arial Black" w:hAnsi="Arial Black"/>
                <w:b/>
                <w:bCs/>
                <w:color w:val="000000"/>
                <w:sz w:val="24"/>
                <w:szCs w:val="24"/>
              </w:rPr>
            </w:pPr>
            <w:r>
              <w:rPr>
                <w:rFonts w:ascii="Arial Black" w:hAnsi="Arial Black"/>
                <w:b/>
                <w:bCs/>
                <w:color w:val="000000"/>
                <w:sz w:val="24"/>
                <w:szCs w:val="24"/>
              </w:rPr>
              <w:t xml:space="preserve">Section </w:t>
            </w:r>
            <w:r w:rsidR="005A29C8" w:rsidRPr="005A29C8">
              <w:rPr>
                <w:rFonts w:ascii="Arial Black" w:hAnsi="Arial Black"/>
                <w:b/>
                <w:bCs/>
                <w:color w:val="000000"/>
                <w:sz w:val="24"/>
                <w:szCs w:val="24"/>
              </w:rPr>
              <w:t>5316</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Job Access And Reverse Commute (JARC)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County of Hawaii, Mass Transit Agency </w:t>
            </w:r>
          </w:p>
        </w:tc>
      </w:tr>
      <w:tr w:rsidR="005A29C8" w:rsidRPr="005A29C8" w:rsidTr="005A29C8">
        <w:trPr>
          <w:trHeight w:val="30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Calibri" w:hAnsi="Calibri"/>
                <w:color w:val="000000"/>
                <w:sz w:val="22"/>
                <w:szCs w:val="22"/>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2327EC" w:rsidP="005A29C8">
            <w:pPr>
              <w:rPr>
                <w:rFonts w:ascii="Arial Black" w:hAnsi="Arial Black"/>
                <w:b/>
                <w:bCs/>
                <w:color w:val="000000"/>
                <w:sz w:val="24"/>
                <w:szCs w:val="24"/>
              </w:rPr>
            </w:pPr>
            <w:r>
              <w:rPr>
                <w:rFonts w:ascii="Arial Black" w:hAnsi="Arial Black"/>
                <w:b/>
                <w:bCs/>
                <w:color w:val="000000"/>
                <w:sz w:val="24"/>
                <w:szCs w:val="24"/>
              </w:rPr>
              <w:t xml:space="preserve">Section </w:t>
            </w:r>
            <w:r w:rsidR="005A29C8" w:rsidRPr="005A29C8">
              <w:rPr>
                <w:rFonts w:ascii="Arial Black" w:hAnsi="Arial Black"/>
                <w:b/>
                <w:bCs/>
                <w:color w:val="000000"/>
                <w:sz w:val="24"/>
                <w:szCs w:val="24"/>
              </w:rPr>
              <w:t>5317</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New Freedom Grant</w:t>
            </w:r>
            <w:r w:rsidR="002327EC">
              <w:rPr>
                <w:rFonts w:ascii="Arial Black" w:hAnsi="Arial Black"/>
                <w:b/>
                <w:bCs/>
                <w:color w:val="000000"/>
                <w:sz w:val="24"/>
                <w:szCs w:val="24"/>
              </w:rPr>
              <w:t>s</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Default="005A29C8" w:rsidP="005A29C8">
            <w:pPr>
              <w:rPr>
                <w:color w:val="000000"/>
                <w:sz w:val="24"/>
                <w:szCs w:val="24"/>
              </w:rPr>
            </w:pPr>
            <w:r w:rsidRPr="005A29C8">
              <w:rPr>
                <w:color w:val="000000"/>
                <w:sz w:val="24"/>
                <w:szCs w:val="24"/>
              </w:rPr>
              <w:t>County of Kauai Transportation Agency Office of Community Assistance</w:t>
            </w:r>
          </w:p>
          <w:p w:rsidR="002327EC" w:rsidRDefault="002327EC" w:rsidP="005A29C8">
            <w:pPr>
              <w:rPr>
                <w:color w:val="000000"/>
                <w:sz w:val="24"/>
                <w:szCs w:val="24"/>
              </w:rPr>
            </w:pPr>
          </w:p>
          <w:p w:rsidR="002327EC" w:rsidRDefault="002327EC" w:rsidP="005A29C8">
            <w:pPr>
              <w:rPr>
                <w:rFonts w:ascii="Arial Black" w:hAnsi="Arial Black"/>
                <w:color w:val="000000"/>
                <w:sz w:val="24"/>
                <w:szCs w:val="24"/>
              </w:rPr>
            </w:pPr>
            <w:r w:rsidRPr="00A113CF">
              <w:rPr>
                <w:rFonts w:ascii="Arial Black" w:hAnsi="Arial Black"/>
                <w:color w:val="000000"/>
                <w:sz w:val="24"/>
                <w:szCs w:val="24"/>
              </w:rPr>
              <w:t>Section 5310</w:t>
            </w:r>
          </w:p>
          <w:p w:rsidR="0098135E" w:rsidRDefault="0098135E" w:rsidP="005A29C8">
            <w:pPr>
              <w:rPr>
                <w:rFonts w:ascii="Arial Black" w:hAnsi="Arial Black"/>
                <w:b/>
                <w:bCs/>
                <w:color w:val="000000"/>
                <w:sz w:val="24"/>
                <w:szCs w:val="24"/>
              </w:rPr>
            </w:pPr>
            <w:r w:rsidRPr="005A29C8">
              <w:rPr>
                <w:rFonts w:ascii="Arial Black" w:hAnsi="Arial Black"/>
                <w:b/>
                <w:bCs/>
                <w:color w:val="000000"/>
                <w:sz w:val="24"/>
                <w:szCs w:val="24"/>
              </w:rPr>
              <w:t>Elderly And Persons With Disabilities Grant</w:t>
            </w:r>
            <w:r>
              <w:rPr>
                <w:rFonts w:ascii="Arial Black" w:hAnsi="Arial Black"/>
                <w:b/>
                <w:bCs/>
                <w:color w:val="000000"/>
                <w:sz w:val="24"/>
                <w:szCs w:val="24"/>
              </w:rPr>
              <w:t>s</w:t>
            </w:r>
          </w:p>
          <w:p w:rsidR="0098135E" w:rsidRPr="00A113CF" w:rsidRDefault="0098135E" w:rsidP="005A29C8">
            <w:pPr>
              <w:rPr>
                <w:rFonts w:ascii="Arial Black" w:hAnsi="Arial Black"/>
                <w:color w:val="000000"/>
                <w:sz w:val="24"/>
                <w:szCs w:val="24"/>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98135E">
            <w:pPr>
              <w:rPr>
                <w:rFonts w:ascii="Arial Black" w:hAnsi="Arial Black"/>
                <w:b/>
                <w:bCs/>
                <w:color w:val="000000"/>
                <w:sz w:val="24"/>
                <w:szCs w:val="24"/>
              </w:rPr>
            </w:pPr>
            <w:r w:rsidRPr="005A29C8">
              <w:rPr>
                <w:rFonts w:ascii="Arial Black" w:hAnsi="Arial Black"/>
                <w:b/>
                <w:bCs/>
                <w:color w:val="000000"/>
                <w:sz w:val="24"/>
                <w:szCs w:val="24"/>
              </w:rPr>
              <w:t xml:space="preserve">Hawaii County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Brantley Center, Inc.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Coordinated Services for the Elderly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County of Hawaii, Mass Transit Agency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Hawaii County Economic Opportunity Council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Hawaii Centers for Independent Living Hilo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Hawaii Island Adult Care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Kona Association for Retarded Citizens (ARC of Kona)</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Kona Adult Day Center, Inc.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Default="005A29C8" w:rsidP="00A113CF">
            <w:pPr>
              <w:rPr>
                <w:color w:val="000000"/>
                <w:sz w:val="24"/>
                <w:szCs w:val="24"/>
              </w:rPr>
            </w:pPr>
            <w:r w:rsidRPr="005A29C8">
              <w:rPr>
                <w:color w:val="000000"/>
                <w:sz w:val="24"/>
                <w:szCs w:val="24"/>
              </w:rPr>
              <w:t xml:space="preserve">The ARC of </w:t>
            </w:r>
            <w:r w:rsidR="00A113CF" w:rsidRPr="005A29C8">
              <w:rPr>
                <w:color w:val="000000"/>
                <w:sz w:val="24"/>
                <w:szCs w:val="24"/>
              </w:rPr>
              <w:t>Hilo</w:t>
            </w:r>
          </w:p>
          <w:p w:rsidR="00A113CF" w:rsidRPr="005A29C8" w:rsidRDefault="00A113CF" w:rsidP="00A113CF">
            <w:pPr>
              <w:rPr>
                <w:color w:val="000000"/>
                <w:sz w:val="24"/>
                <w:szCs w:val="24"/>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Kauai County</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Hawaii Centers for Independent Living Kauai</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Kauai Economic Opportunity, Inc.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Wilcox Memorial Hospital</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98135E">
            <w:pPr>
              <w:rPr>
                <w:color w:val="000000"/>
                <w:sz w:val="24"/>
                <w:szCs w:val="24"/>
              </w:rPr>
            </w:pPr>
            <w:r w:rsidRPr="005A29C8">
              <w:rPr>
                <w:color w:val="000000"/>
                <w:sz w:val="24"/>
                <w:szCs w:val="24"/>
              </w:rPr>
              <w:lastRenderedPageBreak/>
              <w:t xml:space="preserve">The ARC of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County of Kauai Transportation Agency, Office of Community Assistance</w:t>
            </w: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AA59B8" w:rsidRDefault="00AA59B8" w:rsidP="005A29C8">
            <w:pPr>
              <w:rPr>
                <w:rFonts w:ascii="Arial Black" w:hAnsi="Arial Black"/>
                <w:b/>
                <w:bCs/>
                <w:color w:val="000000"/>
                <w:sz w:val="24"/>
                <w:szCs w:val="24"/>
              </w:rPr>
            </w:pPr>
          </w:p>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Maui County</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Aloha House, Inc.</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Hale </w:t>
            </w:r>
            <w:proofErr w:type="spellStart"/>
            <w:r w:rsidRPr="005A29C8">
              <w:rPr>
                <w:color w:val="000000"/>
                <w:sz w:val="24"/>
                <w:szCs w:val="24"/>
              </w:rPr>
              <w:t>Makua</w:t>
            </w:r>
            <w:proofErr w:type="spellEnd"/>
            <w:r w:rsidRPr="005A29C8">
              <w:rPr>
                <w:color w:val="000000"/>
                <w:sz w:val="24"/>
                <w:szCs w:val="24"/>
              </w:rPr>
              <w:t xml:space="preserve"> - Wailuku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Ka Lima O Maui J. Walter Cameron Center</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proofErr w:type="spellStart"/>
            <w:r w:rsidRPr="005A29C8">
              <w:rPr>
                <w:color w:val="000000"/>
                <w:sz w:val="24"/>
                <w:szCs w:val="24"/>
              </w:rPr>
              <w:t>Kaunoa</w:t>
            </w:r>
            <w:proofErr w:type="spellEnd"/>
            <w:r w:rsidRPr="005A29C8">
              <w:rPr>
                <w:color w:val="000000"/>
                <w:sz w:val="24"/>
                <w:szCs w:val="24"/>
              </w:rPr>
              <w:t xml:space="preserve"> Senior Services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Maui Economic Opportunity Inc.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Default="005A29C8" w:rsidP="005A29C8">
            <w:pPr>
              <w:rPr>
                <w:color w:val="000000"/>
                <w:sz w:val="24"/>
                <w:szCs w:val="24"/>
              </w:rPr>
            </w:pPr>
            <w:r w:rsidRPr="005A29C8">
              <w:rPr>
                <w:color w:val="000000"/>
                <w:sz w:val="24"/>
                <w:szCs w:val="24"/>
              </w:rPr>
              <w:t>The ARC of Maui Cameron Center</w:t>
            </w:r>
          </w:p>
          <w:p w:rsidR="00A113CF" w:rsidRPr="005A29C8" w:rsidRDefault="00A113CF" w:rsidP="005A29C8">
            <w:pPr>
              <w:rPr>
                <w:color w:val="000000"/>
                <w:sz w:val="24"/>
                <w:szCs w:val="24"/>
              </w:rPr>
            </w:pPr>
          </w:p>
        </w:tc>
      </w:tr>
      <w:tr w:rsidR="005A29C8" w:rsidRPr="005A29C8" w:rsidTr="005A29C8">
        <w:trPr>
          <w:trHeight w:val="390"/>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rFonts w:ascii="Arial Black" w:hAnsi="Arial Black"/>
                <w:b/>
                <w:bCs/>
                <w:color w:val="000000"/>
                <w:sz w:val="24"/>
                <w:szCs w:val="24"/>
              </w:rPr>
            </w:pPr>
            <w:r w:rsidRPr="005A29C8">
              <w:rPr>
                <w:rFonts w:ascii="Arial Black" w:hAnsi="Arial Black"/>
                <w:b/>
                <w:bCs/>
                <w:color w:val="000000"/>
                <w:sz w:val="24"/>
                <w:szCs w:val="24"/>
              </w:rPr>
              <w:t>Oahu County</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Catholic Charities Hawaii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Easter Seals of Hawaii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Goodwill </w:t>
            </w:r>
            <w:proofErr w:type="spellStart"/>
            <w:r w:rsidRPr="005A29C8">
              <w:rPr>
                <w:color w:val="000000"/>
                <w:sz w:val="24"/>
                <w:szCs w:val="24"/>
              </w:rPr>
              <w:t>Indistries</w:t>
            </w:r>
            <w:proofErr w:type="spellEnd"/>
            <w:r w:rsidRPr="005A29C8">
              <w:rPr>
                <w:color w:val="000000"/>
                <w:sz w:val="24"/>
                <w:szCs w:val="24"/>
              </w:rPr>
              <w:t xml:space="preserve">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Hawaii Centers for Independent Living Oahu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Kaiser Consolidated Services Center at Dole Cannery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proofErr w:type="spellStart"/>
            <w:r w:rsidRPr="005A29C8">
              <w:rPr>
                <w:color w:val="000000"/>
                <w:sz w:val="24"/>
                <w:szCs w:val="24"/>
              </w:rPr>
              <w:t>Kokua</w:t>
            </w:r>
            <w:proofErr w:type="spellEnd"/>
            <w:r w:rsidRPr="005A29C8">
              <w:rPr>
                <w:color w:val="000000"/>
                <w:sz w:val="24"/>
                <w:szCs w:val="24"/>
              </w:rPr>
              <w:t xml:space="preserve"> </w:t>
            </w:r>
            <w:proofErr w:type="spellStart"/>
            <w:r w:rsidRPr="005A29C8">
              <w:rPr>
                <w:color w:val="000000"/>
                <w:sz w:val="24"/>
                <w:szCs w:val="24"/>
              </w:rPr>
              <w:t>Kalihi</w:t>
            </w:r>
            <w:proofErr w:type="spellEnd"/>
            <w:r w:rsidRPr="005A29C8">
              <w:rPr>
                <w:color w:val="000000"/>
                <w:sz w:val="24"/>
                <w:szCs w:val="24"/>
              </w:rPr>
              <w:t xml:space="preserve"> Valley Comprehensive Family Services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proofErr w:type="spellStart"/>
            <w:r w:rsidRPr="005A29C8">
              <w:rPr>
                <w:color w:val="000000"/>
                <w:sz w:val="24"/>
                <w:szCs w:val="24"/>
              </w:rPr>
              <w:t>Lanakila</w:t>
            </w:r>
            <w:proofErr w:type="spellEnd"/>
            <w:r w:rsidRPr="005A29C8">
              <w:rPr>
                <w:color w:val="000000"/>
                <w:sz w:val="24"/>
                <w:szCs w:val="24"/>
              </w:rPr>
              <w:t xml:space="preserve"> Pacific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Mental Health </w:t>
            </w:r>
            <w:proofErr w:type="spellStart"/>
            <w:r w:rsidRPr="005A29C8">
              <w:rPr>
                <w:color w:val="000000"/>
                <w:sz w:val="24"/>
                <w:szCs w:val="24"/>
              </w:rPr>
              <w:t>Kokua</w:t>
            </w:r>
            <w:proofErr w:type="spellEnd"/>
            <w:r w:rsidRPr="005A29C8">
              <w:rPr>
                <w:color w:val="000000"/>
                <w:sz w:val="24"/>
                <w:szCs w:val="24"/>
              </w:rPr>
              <w:t xml:space="preserve">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proofErr w:type="spellStart"/>
            <w:r w:rsidRPr="005A29C8">
              <w:rPr>
                <w:color w:val="000000"/>
                <w:sz w:val="24"/>
                <w:szCs w:val="24"/>
              </w:rPr>
              <w:t>Moiliili</w:t>
            </w:r>
            <w:proofErr w:type="spellEnd"/>
            <w:r w:rsidRPr="005A29C8">
              <w:rPr>
                <w:color w:val="000000"/>
                <w:sz w:val="24"/>
                <w:szCs w:val="24"/>
              </w:rPr>
              <w:t xml:space="preserve"> Community Center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Opportunities for the Retarded, Inc.(ORI </w:t>
            </w:r>
            <w:proofErr w:type="spellStart"/>
            <w:r w:rsidRPr="005A29C8">
              <w:rPr>
                <w:color w:val="000000"/>
                <w:sz w:val="24"/>
                <w:szCs w:val="24"/>
              </w:rPr>
              <w:t>Anuenue</w:t>
            </w:r>
            <w:proofErr w:type="spellEnd"/>
            <w:r w:rsidRPr="005A29C8">
              <w:rPr>
                <w:color w:val="000000"/>
                <w:sz w:val="24"/>
                <w:szCs w:val="24"/>
              </w:rPr>
              <w:t xml:space="preserve"> Hale)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Rehab Hospital of the Pacific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Special Education Center of Hawaii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The Arc in Hawaii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Waianae Coast Comprehensive Health Center </w:t>
            </w:r>
          </w:p>
        </w:tc>
      </w:tr>
      <w:tr w:rsidR="005A29C8" w:rsidRPr="005A29C8" w:rsidTr="005A29C8">
        <w:trPr>
          <w:trHeight w:val="315"/>
        </w:trPr>
        <w:tc>
          <w:tcPr>
            <w:tcW w:w="8020" w:type="dxa"/>
            <w:tcBorders>
              <w:top w:val="nil"/>
              <w:left w:val="nil"/>
              <w:bottom w:val="nil"/>
              <w:right w:val="nil"/>
            </w:tcBorders>
            <w:shd w:val="clear" w:color="auto" w:fill="auto"/>
            <w:noWrap/>
            <w:vAlign w:val="bottom"/>
            <w:hideMark/>
          </w:tcPr>
          <w:p w:rsidR="005A29C8" w:rsidRPr="005A29C8" w:rsidRDefault="005A29C8" w:rsidP="005A29C8">
            <w:pPr>
              <w:rPr>
                <w:color w:val="000000"/>
                <w:sz w:val="24"/>
                <w:szCs w:val="24"/>
              </w:rPr>
            </w:pPr>
            <w:r w:rsidRPr="005A29C8">
              <w:rPr>
                <w:color w:val="000000"/>
                <w:sz w:val="24"/>
                <w:szCs w:val="24"/>
              </w:rPr>
              <w:t xml:space="preserve">Windward Senior Day Care </w:t>
            </w:r>
          </w:p>
        </w:tc>
      </w:tr>
    </w:tbl>
    <w:p w:rsidR="00443A26" w:rsidRDefault="00443A26" w:rsidP="00255EE1">
      <w:pPr>
        <w:pStyle w:val="ListContinue2"/>
        <w:spacing w:after="0" w:line="360" w:lineRule="auto"/>
        <w:ind w:left="0"/>
        <w:rPr>
          <w:sz w:val="28"/>
        </w:rPr>
      </w:pPr>
    </w:p>
    <w:p w:rsidR="0099521B" w:rsidRDefault="00B60A72" w:rsidP="0099521B">
      <w:pPr>
        <w:pStyle w:val="ListContinue2"/>
        <w:spacing w:after="0" w:line="360" w:lineRule="auto"/>
        <w:ind w:left="0"/>
        <w:rPr>
          <w:color w:val="0000FF"/>
          <w:sz w:val="28"/>
        </w:rPr>
      </w:pPr>
      <w:r>
        <w:rPr>
          <w:sz w:val="28"/>
        </w:rPr>
        <w:t>HDOT</w:t>
      </w:r>
      <w:r w:rsidR="0099521B">
        <w:rPr>
          <w:sz w:val="28"/>
        </w:rPr>
        <w:t xml:space="preserve">’s service area is </w:t>
      </w:r>
      <w:r w:rsidR="008C1061">
        <w:rPr>
          <w:sz w:val="28"/>
        </w:rPr>
        <w:t xml:space="preserve">very </w:t>
      </w:r>
      <w:r w:rsidR="0099521B">
        <w:rPr>
          <w:sz w:val="28"/>
        </w:rPr>
        <w:t>diverse, with</w:t>
      </w:r>
      <w:r w:rsidR="007D6219">
        <w:rPr>
          <w:sz w:val="28"/>
        </w:rPr>
        <w:t xml:space="preserve"> White residents representing </w:t>
      </w:r>
      <w:r w:rsidR="00584474">
        <w:rPr>
          <w:sz w:val="28"/>
        </w:rPr>
        <w:t xml:space="preserve">24.3 </w:t>
      </w:r>
      <w:r w:rsidR="0099521B">
        <w:rPr>
          <w:sz w:val="28"/>
        </w:rPr>
        <w:t xml:space="preserve">percent of the total population.  Asians are </w:t>
      </w:r>
      <w:r w:rsidR="00C10267">
        <w:rPr>
          <w:sz w:val="28"/>
        </w:rPr>
        <w:t xml:space="preserve">the largest minority group at </w:t>
      </w:r>
      <w:r w:rsidR="00255EE1">
        <w:rPr>
          <w:sz w:val="28"/>
        </w:rPr>
        <w:softHyphen/>
      </w:r>
      <w:r w:rsidR="00255EE1">
        <w:rPr>
          <w:sz w:val="28"/>
        </w:rPr>
        <w:softHyphen/>
      </w:r>
      <w:r w:rsidR="00584474">
        <w:rPr>
          <w:sz w:val="28"/>
        </w:rPr>
        <w:t xml:space="preserve">41.6 </w:t>
      </w:r>
      <w:r w:rsidR="0099521B">
        <w:rPr>
          <w:sz w:val="28"/>
        </w:rPr>
        <w:t xml:space="preserve">percent. </w:t>
      </w:r>
      <w:r w:rsidR="00F1730E">
        <w:rPr>
          <w:sz w:val="28"/>
        </w:rPr>
        <w:t xml:space="preserve"> </w:t>
      </w:r>
      <w:r w:rsidR="007D6219">
        <w:rPr>
          <w:sz w:val="28"/>
        </w:rPr>
        <w:t>Hispanics follow at</w:t>
      </w:r>
      <w:r w:rsidR="00255EE1">
        <w:rPr>
          <w:sz w:val="28"/>
        </w:rPr>
        <w:t xml:space="preserve"> </w:t>
      </w:r>
      <w:r w:rsidR="00584474">
        <w:rPr>
          <w:sz w:val="28"/>
        </w:rPr>
        <w:t>21.4</w:t>
      </w:r>
      <w:r w:rsidR="0099521B">
        <w:rPr>
          <w:sz w:val="28"/>
        </w:rPr>
        <w:t xml:space="preserve"> </w:t>
      </w:r>
      <w:r w:rsidR="007D6219">
        <w:rPr>
          <w:sz w:val="28"/>
        </w:rPr>
        <w:t xml:space="preserve">percent and </w:t>
      </w:r>
      <w:r w:rsidR="0099521B">
        <w:rPr>
          <w:sz w:val="28"/>
        </w:rPr>
        <w:t xml:space="preserve">Native Hawaiians/Pacific Islanders represent </w:t>
      </w:r>
      <w:r w:rsidR="00584474">
        <w:rPr>
          <w:sz w:val="28"/>
        </w:rPr>
        <w:t xml:space="preserve">9.4 percent </w:t>
      </w:r>
      <w:r w:rsidR="0099521B">
        <w:rPr>
          <w:sz w:val="28"/>
        </w:rPr>
        <w:t>of the total population.</w:t>
      </w:r>
    </w:p>
    <w:p w:rsidR="00455321" w:rsidRDefault="00916DBF" w:rsidP="00A113CF">
      <w:pPr>
        <w:jc w:val="center"/>
        <w:rPr>
          <w:b/>
          <w:sz w:val="32"/>
          <w:szCs w:val="32"/>
        </w:rPr>
      </w:pPr>
      <w:r>
        <w:rPr>
          <w:b/>
          <w:sz w:val="28"/>
          <w:szCs w:val="28"/>
        </w:rPr>
        <w:br w:type="page"/>
      </w:r>
      <w:r w:rsidR="00455321">
        <w:rPr>
          <w:b/>
          <w:sz w:val="32"/>
          <w:szCs w:val="32"/>
        </w:rPr>
        <w:lastRenderedPageBreak/>
        <w:t>Table 1 – Demographics of the HDOT Service Area</w:t>
      </w:r>
    </w:p>
    <w:p w:rsidR="00455321" w:rsidRDefault="00455321" w:rsidP="00455321">
      <w:pPr>
        <w:jc w:val="center"/>
        <w:rPr>
          <w:b/>
          <w:sz w:val="28"/>
          <w:szCs w:val="28"/>
        </w:rPr>
      </w:pPr>
    </w:p>
    <w:p w:rsidR="00455321" w:rsidRDefault="00455321" w:rsidP="00455321">
      <w:pPr>
        <w:jc w:val="center"/>
        <w:rPr>
          <w:b/>
          <w:sz w:val="28"/>
          <w:szCs w:val="28"/>
        </w:rPr>
      </w:pPr>
      <w:r>
        <w:rPr>
          <w:b/>
          <w:sz w:val="28"/>
          <w:szCs w:val="28"/>
        </w:rPr>
        <w:t xml:space="preserve">Racial/ Ethnic Breakdown of the </w:t>
      </w:r>
    </w:p>
    <w:p w:rsidR="00455321" w:rsidRDefault="00455321" w:rsidP="00455321">
      <w:pPr>
        <w:jc w:val="center"/>
        <w:rPr>
          <w:b/>
          <w:sz w:val="28"/>
          <w:szCs w:val="28"/>
        </w:rPr>
      </w:pPr>
      <w:r>
        <w:rPr>
          <w:b/>
          <w:sz w:val="28"/>
          <w:szCs w:val="28"/>
        </w:rPr>
        <w:t>City of Honolulu and Hawaii’s Five County areas</w:t>
      </w:r>
    </w:p>
    <w:p w:rsidR="00455321" w:rsidRDefault="00455321" w:rsidP="00455321">
      <w:pPr>
        <w:jc w:val="center"/>
        <w:rPr>
          <w:b/>
          <w:sz w:val="28"/>
          <w:szCs w:val="28"/>
        </w:rPr>
      </w:pPr>
    </w:p>
    <w:p w:rsidR="00455321" w:rsidRDefault="00455321" w:rsidP="00455321">
      <w:pPr>
        <w:pStyle w:val="Heading9"/>
        <w:spacing w:line="360" w:lineRule="auto"/>
        <w:rPr>
          <w:bCs/>
          <w:sz w:val="28"/>
          <w:szCs w:val="28"/>
        </w:rPr>
      </w:pPr>
      <w:r>
        <w:rPr>
          <w:bCs/>
          <w:sz w:val="28"/>
          <w:szCs w:val="28"/>
        </w:rPr>
        <w:t>Source: 2000 U.S. Census</w:t>
      </w:r>
    </w:p>
    <w:p w:rsidR="0034153E" w:rsidRDefault="0034153E"/>
    <w:tbl>
      <w:tblPr>
        <w:tblW w:w="8815" w:type="dxa"/>
        <w:jc w:val="center"/>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1025"/>
        <w:gridCol w:w="757"/>
        <w:gridCol w:w="1091"/>
        <w:gridCol w:w="816"/>
        <w:gridCol w:w="789"/>
        <w:gridCol w:w="967"/>
        <w:gridCol w:w="966"/>
        <w:gridCol w:w="821"/>
      </w:tblGrid>
      <w:tr w:rsidR="00A86CB8" w:rsidRPr="00D33498" w:rsidTr="003F1B2A">
        <w:trPr>
          <w:jc w:val="center"/>
        </w:trPr>
        <w:tc>
          <w:tcPr>
            <w:tcW w:w="1583" w:type="dxa"/>
            <w:vMerge w:val="restart"/>
          </w:tcPr>
          <w:p w:rsidR="00A86CB8" w:rsidRPr="00D33498" w:rsidRDefault="00A86CB8" w:rsidP="003F1B2A">
            <w:pPr>
              <w:pStyle w:val="ReferenceLine"/>
              <w:rPr>
                <w:b/>
                <w:bCs/>
                <w:sz w:val="20"/>
              </w:rPr>
            </w:pPr>
            <w:r w:rsidRPr="00D33498">
              <w:rPr>
                <w:b/>
                <w:bCs/>
                <w:sz w:val="20"/>
              </w:rPr>
              <w:t>Racial/ Ethnic Group</w:t>
            </w:r>
          </w:p>
        </w:tc>
        <w:tc>
          <w:tcPr>
            <w:tcW w:w="1782" w:type="dxa"/>
            <w:gridSpan w:val="2"/>
          </w:tcPr>
          <w:p w:rsidR="00A86CB8" w:rsidRPr="00D33498" w:rsidRDefault="00A86CB8" w:rsidP="003F1B2A">
            <w:pPr>
              <w:pStyle w:val="Heading4"/>
              <w:rPr>
                <w:sz w:val="20"/>
              </w:rPr>
            </w:pPr>
            <w:r w:rsidRPr="00D33498">
              <w:rPr>
                <w:sz w:val="20"/>
              </w:rPr>
              <w:t xml:space="preserve">City of </w:t>
            </w:r>
            <w:r>
              <w:rPr>
                <w:sz w:val="20"/>
              </w:rPr>
              <w:t>Honolulu</w:t>
            </w:r>
          </w:p>
        </w:tc>
        <w:tc>
          <w:tcPr>
            <w:tcW w:w="1907" w:type="dxa"/>
            <w:gridSpan w:val="2"/>
          </w:tcPr>
          <w:p w:rsidR="00A86CB8" w:rsidRPr="00D33498" w:rsidRDefault="00A86CB8" w:rsidP="003F1B2A">
            <w:pPr>
              <w:pStyle w:val="Heading4"/>
              <w:rPr>
                <w:sz w:val="20"/>
              </w:rPr>
            </w:pPr>
            <w:r>
              <w:rPr>
                <w:sz w:val="20"/>
              </w:rPr>
              <w:t>Honolulu County</w:t>
            </w:r>
          </w:p>
        </w:tc>
        <w:tc>
          <w:tcPr>
            <w:tcW w:w="1756" w:type="dxa"/>
            <w:gridSpan w:val="2"/>
          </w:tcPr>
          <w:p w:rsidR="00A86CB8" w:rsidRPr="00D33498" w:rsidRDefault="00A86CB8" w:rsidP="003F1B2A">
            <w:pPr>
              <w:pStyle w:val="Heading4"/>
              <w:rPr>
                <w:sz w:val="20"/>
              </w:rPr>
            </w:pPr>
            <w:r>
              <w:rPr>
                <w:sz w:val="20"/>
              </w:rPr>
              <w:t>Kalawao County</w:t>
            </w:r>
          </w:p>
        </w:tc>
        <w:tc>
          <w:tcPr>
            <w:tcW w:w="1787" w:type="dxa"/>
            <w:gridSpan w:val="2"/>
          </w:tcPr>
          <w:p w:rsidR="00A86CB8" w:rsidRPr="00D33498" w:rsidRDefault="00A86CB8" w:rsidP="003F1B2A">
            <w:pPr>
              <w:pStyle w:val="Heading4"/>
              <w:rPr>
                <w:sz w:val="20"/>
              </w:rPr>
            </w:pPr>
            <w:r>
              <w:rPr>
                <w:sz w:val="20"/>
              </w:rPr>
              <w:t>Maui County</w:t>
            </w:r>
          </w:p>
        </w:tc>
      </w:tr>
      <w:tr w:rsidR="00A86CB8" w:rsidRPr="00D33498" w:rsidTr="003F1B2A">
        <w:trPr>
          <w:jc w:val="center"/>
        </w:trPr>
        <w:tc>
          <w:tcPr>
            <w:tcW w:w="1583" w:type="dxa"/>
            <w:vMerge/>
          </w:tcPr>
          <w:p w:rsidR="00A86CB8" w:rsidRPr="00D33498" w:rsidRDefault="00A86CB8" w:rsidP="003F1B2A">
            <w:pPr>
              <w:pStyle w:val="Heading4"/>
              <w:rPr>
                <w:b w:val="0"/>
                <w:sz w:val="20"/>
              </w:rPr>
            </w:pPr>
          </w:p>
        </w:tc>
        <w:tc>
          <w:tcPr>
            <w:tcW w:w="1025" w:type="dxa"/>
          </w:tcPr>
          <w:p w:rsidR="00A86CB8" w:rsidRPr="00D33498" w:rsidRDefault="00A86CB8" w:rsidP="003F1B2A">
            <w:pPr>
              <w:jc w:val="center"/>
              <w:rPr>
                <w:b/>
              </w:rPr>
            </w:pPr>
            <w:r w:rsidRPr="00D33498">
              <w:rPr>
                <w:b/>
              </w:rPr>
              <w:t>Num.</w:t>
            </w:r>
          </w:p>
        </w:tc>
        <w:tc>
          <w:tcPr>
            <w:tcW w:w="757" w:type="dxa"/>
          </w:tcPr>
          <w:p w:rsidR="00A86CB8" w:rsidRPr="00D33498" w:rsidRDefault="00A86CB8" w:rsidP="003F1B2A">
            <w:pPr>
              <w:jc w:val="center"/>
              <w:rPr>
                <w:b/>
              </w:rPr>
            </w:pPr>
            <w:r w:rsidRPr="00D33498">
              <w:rPr>
                <w:b/>
              </w:rPr>
              <w:t>%</w:t>
            </w:r>
          </w:p>
        </w:tc>
        <w:tc>
          <w:tcPr>
            <w:tcW w:w="1091" w:type="dxa"/>
          </w:tcPr>
          <w:p w:rsidR="00A86CB8" w:rsidRPr="00D33498" w:rsidRDefault="00A86CB8" w:rsidP="003F1B2A">
            <w:pPr>
              <w:jc w:val="center"/>
              <w:rPr>
                <w:b/>
                <w:bCs/>
              </w:rPr>
            </w:pPr>
            <w:r w:rsidRPr="00D33498">
              <w:rPr>
                <w:b/>
                <w:bCs/>
              </w:rPr>
              <w:t>Num.</w:t>
            </w:r>
          </w:p>
        </w:tc>
        <w:tc>
          <w:tcPr>
            <w:tcW w:w="816" w:type="dxa"/>
          </w:tcPr>
          <w:p w:rsidR="00A86CB8" w:rsidRPr="00D33498" w:rsidRDefault="00A86CB8" w:rsidP="003F1B2A">
            <w:pPr>
              <w:jc w:val="center"/>
              <w:rPr>
                <w:b/>
                <w:bCs/>
              </w:rPr>
            </w:pPr>
            <w:r w:rsidRPr="00D33498">
              <w:rPr>
                <w:b/>
                <w:bCs/>
              </w:rPr>
              <w:t>%</w:t>
            </w:r>
          </w:p>
        </w:tc>
        <w:tc>
          <w:tcPr>
            <w:tcW w:w="789" w:type="dxa"/>
          </w:tcPr>
          <w:p w:rsidR="00A86CB8" w:rsidRPr="00D33498" w:rsidRDefault="00A86CB8" w:rsidP="003F1B2A">
            <w:pPr>
              <w:jc w:val="center"/>
              <w:rPr>
                <w:b/>
                <w:bCs/>
              </w:rPr>
            </w:pPr>
            <w:r w:rsidRPr="00D33498">
              <w:rPr>
                <w:b/>
                <w:bCs/>
              </w:rPr>
              <w:t>Num.</w:t>
            </w:r>
          </w:p>
        </w:tc>
        <w:tc>
          <w:tcPr>
            <w:tcW w:w="967" w:type="dxa"/>
          </w:tcPr>
          <w:p w:rsidR="00A86CB8" w:rsidRPr="00D33498" w:rsidRDefault="00A86CB8" w:rsidP="003F1B2A">
            <w:pPr>
              <w:jc w:val="center"/>
              <w:rPr>
                <w:b/>
                <w:bCs/>
              </w:rPr>
            </w:pPr>
            <w:r w:rsidRPr="00D33498">
              <w:rPr>
                <w:b/>
                <w:bCs/>
              </w:rPr>
              <w:t>%</w:t>
            </w:r>
          </w:p>
        </w:tc>
        <w:tc>
          <w:tcPr>
            <w:tcW w:w="966" w:type="dxa"/>
          </w:tcPr>
          <w:p w:rsidR="00A86CB8" w:rsidRPr="00D33498" w:rsidRDefault="00A86CB8" w:rsidP="003F1B2A">
            <w:pPr>
              <w:jc w:val="center"/>
              <w:rPr>
                <w:b/>
                <w:bCs/>
              </w:rPr>
            </w:pPr>
            <w:r>
              <w:rPr>
                <w:b/>
                <w:bCs/>
              </w:rPr>
              <w:t>Num.</w:t>
            </w:r>
          </w:p>
        </w:tc>
        <w:tc>
          <w:tcPr>
            <w:tcW w:w="821" w:type="dxa"/>
          </w:tcPr>
          <w:p w:rsidR="00A86CB8" w:rsidRPr="00D33498" w:rsidRDefault="00A86CB8" w:rsidP="003F1B2A">
            <w:pPr>
              <w:jc w:val="center"/>
              <w:rPr>
                <w:b/>
                <w:bCs/>
              </w:rPr>
            </w:pPr>
            <w:r>
              <w:rPr>
                <w:b/>
                <w:bCs/>
              </w:rPr>
              <w:t>%</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White</w:t>
            </w:r>
          </w:p>
        </w:tc>
        <w:tc>
          <w:tcPr>
            <w:tcW w:w="1025" w:type="dxa"/>
          </w:tcPr>
          <w:p w:rsidR="00A86CB8" w:rsidRPr="00D33498" w:rsidRDefault="00A86CB8" w:rsidP="003F1B2A">
            <w:pPr>
              <w:jc w:val="right"/>
            </w:pPr>
            <w:r>
              <w:t>73,093</w:t>
            </w:r>
          </w:p>
        </w:tc>
        <w:tc>
          <w:tcPr>
            <w:tcW w:w="757" w:type="dxa"/>
          </w:tcPr>
          <w:p w:rsidR="00A86CB8" w:rsidRPr="00D33498" w:rsidRDefault="00A86CB8" w:rsidP="003F1B2A">
            <w:pPr>
              <w:jc w:val="right"/>
            </w:pPr>
            <w:r>
              <w:t>19.7</w:t>
            </w:r>
          </w:p>
        </w:tc>
        <w:tc>
          <w:tcPr>
            <w:tcW w:w="1091" w:type="dxa"/>
          </w:tcPr>
          <w:p w:rsidR="00A86CB8" w:rsidRPr="00D33498" w:rsidRDefault="00A86CB8" w:rsidP="003F1B2A">
            <w:pPr>
              <w:jc w:val="right"/>
              <w:rPr>
                <w:bCs/>
              </w:rPr>
            </w:pPr>
            <w:r>
              <w:rPr>
                <w:bCs/>
              </w:rPr>
              <w:t>186,484</w:t>
            </w:r>
          </w:p>
        </w:tc>
        <w:tc>
          <w:tcPr>
            <w:tcW w:w="816" w:type="dxa"/>
          </w:tcPr>
          <w:p w:rsidR="00A86CB8" w:rsidRPr="00D33498" w:rsidRDefault="00A86CB8" w:rsidP="003F1B2A">
            <w:pPr>
              <w:jc w:val="right"/>
              <w:rPr>
                <w:bCs/>
              </w:rPr>
            </w:pPr>
            <w:r>
              <w:rPr>
                <w:bCs/>
              </w:rPr>
              <w:t>21.3</w:t>
            </w:r>
          </w:p>
        </w:tc>
        <w:tc>
          <w:tcPr>
            <w:tcW w:w="789" w:type="dxa"/>
          </w:tcPr>
          <w:p w:rsidR="00A86CB8" w:rsidRPr="00D33498" w:rsidRDefault="00A86CB8" w:rsidP="003F1B2A">
            <w:pPr>
              <w:jc w:val="right"/>
              <w:rPr>
                <w:bCs/>
              </w:rPr>
            </w:pPr>
            <w:r>
              <w:rPr>
                <w:bCs/>
              </w:rPr>
              <w:t>38</w:t>
            </w:r>
          </w:p>
        </w:tc>
        <w:tc>
          <w:tcPr>
            <w:tcW w:w="967" w:type="dxa"/>
          </w:tcPr>
          <w:p w:rsidR="00A86CB8" w:rsidRPr="00D33498" w:rsidRDefault="00A86CB8" w:rsidP="003F1B2A">
            <w:pPr>
              <w:jc w:val="right"/>
              <w:rPr>
                <w:bCs/>
              </w:rPr>
            </w:pPr>
            <w:r>
              <w:rPr>
                <w:bCs/>
              </w:rPr>
              <w:t>25.9</w:t>
            </w:r>
          </w:p>
        </w:tc>
        <w:tc>
          <w:tcPr>
            <w:tcW w:w="966" w:type="dxa"/>
          </w:tcPr>
          <w:p w:rsidR="00A86CB8" w:rsidRPr="00D33498" w:rsidRDefault="00A86CB8" w:rsidP="003F1B2A">
            <w:pPr>
              <w:jc w:val="right"/>
              <w:rPr>
                <w:bCs/>
              </w:rPr>
            </w:pPr>
            <w:r>
              <w:rPr>
                <w:bCs/>
              </w:rPr>
              <w:t>43,421</w:t>
            </w:r>
          </w:p>
        </w:tc>
        <w:tc>
          <w:tcPr>
            <w:tcW w:w="821" w:type="dxa"/>
          </w:tcPr>
          <w:p w:rsidR="00A86CB8" w:rsidRPr="00D33498" w:rsidRDefault="00A86CB8" w:rsidP="003F1B2A">
            <w:pPr>
              <w:jc w:val="right"/>
              <w:rPr>
                <w:bCs/>
              </w:rPr>
            </w:pPr>
            <w:r>
              <w:rPr>
                <w:bCs/>
              </w:rPr>
              <w:t>33.9</w:t>
            </w:r>
          </w:p>
        </w:tc>
      </w:tr>
      <w:tr w:rsidR="00A86CB8" w:rsidRPr="00D33498" w:rsidTr="003F1B2A">
        <w:trPr>
          <w:trHeight w:val="197"/>
          <w:jc w:val="center"/>
        </w:trPr>
        <w:tc>
          <w:tcPr>
            <w:tcW w:w="1583" w:type="dxa"/>
          </w:tcPr>
          <w:p w:rsidR="00A86CB8" w:rsidRPr="00D33498" w:rsidRDefault="00A86CB8" w:rsidP="003F1B2A">
            <w:pPr>
              <w:pStyle w:val="Heading4"/>
              <w:rPr>
                <w:b w:val="0"/>
                <w:sz w:val="20"/>
              </w:rPr>
            </w:pPr>
            <w:r w:rsidRPr="00D33498">
              <w:rPr>
                <w:b w:val="0"/>
                <w:sz w:val="20"/>
              </w:rPr>
              <w:t>Black</w:t>
            </w:r>
          </w:p>
        </w:tc>
        <w:tc>
          <w:tcPr>
            <w:tcW w:w="1025" w:type="dxa"/>
          </w:tcPr>
          <w:p w:rsidR="00A86CB8" w:rsidRPr="00D33498" w:rsidRDefault="00A86CB8" w:rsidP="003F1B2A">
            <w:pPr>
              <w:jc w:val="right"/>
            </w:pPr>
            <w:r>
              <w:t>6,038</w:t>
            </w:r>
          </w:p>
        </w:tc>
        <w:tc>
          <w:tcPr>
            <w:tcW w:w="757" w:type="dxa"/>
          </w:tcPr>
          <w:p w:rsidR="00A86CB8" w:rsidRPr="00D33498" w:rsidRDefault="00A86CB8" w:rsidP="003F1B2A">
            <w:pPr>
              <w:jc w:val="right"/>
            </w:pPr>
            <w:r>
              <w:t>1.6</w:t>
            </w:r>
          </w:p>
        </w:tc>
        <w:tc>
          <w:tcPr>
            <w:tcW w:w="1091" w:type="dxa"/>
          </w:tcPr>
          <w:p w:rsidR="00A86CB8" w:rsidRPr="00D33498" w:rsidRDefault="00A86CB8" w:rsidP="003F1B2A">
            <w:pPr>
              <w:jc w:val="right"/>
              <w:rPr>
                <w:bCs/>
              </w:rPr>
            </w:pPr>
            <w:r>
              <w:rPr>
                <w:bCs/>
              </w:rPr>
              <w:t>20,619</w:t>
            </w:r>
          </w:p>
        </w:tc>
        <w:tc>
          <w:tcPr>
            <w:tcW w:w="816" w:type="dxa"/>
          </w:tcPr>
          <w:p w:rsidR="00A86CB8" w:rsidRPr="00D33498" w:rsidRDefault="00A86CB8" w:rsidP="003F1B2A">
            <w:pPr>
              <w:jc w:val="right"/>
              <w:rPr>
                <w:bCs/>
              </w:rPr>
            </w:pPr>
            <w:r>
              <w:rPr>
                <w:bCs/>
              </w:rPr>
              <w:t>2.4</w:t>
            </w:r>
          </w:p>
        </w:tc>
        <w:tc>
          <w:tcPr>
            <w:tcW w:w="789" w:type="dxa"/>
          </w:tcPr>
          <w:p w:rsidR="00A86CB8" w:rsidRPr="00D33498" w:rsidRDefault="00A86CB8" w:rsidP="003F1B2A">
            <w:pPr>
              <w:jc w:val="right"/>
              <w:rPr>
                <w:bCs/>
              </w:rPr>
            </w:pPr>
            <w:r>
              <w:rPr>
                <w:bCs/>
              </w:rPr>
              <w:t>0</w:t>
            </w:r>
          </w:p>
        </w:tc>
        <w:tc>
          <w:tcPr>
            <w:tcW w:w="967" w:type="dxa"/>
          </w:tcPr>
          <w:p w:rsidR="00A86CB8" w:rsidRPr="00D33498" w:rsidRDefault="00A86CB8" w:rsidP="003F1B2A">
            <w:pPr>
              <w:jc w:val="right"/>
              <w:rPr>
                <w:bCs/>
              </w:rPr>
            </w:pPr>
            <w:r>
              <w:rPr>
                <w:bCs/>
              </w:rPr>
              <w:t>0.0</w:t>
            </w:r>
          </w:p>
        </w:tc>
        <w:tc>
          <w:tcPr>
            <w:tcW w:w="966" w:type="dxa"/>
          </w:tcPr>
          <w:p w:rsidR="00A86CB8" w:rsidRPr="00D33498" w:rsidRDefault="00A86CB8" w:rsidP="003F1B2A">
            <w:pPr>
              <w:jc w:val="right"/>
              <w:rPr>
                <w:bCs/>
              </w:rPr>
            </w:pPr>
            <w:r>
              <w:rPr>
                <w:bCs/>
              </w:rPr>
              <w:t>509</w:t>
            </w:r>
          </w:p>
        </w:tc>
        <w:tc>
          <w:tcPr>
            <w:tcW w:w="821" w:type="dxa"/>
          </w:tcPr>
          <w:p w:rsidR="00A86CB8" w:rsidRPr="00D33498" w:rsidRDefault="00A86CB8" w:rsidP="003F1B2A">
            <w:pPr>
              <w:jc w:val="right"/>
              <w:rPr>
                <w:bCs/>
              </w:rPr>
            </w:pPr>
            <w:r>
              <w:rPr>
                <w:bCs/>
              </w:rPr>
              <w:t>0.4</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American Indian and Alaska Native</w:t>
            </w:r>
          </w:p>
        </w:tc>
        <w:tc>
          <w:tcPr>
            <w:tcW w:w="1025" w:type="dxa"/>
          </w:tcPr>
          <w:p w:rsidR="00A86CB8" w:rsidRPr="00D33498" w:rsidRDefault="00A86CB8" w:rsidP="003F1B2A">
            <w:pPr>
              <w:jc w:val="right"/>
            </w:pPr>
            <w:r>
              <w:t>689</w:t>
            </w:r>
          </w:p>
        </w:tc>
        <w:tc>
          <w:tcPr>
            <w:tcW w:w="757" w:type="dxa"/>
          </w:tcPr>
          <w:p w:rsidR="00A86CB8" w:rsidRPr="00D33498" w:rsidRDefault="00A86CB8" w:rsidP="003F1B2A">
            <w:pPr>
              <w:jc w:val="right"/>
            </w:pPr>
            <w:r>
              <w:t>0.2</w:t>
            </w:r>
          </w:p>
        </w:tc>
        <w:tc>
          <w:tcPr>
            <w:tcW w:w="1091" w:type="dxa"/>
          </w:tcPr>
          <w:p w:rsidR="00A86CB8" w:rsidRPr="00D33498" w:rsidRDefault="00A86CB8" w:rsidP="003F1B2A">
            <w:pPr>
              <w:jc w:val="right"/>
              <w:rPr>
                <w:bCs/>
              </w:rPr>
            </w:pPr>
            <w:r>
              <w:rPr>
                <w:bCs/>
              </w:rPr>
              <w:t>2,178</w:t>
            </w:r>
          </w:p>
        </w:tc>
        <w:tc>
          <w:tcPr>
            <w:tcW w:w="816" w:type="dxa"/>
          </w:tcPr>
          <w:p w:rsidR="00A86CB8" w:rsidRPr="00D33498" w:rsidRDefault="00A86CB8" w:rsidP="003F1B2A">
            <w:pPr>
              <w:jc w:val="right"/>
              <w:rPr>
                <w:bCs/>
              </w:rPr>
            </w:pPr>
            <w:r>
              <w:rPr>
                <w:bCs/>
              </w:rPr>
              <w:t>0.2</w:t>
            </w:r>
          </w:p>
        </w:tc>
        <w:tc>
          <w:tcPr>
            <w:tcW w:w="789" w:type="dxa"/>
          </w:tcPr>
          <w:p w:rsidR="00A86CB8" w:rsidRPr="00D33498" w:rsidRDefault="00A86CB8" w:rsidP="003F1B2A">
            <w:pPr>
              <w:jc w:val="right"/>
              <w:rPr>
                <w:bCs/>
              </w:rPr>
            </w:pPr>
            <w:r>
              <w:rPr>
                <w:bCs/>
              </w:rPr>
              <w:t>0</w:t>
            </w:r>
          </w:p>
        </w:tc>
        <w:tc>
          <w:tcPr>
            <w:tcW w:w="967" w:type="dxa"/>
          </w:tcPr>
          <w:p w:rsidR="00A86CB8" w:rsidRPr="00D33498" w:rsidRDefault="00A86CB8" w:rsidP="003F1B2A">
            <w:pPr>
              <w:jc w:val="right"/>
              <w:rPr>
                <w:bCs/>
              </w:rPr>
            </w:pPr>
            <w:r>
              <w:rPr>
                <w:bCs/>
              </w:rPr>
              <w:t>0.0</w:t>
            </w:r>
          </w:p>
        </w:tc>
        <w:tc>
          <w:tcPr>
            <w:tcW w:w="966" w:type="dxa"/>
          </w:tcPr>
          <w:p w:rsidR="00A86CB8" w:rsidRPr="00D33498" w:rsidRDefault="00A86CB8" w:rsidP="003F1B2A">
            <w:pPr>
              <w:jc w:val="right"/>
              <w:rPr>
                <w:bCs/>
              </w:rPr>
            </w:pPr>
            <w:r>
              <w:rPr>
                <w:bCs/>
              </w:rPr>
              <w:t>479</w:t>
            </w:r>
          </w:p>
        </w:tc>
        <w:tc>
          <w:tcPr>
            <w:tcW w:w="821" w:type="dxa"/>
          </w:tcPr>
          <w:p w:rsidR="00A86CB8" w:rsidRPr="00D33498" w:rsidRDefault="00A86CB8" w:rsidP="003F1B2A">
            <w:pPr>
              <w:jc w:val="right"/>
              <w:rPr>
                <w:bCs/>
              </w:rPr>
            </w:pPr>
            <w:r>
              <w:rPr>
                <w:bCs/>
              </w:rPr>
              <w:t>0.4</w:t>
            </w:r>
          </w:p>
        </w:tc>
      </w:tr>
      <w:tr w:rsidR="00A86CB8" w:rsidRPr="00D33498" w:rsidTr="003F1B2A">
        <w:trPr>
          <w:trHeight w:val="260"/>
          <w:jc w:val="center"/>
        </w:trPr>
        <w:tc>
          <w:tcPr>
            <w:tcW w:w="1583" w:type="dxa"/>
          </w:tcPr>
          <w:p w:rsidR="00A86CB8" w:rsidRPr="00D33498" w:rsidRDefault="00A86CB8" w:rsidP="003F1B2A">
            <w:pPr>
              <w:pStyle w:val="Heading4"/>
              <w:rPr>
                <w:b w:val="0"/>
                <w:sz w:val="20"/>
              </w:rPr>
            </w:pPr>
            <w:r w:rsidRPr="00D33498">
              <w:rPr>
                <w:b w:val="0"/>
                <w:sz w:val="20"/>
              </w:rPr>
              <w:t>Asian</w:t>
            </w:r>
          </w:p>
        </w:tc>
        <w:tc>
          <w:tcPr>
            <w:tcW w:w="1025" w:type="dxa"/>
          </w:tcPr>
          <w:p w:rsidR="00A86CB8" w:rsidRPr="00D33498" w:rsidRDefault="00A86CB8" w:rsidP="003F1B2A">
            <w:pPr>
              <w:pStyle w:val="ReferenceLine"/>
              <w:jc w:val="right"/>
              <w:rPr>
                <w:sz w:val="20"/>
              </w:rPr>
            </w:pPr>
            <w:r>
              <w:rPr>
                <w:sz w:val="20"/>
              </w:rPr>
              <w:t>207,588</w:t>
            </w:r>
          </w:p>
        </w:tc>
        <w:tc>
          <w:tcPr>
            <w:tcW w:w="757" w:type="dxa"/>
          </w:tcPr>
          <w:p w:rsidR="00A86CB8" w:rsidRPr="00D33498" w:rsidRDefault="00A86CB8" w:rsidP="003F1B2A">
            <w:pPr>
              <w:pStyle w:val="ReferenceLine"/>
              <w:jc w:val="right"/>
              <w:rPr>
                <w:sz w:val="20"/>
              </w:rPr>
            </w:pPr>
            <w:r>
              <w:rPr>
                <w:sz w:val="20"/>
              </w:rPr>
              <w:t>55.9</w:t>
            </w:r>
          </w:p>
        </w:tc>
        <w:tc>
          <w:tcPr>
            <w:tcW w:w="1091" w:type="dxa"/>
          </w:tcPr>
          <w:p w:rsidR="00A86CB8" w:rsidRPr="00D33498" w:rsidRDefault="00A86CB8" w:rsidP="003F1B2A">
            <w:pPr>
              <w:pStyle w:val="ReferenceLine"/>
              <w:jc w:val="right"/>
              <w:rPr>
                <w:sz w:val="20"/>
              </w:rPr>
            </w:pPr>
            <w:r>
              <w:rPr>
                <w:sz w:val="20"/>
              </w:rPr>
              <w:t>403,371</w:t>
            </w:r>
          </w:p>
        </w:tc>
        <w:tc>
          <w:tcPr>
            <w:tcW w:w="816" w:type="dxa"/>
          </w:tcPr>
          <w:p w:rsidR="00A86CB8" w:rsidRPr="00D33498" w:rsidRDefault="00A86CB8" w:rsidP="003F1B2A">
            <w:pPr>
              <w:pStyle w:val="ReferenceLine"/>
              <w:jc w:val="right"/>
              <w:rPr>
                <w:sz w:val="20"/>
              </w:rPr>
            </w:pPr>
            <w:r>
              <w:rPr>
                <w:sz w:val="20"/>
              </w:rPr>
              <w:t>46.0</w:t>
            </w:r>
          </w:p>
        </w:tc>
        <w:tc>
          <w:tcPr>
            <w:tcW w:w="789" w:type="dxa"/>
          </w:tcPr>
          <w:p w:rsidR="00A86CB8" w:rsidRPr="00D33498" w:rsidRDefault="00A86CB8" w:rsidP="003F1B2A">
            <w:pPr>
              <w:pStyle w:val="ReferenceLine"/>
              <w:jc w:val="right"/>
              <w:rPr>
                <w:sz w:val="20"/>
              </w:rPr>
            </w:pPr>
            <w:r>
              <w:rPr>
                <w:sz w:val="20"/>
              </w:rPr>
              <w:t>25</w:t>
            </w:r>
          </w:p>
        </w:tc>
        <w:tc>
          <w:tcPr>
            <w:tcW w:w="967" w:type="dxa"/>
          </w:tcPr>
          <w:p w:rsidR="00A86CB8" w:rsidRPr="00D33498" w:rsidRDefault="00A86CB8" w:rsidP="003F1B2A">
            <w:pPr>
              <w:pStyle w:val="ReferenceLine"/>
              <w:jc w:val="right"/>
              <w:rPr>
                <w:sz w:val="20"/>
              </w:rPr>
            </w:pPr>
            <w:r>
              <w:rPr>
                <w:sz w:val="20"/>
              </w:rPr>
              <w:t>17.0</w:t>
            </w:r>
          </w:p>
        </w:tc>
        <w:tc>
          <w:tcPr>
            <w:tcW w:w="966" w:type="dxa"/>
          </w:tcPr>
          <w:p w:rsidR="00A86CB8" w:rsidRPr="00D33498" w:rsidRDefault="00A86CB8" w:rsidP="003F1B2A">
            <w:pPr>
              <w:pStyle w:val="ReferenceLine"/>
              <w:jc w:val="right"/>
              <w:rPr>
                <w:sz w:val="20"/>
              </w:rPr>
            </w:pPr>
            <w:r>
              <w:rPr>
                <w:sz w:val="20"/>
              </w:rPr>
              <w:t>39,728</w:t>
            </w:r>
          </w:p>
        </w:tc>
        <w:tc>
          <w:tcPr>
            <w:tcW w:w="821" w:type="dxa"/>
          </w:tcPr>
          <w:p w:rsidR="00A86CB8" w:rsidRPr="00D33498" w:rsidRDefault="00A86CB8" w:rsidP="003F1B2A">
            <w:pPr>
              <w:pStyle w:val="ReferenceLine"/>
              <w:jc w:val="right"/>
              <w:rPr>
                <w:sz w:val="20"/>
              </w:rPr>
            </w:pPr>
            <w:r>
              <w:rPr>
                <w:sz w:val="20"/>
              </w:rPr>
              <w:t>31.0</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Hawaiian/Pacific Islander</w:t>
            </w:r>
          </w:p>
        </w:tc>
        <w:tc>
          <w:tcPr>
            <w:tcW w:w="1025" w:type="dxa"/>
          </w:tcPr>
          <w:p w:rsidR="00A86CB8" w:rsidRPr="00D33498" w:rsidRDefault="00A86CB8" w:rsidP="003F1B2A">
            <w:pPr>
              <w:jc w:val="right"/>
            </w:pPr>
            <w:r>
              <w:t>25,457</w:t>
            </w:r>
          </w:p>
        </w:tc>
        <w:tc>
          <w:tcPr>
            <w:tcW w:w="757" w:type="dxa"/>
          </w:tcPr>
          <w:p w:rsidR="00A86CB8" w:rsidRPr="00D33498" w:rsidRDefault="00A86CB8" w:rsidP="003F1B2A">
            <w:pPr>
              <w:jc w:val="right"/>
            </w:pPr>
            <w:r>
              <w:t>6.8</w:t>
            </w:r>
          </w:p>
        </w:tc>
        <w:tc>
          <w:tcPr>
            <w:tcW w:w="1091" w:type="dxa"/>
          </w:tcPr>
          <w:p w:rsidR="00A86CB8" w:rsidRPr="00D33498" w:rsidRDefault="00A86CB8" w:rsidP="003F1B2A">
            <w:pPr>
              <w:jc w:val="right"/>
            </w:pPr>
            <w:r>
              <w:t>77,680</w:t>
            </w:r>
          </w:p>
        </w:tc>
        <w:tc>
          <w:tcPr>
            <w:tcW w:w="816" w:type="dxa"/>
          </w:tcPr>
          <w:p w:rsidR="00A86CB8" w:rsidRPr="00D33498" w:rsidRDefault="00A86CB8" w:rsidP="003F1B2A">
            <w:pPr>
              <w:jc w:val="right"/>
            </w:pPr>
            <w:r>
              <w:t>8.9</w:t>
            </w:r>
          </w:p>
        </w:tc>
        <w:tc>
          <w:tcPr>
            <w:tcW w:w="789" w:type="dxa"/>
          </w:tcPr>
          <w:p w:rsidR="00A86CB8" w:rsidRPr="00D33498" w:rsidRDefault="00A86CB8" w:rsidP="003F1B2A">
            <w:pPr>
              <w:jc w:val="right"/>
            </w:pPr>
            <w:r>
              <w:t>71</w:t>
            </w:r>
          </w:p>
        </w:tc>
        <w:tc>
          <w:tcPr>
            <w:tcW w:w="967" w:type="dxa"/>
          </w:tcPr>
          <w:p w:rsidR="00A86CB8" w:rsidRPr="00D33498" w:rsidRDefault="00A86CB8" w:rsidP="003F1B2A">
            <w:pPr>
              <w:jc w:val="right"/>
            </w:pPr>
            <w:r>
              <w:t>48.3</w:t>
            </w:r>
          </w:p>
        </w:tc>
        <w:tc>
          <w:tcPr>
            <w:tcW w:w="966" w:type="dxa"/>
          </w:tcPr>
          <w:p w:rsidR="00A86CB8" w:rsidRPr="00D33498" w:rsidRDefault="00A86CB8" w:rsidP="003F1B2A">
            <w:pPr>
              <w:jc w:val="right"/>
            </w:pPr>
            <w:r>
              <w:t>13,730</w:t>
            </w:r>
          </w:p>
        </w:tc>
        <w:tc>
          <w:tcPr>
            <w:tcW w:w="821" w:type="dxa"/>
          </w:tcPr>
          <w:p w:rsidR="00A86CB8" w:rsidRPr="00D33498" w:rsidRDefault="00A86CB8" w:rsidP="003F1B2A">
            <w:pPr>
              <w:jc w:val="right"/>
            </w:pPr>
            <w:r>
              <w:t>10.7</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sidRPr="00D33498">
              <w:rPr>
                <w:b w:val="0"/>
                <w:sz w:val="20"/>
              </w:rPr>
              <w:t>Other Race</w:t>
            </w:r>
          </w:p>
        </w:tc>
        <w:tc>
          <w:tcPr>
            <w:tcW w:w="1025" w:type="dxa"/>
            <w:tcBorders>
              <w:bottom w:val="single" w:sz="4" w:space="0" w:color="auto"/>
            </w:tcBorders>
          </w:tcPr>
          <w:p w:rsidR="00A86CB8" w:rsidRPr="00D33498" w:rsidRDefault="00A86CB8" w:rsidP="003F1B2A">
            <w:pPr>
              <w:jc w:val="right"/>
            </w:pPr>
            <w:r>
              <w:t>3,318</w:t>
            </w:r>
          </w:p>
        </w:tc>
        <w:tc>
          <w:tcPr>
            <w:tcW w:w="757" w:type="dxa"/>
            <w:tcBorders>
              <w:bottom w:val="single" w:sz="4" w:space="0" w:color="auto"/>
            </w:tcBorders>
          </w:tcPr>
          <w:p w:rsidR="00A86CB8" w:rsidRPr="00D33498" w:rsidRDefault="00A86CB8" w:rsidP="003F1B2A">
            <w:pPr>
              <w:jc w:val="right"/>
            </w:pPr>
            <w:r>
              <w:t>0.9</w:t>
            </w:r>
          </w:p>
        </w:tc>
        <w:tc>
          <w:tcPr>
            <w:tcW w:w="1091" w:type="dxa"/>
            <w:tcBorders>
              <w:bottom w:val="single" w:sz="4" w:space="0" w:color="auto"/>
            </w:tcBorders>
          </w:tcPr>
          <w:p w:rsidR="00A86CB8" w:rsidRPr="00D33498" w:rsidRDefault="00A86CB8" w:rsidP="003F1B2A">
            <w:pPr>
              <w:jc w:val="right"/>
            </w:pPr>
            <w:r>
              <w:t>11,200</w:t>
            </w:r>
          </w:p>
        </w:tc>
        <w:tc>
          <w:tcPr>
            <w:tcW w:w="816" w:type="dxa"/>
            <w:tcBorders>
              <w:bottom w:val="single" w:sz="4" w:space="0" w:color="auto"/>
            </w:tcBorders>
          </w:tcPr>
          <w:p w:rsidR="00A86CB8" w:rsidRPr="00D33498" w:rsidRDefault="00A86CB8" w:rsidP="003F1B2A">
            <w:pPr>
              <w:jc w:val="right"/>
            </w:pPr>
            <w:r>
              <w:t>1.3</w:t>
            </w:r>
          </w:p>
        </w:tc>
        <w:tc>
          <w:tcPr>
            <w:tcW w:w="789" w:type="dxa"/>
            <w:tcBorders>
              <w:bottom w:val="single" w:sz="4" w:space="0" w:color="auto"/>
            </w:tcBorders>
          </w:tcPr>
          <w:p w:rsidR="00A86CB8" w:rsidRPr="00D33498" w:rsidRDefault="00A86CB8" w:rsidP="003F1B2A">
            <w:pPr>
              <w:jc w:val="right"/>
            </w:pPr>
            <w:r>
              <w:t>4</w:t>
            </w:r>
          </w:p>
        </w:tc>
        <w:tc>
          <w:tcPr>
            <w:tcW w:w="967" w:type="dxa"/>
            <w:tcBorders>
              <w:bottom w:val="single" w:sz="4" w:space="0" w:color="auto"/>
            </w:tcBorders>
          </w:tcPr>
          <w:p w:rsidR="00A86CB8" w:rsidRPr="00D33498" w:rsidRDefault="00A86CB8" w:rsidP="003F1B2A">
            <w:pPr>
              <w:jc w:val="right"/>
            </w:pPr>
            <w:r>
              <w:t>2.7</w:t>
            </w:r>
          </w:p>
        </w:tc>
        <w:tc>
          <w:tcPr>
            <w:tcW w:w="966" w:type="dxa"/>
            <w:tcBorders>
              <w:bottom w:val="single" w:sz="4" w:space="0" w:color="auto"/>
            </w:tcBorders>
          </w:tcPr>
          <w:p w:rsidR="00A86CB8" w:rsidRPr="00D33498" w:rsidRDefault="00A86CB8" w:rsidP="003F1B2A">
            <w:pPr>
              <w:jc w:val="right"/>
            </w:pPr>
            <w:r>
              <w:t>1,743</w:t>
            </w:r>
          </w:p>
        </w:tc>
        <w:tc>
          <w:tcPr>
            <w:tcW w:w="821" w:type="dxa"/>
            <w:tcBorders>
              <w:bottom w:val="single" w:sz="4" w:space="0" w:color="auto"/>
            </w:tcBorders>
          </w:tcPr>
          <w:p w:rsidR="00A86CB8" w:rsidRPr="00D33498" w:rsidRDefault="00A86CB8" w:rsidP="003F1B2A">
            <w:pPr>
              <w:jc w:val="right"/>
            </w:pPr>
            <w:r>
              <w:t>1.4</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Pr>
                <w:b w:val="0"/>
                <w:sz w:val="20"/>
              </w:rPr>
              <w:t>Two or More</w:t>
            </w:r>
          </w:p>
        </w:tc>
        <w:tc>
          <w:tcPr>
            <w:tcW w:w="1025" w:type="dxa"/>
            <w:tcBorders>
              <w:bottom w:val="single" w:sz="4" w:space="0" w:color="auto"/>
            </w:tcBorders>
          </w:tcPr>
          <w:p w:rsidR="00A86CB8" w:rsidRPr="00680392" w:rsidRDefault="00A86CB8" w:rsidP="003F1B2A">
            <w:pPr>
              <w:jc w:val="right"/>
            </w:pPr>
            <w:r w:rsidRPr="00680392">
              <w:t>55,474</w:t>
            </w:r>
          </w:p>
        </w:tc>
        <w:tc>
          <w:tcPr>
            <w:tcW w:w="757" w:type="dxa"/>
            <w:tcBorders>
              <w:bottom w:val="single" w:sz="4" w:space="0" w:color="auto"/>
            </w:tcBorders>
          </w:tcPr>
          <w:p w:rsidR="00A86CB8" w:rsidRPr="00D33498" w:rsidRDefault="00A86CB8" w:rsidP="003F1B2A">
            <w:pPr>
              <w:jc w:val="right"/>
            </w:pPr>
            <w:r>
              <w:t>14.9</w:t>
            </w:r>
          </w:p>
        </w:tc>
        <w:tc>
          <w:tcPr>
            <w:tcW w:w="1091" w:type="dxa"/>
            <w:tcBorders>
              <w:bottom w:val="single" w:sz="4" w:space="0" w:color="auto"/>
            </w:tcBorders>
          </w:tcPr>
          <w:p w:rsidR="00A86CB8" w:rsidRPr="00D33498" w:rsidRDefault="00A86CB8" w:rsidP="003F1B2A">
            <w:pPr>
              <w:jc w:val="right"/>
            </w:pPr>
            <w:r>
              <w:t>174,624</w:t>
            </w:r>
          </w:p>
        </w:tc>
        <w:tc>
          <w:tcPr>
            <w:tcW w:w="816" w:type="dxa"/>
            <w:tcBorders>
              <w:bottom w:val="single" w:sz="4" w:space="0" w:color="auto"/>
            </w:tcBorders>
          </w:tcPr>
          <w:p w:rsidR="00A86CB8" w:rsidRPr="00D33498" w:rsidRDefault="00A86CB8" w:rsidP="003F1B2A">
            <w:pPr>
              <w:jc w:val="right"/>
            </w:pPr>
            <w:r>
              <w:t>19.9</w:t>
            </w:r>
          </w:p>
        </w:tc>
        <w:tc>
          <w:tcPr>
            <w:tcW w:w="789" w:type="dxa"/>
            <w:tcBorders>
              <w:bottom w:val="single" w:sz="4" w:space="0" w:color="auto"/>
            </w:tcBorders>
          </w:tcPr>
          <w:p w:rsidR="00A86CB8" w:rsidRPr="00D33498" w:rsidRDefault="00A86CB8" w:rsidP="003F1B2A">
            <w:pPr>
              <w:jc w:val="right"/>
            </w:pPr>
            <w:r>
              <w:t>9</w:t>
            </w:r>
          </w:p>
        </w:tc>
        <w:tc>
          <w:tcPr>
            <w:tcW w:w="967" w:type="dxa"/>
            <w:tcBorders>
              <w:bottom w:val="single" w:sz="4" w:space="0" w:color="auto"/>
            </w:tcBorders>
          </w:tcPr>
          <w:p w:rsidR="00A86CB8" w:rsidRPr="00D33498" w:rsidRDefault="00A86CB8" w:rsidP="003F1B2A">
            <w:pPr>
              <w:jc w:val="right"/>
            </w:pPr>
            <w:r>
              <w:t>6.1</w:t>
            </w:r>
          </w:p>
        </w:tc>
        <w:tc>
          <w:tcPr>
            <w:tcW w:w="966" w:type="dxa"/>
            <w:tcBorders>
              <w:bottom w:val="single" w:sz="4" w:space="0" w:color="auto"/>
            </w:tcBorders>
          </w:tcPr>
          <w:p w:rsidR="00A86CB8" w:rsidRPr="00D33498" w:rsidRDefault="00A86CB8" w:rsidP="003F1B2A">
            <w:pPr>
              <w:jc w:val="right"/>
            </w:pPr>
            <w:r>
              <w:t>28,484</w:t>
            </w:r>
          </w:p>
        </w:tc>
        <w:tc>
          <w:tcPr>
            <w:tcW w:w="821" w:type="dxa"/>
            <w:tcBorders>
              <w:bottom w:val="single" w:sz="4" w:space="0" w:color="auto"/>
            </w:tcBorders>
          </w:tcPr>
          <w:p w:rsidR="00A86CB8" w:rsidRPr="00D33498" w:rsidRDefault="00A86CB8" w:rsidP="003F1B2A">
            <w:pPr>
              <w:jc w:val="right"/>
            </w:pPr>
            <w:r>
              <w:t>22.2</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sidRPr="00D33498">
              <w:rPr>
                <w:b w:val="0"/>
                <w:sz w:val="20"/>
              </w:rPr>
              <w:t>Hispanic Origin</w:t>
            </w:r>
            <w:r w:rsidRPr="00D33498">
              <w:rPr>
                <w:rStyle w:val="FootnoteReference"/>
                <w:b w:val="0"/>
                <w:sz w:val="20"/>
              </w:rPr>
              <w:footnoteReference w:id="1"/>
            </w:r>
          </w:p>
        </w:tc>
        <w:tc>
          <w:tcPr>
            <w:tcW w:w="1025" w:type="dxa"/>
            <w:tcBorders>
              <w:bottom w:val="single" w:sz="4" w:space="0" w:color="auto"/>
            </w:tcBorders>
          </w:tcPr>
          <w:p w:rsidR="00A86CB8" w:rsidRPr="00680392" w:rsidRDefault="00A86CB8" w:rsidP="003F1B2A">
            <w:pPr>
              <w:jc w:val="right"/>
            </w:pPr>
            <w:r>
              <w:t>16,229</w:t>
            </w:r>
          </w:p>
        </w:tc>
        <w:tc>
          <w:tcPr>
            <w:tcW w:w="757" w:type="dxa"/>
            <w:tcBorders>
              <w:bottom w:val="single" w:sz="4" w:space="0" w:color="auto"/>
            </w:tcBorders>
          </w:tcPr>
          <w:p w:rsidR="00A86CB8" w:rsidRDefault="00A86CB8" w:rsidP="003F1B2A">
            <w:pPr>
              <w:jc w:val="right"/>
            </w:pPr>
            <w:r>
              <w:t>4.4</w:t>
            </w:r>
          </w:p>
        </w:tc>
        <w:tc>
          <w:tcPr>
            <w:tcW w:w="1091" w:type="dxa"/>
            <w:tcBorders>
              <w:bottom w:val="single" w:sz="4" w:space="0" w:color="auto"/>
            </w:tcBorders>
          </w:tcPr>
          <w:p w:rsidR="00A86CB8" w:rsidRDefault="00A86CB8" w:rsidP="003F1B2A">
            <w:pPr>
              <w:jc w:val="right"/>
            </w:pPr>
            <w:r>
              <w:t>58,729</w:t>
            </w:r>
          </w:p>
        </w:tc>
        <w:tc>
          <w:tcPr>
            <w:tcW w:w="816" w:type="dxa"/>
            <w:tcBorders>
              <w:bottom w:val="single" w:sz="4" w:space="0" w:color="auto"/>
            </w:tcBorders>
          </w:tcPr>
          <w:p w:rsidR="00A86CB8" w:rsidRDefault="00A86CB8" w:rsidP="003F1B2A">
            <w:pPr>
              <w:jc w:val="right"/>
            </w:pPr>
            <w:r>
              <w:t>6.7</w:t>
            </w:r>
          </w:p>
        </w:tc>
        <w:tc>
          <w:tcPr>
            <w:tcW w:w="789" w:type="dxa"/>
            <w:tcBorders>
              <w:bottom w:val="single" w:sz="4" w:space="0" w:color="auto"/>
            </w:tcBorders>
          </w:tcPr>
          <w:p w:rsidR="00A86CB8" w:rsidRDefault="00A86CB8" w:rsidP="003F1B2A">
            <w:pPr>
              <w:jc w:val="right"/>
            </w:pPr>
            <w:r>
              <w:t>6</w:t>
            </w:r>
          </w:p>
        </w:tc>
        <w:tc>
          <w:tcPr>
            <w:tcW w:w="967" w:type="dxa"/>
            <w:tcBorders>
              <w:bottom w:val="single" w:sz="4" w:space="0" w:color="auto"/>
            </w:tcBorders>
          </w:tcPr>
          <w:p w:rsidR="00A86CB8" w:rsidRDefault="00A86CB8" w:rsidP="003F1B2A">
            <w:pPr>
              <w:jc w:val="right"/>
            </w:pPr>
            <w:r>
              <w:t>4.1</w:t>
            </w:r>
          </w:p>
        </w:tc>
        <w:tc>
          <w:tcPr>
            <w:tcW w:w="966" w:type="dxa"/>
            <w:tcBorders>
              <w:bottom w:val="single" w:sz="4" w:space="0" w:color="auto"/>
            </w:tcBorders>
          </w:tcPr>
          <w:p w:rsidR="00A86CB8" w:rsidRDefault="00A86CB8" w:rsidP="003F1B2A">
            <w:pPr>
              <w:jc w:val="right"/>
            </w:pPr>
            <w:r>
              <w:t>10,050</w:t>
            </w:r>
          </w:p>
        </w:tc>
        <w:tc>
          <w:tcPr>
            <w:tcW w:w="821" w:type="dxa"/>
            <w:tcBorders>
              <w:bottom w:val="single" w:sz="4" w:space="0" w:color="auto"/>
            </w:tcBorders>
          </w:tcPr>
          <w:p w:rsidR="00A86CB8" w:rsidRDefault="00A86CB8" w:rsidP="003F1B2A">
            <w:pPr>
              <w:jc w:val="right"/>
            </w:pPr>
            <w:r>
              <w:t>7.8</w:t>
            </w:r>
          </w:p>
        </w:tc>
      </w:tr>
      <w:tr w:rsidR="00A86CB8" w:rsidRPr="00D33498" w:rsidTr="003F1B2A">
        <w:trPr>
          <w:jc w:val="center"/>
        </w:trPr>
        <w:tc>
          <w:tcPr>
            <w:tcW w:w="1583" w:type="dxa"/>
            <w:tcBorders>
              <w:top w:val="double" w:sz="4" w:space="0" w:color="auto"/>
              <w:left w:val="double" w:sz="4" w:space="0" w:color="auto"/>
              <w:bottom w:val="double" w:sz="4" w:space="0" w:color="auto"/>
            </w:tcBorders>
          </w:tcPr>
          <w:p w:rsidR="00A86CB8" w:rsidRPr="00D33498" w:rsidRDefault="00A86CB8" w:rsidP="003F1B2A">
            <w:pPr>
              <w:pStyle w:val="Heading4"/>
              <w:rPr>
                <w:sz w:val="20"/>
                <w:u w:val="single"/>
              </w:rPr>
            </w:pPr>
            <w:r w:rsidRPr="00D33498">
              <w:rPr>
                <w:sz w:val="20"/>
                <w:u w:val="single"/>
              </w:rPr>
              <w:t>Total Population</w:t>
            </w:r>
          </w:p>
        </w:tc>
        <w:tc>
          <w:tcPr>
            <w:tcW w:w="1025" w:type="dxa"/>
            <w:tcBorders>
              <w:top w:val="double" w:sz="4" w:space="0" w:color="auto"/>
              <w:bottom w:val="double" w:sz="4" w:space="0" w:color="auto"/>
            </w:tcBorders>
          </w:tcPr>
          <w:p w:rsidR="00A86CB8" w:rsidRPr="00D33498" w:rsidRDefault="00A86CB8" w:rsidP="003F1B2A">
            <w:pPr>
              <w:jc w:val="right"/>
              <w:rPr>
                <w:b/>
                <w:bCs/>
                <w:u w:val="single"/>
              </w:rPr>
            </w:pPr>
            <w:r>
              <w:rPr>
                <w:b/>
                <w:bCs/>
                <w:u w:val="single"/>
              </w:rPr>
              <w:t>371,657</w:t>
            </w:r>
          </w:p>
        </w:tc>
        <w:tc>
          <w:tcPr>
            <w:tcW w:w="757"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100%</w:t>
            </w:r>
          </w:p>
        </w:tc>
        <w:tc>
          <w:tcPr>
            <w:tcW w:w="1091"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876,156</w:t>
            </w:r>
          </w:p>
        </w:tc>
        <w:tc>
          <w:tcPr>
            <w:tcW w:w="816"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sidRPr="00D33498">
              <w:rPr>
                <w:b/>
                <w:bCs/>
                <w:u w:val="single"/>
              </w:rPr>
              <w:t>100%</w:t>
            </w:r>
          </w:p>
        </w:tc>
        <w:tc>
          <w:tcPr>
            <w:tcW w:w="789"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147</w:t>
            </w:r>
          </w:p>
        </w:tc>
        <w:tc>
          <w:tcPr>
            <w:tcW w:w="967"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100%</w:t>
            </w:r>
          </w:p>
        </w:tc>
        <w:tc>
          <w:tcPr>
            <w:tcW w:w="966" w:type="dxa"/>
            <w:tcBorders>
              <w:top w:val="double" w:sz="4" w:space="0" w:color="auto"/>
              <w:bottom w:val="double" w:sz="4" w:space="0" w:color="auto"/>
            </w:tcBorders>
          </w:tcPr>
          <w:p w:rsidR="00A86CB8" w:rsidRPr="00D33498" w:rsidRDefault="00A86CB8" w:rsidP="003F1B2A">
            <w:pPr>
              <w:jc w:val="right"/>
              <w:rPr>
                <w:b/>
                <w:bCs/>
                <w:u w:val="single"/>
              </w:rPr>
            </w:pPr>
            <w:r>
              <w:rPr>
                <w:b/>
                <w:bCs/>
                <w:u w:val="single"/>
              </w:rPr>
              <w:t>128,094</w:t>
            </w:r>
          </w:p>
        </w:tc>
        <w:tc>
          <w:tcPr>
            <w:tcW w:w="821"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100%</w:t>
            </w:r>
          </w:p>
        </w:tc>
      </w:tr>
    </w:tbl>
    <w:p w:rsidR="00455321" w:rsidRDefault="00455321" w:rsidP="00455321">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990"/>
        <w:gridCol w:w="810"/>
        <w:gridCol w:w="1080"/>
        <w:gridCol w:w="810"/>
        <w:gridCol w:w="810"/>
        <w:gridCol w:w="900"/>
        <w:gridCol w:w="990"/>
        <w:gridCol w:w="810"/>
      </w:tblGrid>
      <w:tr w:rsidR="00A86CB8" w:rsidTr="003F1B2A">
        <w:trPr>
          <w:jc w:val="center"/>
        </w:trPr>
        <w:tc>
          <w:tcPr>
            <w:tcW w:w="1620" w:type="dxa"/>
          </w:tcPr>
          <w:p w:rsidR="00A86CB8" w:rsidRDefault="00A86CB8" w:rsidP="003F1B2A">
            <w:r>
              <w:t>Low Income</w:t>
            </w:r>
          </w:p>
        </w:tc>
        <w:tc>
          <w:tcPr>
            <w:tcW w:w="990" w:type="dxa"/>
          </w:tcPr>
          <w:p w:rsidR="00A86CB8" w:rsidRDefault="00A86CB8" w:rsidP="003F1B2A">
            <w:pPr>
              <w:jc w:val="center"/>
            </w:pPr>
            <w:r>
              <w:t>42,706</w:t>
            </w:r>
          </w:p>
        </w:tc>
        <w:tc>
          <w:tcPr>
            <w:tcW w:w="810" w:type="dxa"/>
          </w:tcPr>
          <w:p w:rsidR="00A86CB8" w:rsidRDefault="00A86CB8" w:rsidP="003F1B2A">
            <w:pPr>
              <w:jc w:val="center"/>
            </w:pPr>
            <w:r>
              <w:t>11.8</w:t>
            </w:r>
          </w:p>
        </w:tc>
        <w:tc>
          <w:tcPr>
            <w:tcW w:w="1080" w:type="dxa"/>
          </w:tcPr>
          <w:p w:rsidR="00A86CB8" w:rsidRDefault="00A86CB8" w:rsidP="003F1B2A">
            <w:pPr>
              <w:jc w:val="center"/>
            </w:pPr>
            <w:r>
              <w:t>83,937</w:t>
            </w:r>
          </w:p>
        </w:tc>
        <w:tc>
          <w:tcPr>
            <w:tcW w:w="810" w:type="dxa"/>
          </w:tcPr>
          <w:p w:rsidR="00A86CB8" w:rsidRDefault="00A86CB8" w:rsidP="003F1B2A">
            <w:pPr>
              <w:jc w:val="center"/>
            </w:pPr>
            <w:r>
              <w:t>9.9</w:t>
            </w:r>
          </w:p>
        </w:tc>
        <w:tc>
          <w:tcPr>
            <w:tcW w:w="810" w:type="dxa"/>
          </w:tcPr>
          <w:p w:rsidR="00A86CB8" w:rsidRDefault="00A86CB8" w:rsidP="003F1B2A">
            <w:pPr>
              <w:jc w:val="center"/>
            </w:pPr>
            <w:r>
              <w:t>59</w:t>
            </w:r>
          </w:p>
        </w:tc>
        <w:tc>
          <w:tcPr>
            <w:tcW w:w="900" w:type="dxa"/>
          </w:tcPr>
          <w:p w:rsidR="00A86CB8" w:rsidRDefault="00A86CB8" w:rsidP="003F1B2A">
            <w:pPr>
              <w:jc w:val="center"/>
            </w:pPr>
            <w:r>
              <w:t>40.1</w:t>
            </w:r>
          </w:p>
        </w:tc>
        <w:tc>
          <w:tcPr>
            <w:tcW w:w="990" w:type="dxa"/>
          </w:tcPr>
          <w:p w:rsidR="00A86CB8" w:rsidRDefault="00A86CB8" w:rsidP="003F1B2A">
            <w:pPr>
              <w:jc w:val="center"/>
            </w:pPr>
            <w:r>
              <w:t>13,252</w:t>
            </w:r>
          </w:p>
        </w:tc>
        <w:tc>
          <w:tcPr>
            <w:tcW w:w="810" w:type="dxa"/>
          </w:tcPr>
          <w:p w:rsidR="00A86CB8" w:rsidRDefault="00A86CB8" w:rsidP="003F1B2A">
            <w:pPr>
              <w:jc w:val="center"/>
            </w:pPr>
            <w:r>
              <w:t>10.5</w:t>
            </w:r>
          </w:p>
        </w:tc>
      </w:tr>
      <w:tr w:rsidR="00A86CB8" w:rsidTr="003F1B2A">
        <w:trPr>
          <w:jc w:val="center"/>
        </w:trPr>
        <w:tc>
          <w:tcPr>
            <w:tcW w:w="1620" w:type="dxa"/>
          </w:tcPr>
          <w:p w:rsidR="00A86CB8" w:rsidRDefault="00A86CB8" w:rsidP="003F1B2A">
            <w:r>
              <w:t xml:space="preserve">Limited English </w:t>
            </w:r>
          </w:p>
        </w:tc>
        <w:tc>
          <w:tcPr>
            <w:tcW w:w="990" w:type="dxa"/>
          </w:tcPr>
          <w:p w:rsidR="00A86CB8" w:rsidRDefault="00A86CB8" w:rsidP="003F1B2A">
            <w:pPr>
              <w:jc w:val="center"/>
            </w:pPr>
            <w:r>
              <w:t>93,895</w:t>
            </w:r>
          </w:p>
        </w:tc>
        <w:tc>
          <w:tcPr>
            <w:tcW w:w="810" w:type="dxa"/>
          </w:tcPr>
          <w:p w:rsidR="00A86CB8" w:rsidRDefault="00A86CB8" w:rsidP="003F1B2A">
            <w:pPr>
              <w:jc w:val="center"/>
            </w:pPr>
            <w:r>
              <w:t>25.3</w:t>
            </w:r>
          </w:p>
        </w:tc>
        <w:tc>
          <w:tcPr>
            <w:tcW w:w="1080" w:type="dxa"/>
          </w:tcPr>
          <w:p w:rsidR="00A86CB8" w:rsidRDefault="00A86CB8" w:rsidP="003F1B2A">
            <w:pPr>
              <w:jc w:val="center"/>
            </w:pPr>
            <w:r>
              <w:t>168,246</w:t>
            </w:r>
          </w:p>
        </w:tc>
        <w:tc>
          <w:tcPr>
            <w:tcW w:w="810" w:type="dxa"/>
          </w:tcPr>
          <w:p w:rsidR="00A86CB8" w:rsidRDefault="00A86CB8" w:rsidP="003F1B2A">
            <w:pPr>
              <w:jc w:val="center"/>
            </w:pPr>
            <w:r>
              <w:t>19.2</w:t>
            </w:r>
          </w:p>
        </w:tc>
        <w:tc>
          <w:tcPr>
            <w:tcW w:w="810" w:type="dxa"/>
          </w:tcPr>
          <w:p w:rsidR="00A86CB8" w:rsidRDefault="00A86CB8" w:rsidP="003F1B2A">
            <w:pPr>
              <w:jc w:val="center"/>
            </w:pPr>
            <w:r>
              <w:t>30</w:t>
            </w:r>
          </w:p>
        </w:tc>
        <w:tc>
          <w:tcPr>
            <w:tcW w:w="900" w:type="dxa"/>
          </w:tcPr>
          <w:p w:rsidR="00A86CB8" w:rsidRDefault="00A86CB8" w:rsidP="003F1B2A">
            <w:pPr>
              <w:jc w:val="center"/>
            </w:pPr>
            <w:r>
              <w:t>20.4</w:t>
            </w:r>
          </w:p>
        </w:tc>
        <w:tc>
          <w:tcPr>
            <w:tcW w:w="990" w:type="dxa"/>
          </w:tcPr>
          <w:p w:rsidR="00A86CB8" w:rsidRDefault="00A86CB8" w:rsidP="003F1B2A">
            <w:pPr>
              <w:jc w:val="center"/>
            </w:pPr>
            <w:r>
              <w:t>21,171</w:t>
            </w:r>
          </w:p>
        </w:tc>
        <w:tc>
          <w:tcPr>
            <w:tcW w:w="810" w:type="dxa"/>
          </w:tcPr>
          <w:p w:rsidR="00A86CB8" w:rsidRDefault="00A86CB8" w:rsidP="003F1B2A">
            <w:pPr>
              <w:jc w:val="center"/>
            </w:pPr>
            <w:r>
              <w:t>16.5</w:t>
            </w:r>
          </w:p>
        </w:tc>
      </w:tr>
    </w:tbl>
    <w:p w:rsidR="00A86CB8" w:rsidRDefault="00A86CB8" w:rsidP="00455321">
      <w:pPr>
        <w:jc w:val="center"/>
      </w:pPr>
    </w:p>
    <w:tbl>
      <w:tblPr>
        <w:tblW w:w="7355" w:type="dxa"/>
        <w:jc w:val="center"/>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966"/>
        <w:gridCol w:w="816"/>
        <w:gridCol w:w="1091"/>
        <w:gridCol w:w="816"/>
        <w:gridCol w:w="1116"/>
        <w:gridCol w:w="967"/>
      </w:tblGrid>
      <w:tr w:rsidR="00A86CB8" w:rsidRPr="00D33498" w:rsidTr="003F1B2A">
        <w:trPr>
          <w:jc w:val="center"/>
        </w:trPr>
        <w:tc>
          <w:tcPr>
            <w:tcW w:w="1583" w:type="dxa"/>
            <w:vMerge w:val="restart"/>
          </w:tcPr>
          <w:p w:rsidR="00A86CB8" w:rsidRPr="00D33498" w:rsidRDefault="00A86CB8" w:rsidP="003F1B2A">
            <w:pPr>
              <w:pStyle w:val="ReferenceLine"/>
              <w:rPr>
                <w:b/>
                <w:bCs/>
                <w:sz w:val="20"/>
              </w:rPr>
            </w:pPr>
            <w:r w:rsidRPr="00D33498">
              <w:rPr>
                <w:b/>
                <w:bCs/>
                <w:sz w:val="20"/>
              </w:rPr>
              <w:t>Racial/ Ethnic Group</w:t>
            </w:r>
          </w:p>
        </w:tc>
        <w:tc>
          <w:tcPr>
            <w:tcW w:w="1782" w:type="dxa"/>
            <w:gridSpan w:val="2"/>
          </w:tcPr>
          <w:p w:rsidR="00A86CB8" w:rsidRPr="00D33498" w:rsidRDefault="00A86CB8" w:rsidP="003F1B2A">
            <w:pPr>
              <w:pStyle w:val="Heading4"/>
              <w:rPr>
                <w:sz w:val="20"/>
              </w:rPr>
            </w:pPr>
            <w:r>
              <w:rPr>
                <w:sz w:val="20"/>
              </w:rPr>
              <w:t>Kauai County</w:t>
            </w:r>
          </w:p>
        </w:tc>
        <w:tc>
          <w:tcPr>
            <w:tcW w:w="1907" w:type="dxa"/>
            <w:gridSpan w:val="2"/>
          </w:tcPr>
          <w:p w:rsidR="00A86CB8" w:rsidRPr="00D33498" w:rsidRDefault="00A86CB8" w:rsidP="003F1B2A">
            <w:pPr>
              <w:pStyle w:val="Heading4"/>
              <w:rPr>
                <w:sz w:val="20"/>
              </w:rPr>
            </w:pPr>
            <w:r>
              <w:rPr>
                <w:sz w:val="20"/>
              </w:rPr>
              <w:t>Hawaii County</w:t>
            </w:r>
          </w:p>
        </w:tc>
        <w:tc>
          <w:tcPr>
            <w:tcW w:w="2083" w:type="dxa"/>
            <w:gridSpan w:val="2"/>
          </w:tcPr>
          <w:p w:rsidR="00A86CB8" w:rsidRPr="00D33498" w:rsidRDefault="00A86CB8" w:rsidP="003F1B2A">
            <w:pPr>
              <w:pStyle w:val="Heading4"/>
              <w:rPr>
                <w:sz w:val="20"/>
              </w:rPr>
            </w:pPr>
            <w:r>
              <w:rPr>
                <w:sz w:val="20"/>
              </w:rPr>
              <w:t>Total State of Hawaii</w:t>
            </w:r>
          </w:p>
        </w:tc>
      </w:tr>
      <w:tr w:rsidR="00A86CB8" w:rsidRPr="00D33498" w:rsidTr="003F1B2A">
        <w:trPr>
          <w:jc w:val="center"/>
        </w:trPr>
        <w:tc>
          <w:tcPr>
            <w:tcW w:w="1583" w:type="dxa"/>
            <w:vMerge/>
          </w:tcPr>
          <w:p w:rsidR="00A86CB8" w:rsidRPr="00D33498" w:rsidRDefault="00A86CB8" w:rsidP="003F1B2A">
            <w:pPr>
              <w:pStyle w:val="Heading4"/>
              <w:rPr>
                <w:b w:val="0"/>
                <w:sz w:val="20"/>
              </w:rPr>
            </w:pPr>
          </w:p>
        </w:tc>
        <w:tc>
          <w:tcPr>
            <w:tcW w:w="966" w:type="dxa"/>
          </w:tcPr>
          <w:p w:rsidR="00A86CB8" w:rsidRPr="00D33498" w:rsidRDefault="00A86CB8" w:rsidP="003F1B2A">
            <w:pPr>
              <w:jc w:val="center"/>
              <w:rPr>
                <w:b/>
              </w:rPr>
            </w:pPr>
            <w:r w:rsidRPr="00D33498">
              <w:rPr>
                <w:b/>
              </w:rPr>
              <w:t>Num.</w:t>
            </w:r>
          </w:p>
        </w:tc>
        <w:tc>
          <w:tcPr>
            <w:tcW w:w="816" w:type="dxa"/>
          </w:tcPr>
          <w:p w:rsidR="00A86CB8" w:rsidRPr="00D33498" w:rsidRDefault="00A86CB8" w:rsidP="003F1B2A">
            <w:pPr>
              <w:jc w:val="center"/>
              <w:rPr>
                <w:b/>
              </w:rPr>
            </w:pPr>
            <w:r w:rsidRPr="00D33498">
              <w:rPr>
                <w:b/>
              </w:rPr>
              <w:t>%</w:t>
            </w:r>
          </w:p>
        </w:tc>
        <w:tc>
          <w:tcPr>
            <w:tcW w:w="1091" w:type="dxa"/>
          </w:tcPr>
          <w:p w:rsidR="00A86CB8" w:rsidRPr="00D33498" w:rsidRDefault="00A86CB8" w:rsidP="003F1B2A">
            <w:pPr>
              <w:jc w:val="center"/>
              <w:rPr>
                <w:b/>
                <w:bCs/>
              </w:rPr>
            </w:pPr>
            <w:r w:rsidRPr="00D33498">
              <w:rPr>
                <w:b/>
                <w:bCs/>
              </w:rPr>
              <w:t>Num.</w:t>
            </w:r>
          </w:p>
        </w:tc>
        <w:tc>
          <w:tcPr>
            <w:tcW w:w="816" w:type="dxa"/>
          </w:tcPr>
          <w:p w:rsidR="00A86CB8" w:rsidRPr="00D33498" w:rsidRDefault="00A86CB8" w:rsidP="003F1B2A">
            <w:pPr>
              <w:jc w:val="center"/>
              <w:rPr>
                <w:b/>
                <w:bCs/>
              </w:rPr>
            </w:pPr>
            <w:r w:rsidRPr="00D33498">
              <w:rPr>
                <w:b/>
                <w:bCs/>
              </w:rPr>
              <w:t>%</w:t>
            </w:r>
          </w:p>
        </w:tc>
        <w:tc>
          <w:tcPr>
            <w:tcW w:w="1116" w:type="dxa"/>
          </w:tcPr>
          <w:p w:rsidR="00A86CB8" w:rsidRPr="00D33498" w:rsidRDefault="00A86CB8" w:rsidP="003F1B2A">
            <w:pPr>
              <w:jc w:val="center"/>
              <w:rPr>
                <w:b/>
                <w:bCs/>
              </w:rPr>
            </w:pPr>
            <w:r w:rsidRPr="00D33498">
              <w:rPr>
                <w:b/>
                <w:bCs/>
              </w:rPr>
              <w:t>Num.</w:t>
            </w:r>
          </w:p>
        </w:tc>
        <w:tc>
          <w:tcPr>
            <w:tcW w:w="967" w:type="dxa"/>
          </w:tcPr>
          <w:p w:rsidR="00A86CB8" w:rsidRPr="00D33498" w:rsidRDefault="00A86CB8" w:rsidP="003F1B2A">
            <w:pPr>
              <w:jc w:val="center"/>
              <w:rPr>
                <w:b/>
                <w:bCs/>
              </w:rPr>
            </w:pPr>
            <w:r w:rsidRPr="00D33498">
              <w:rPr>
                <w:b/>
                <w:bCs/>
              </w:rPr>
              <w:t>%</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White</w:t>
            </w:r>
          </w:p>
        </w:tc>
        <w:tc>
          <w:tcPr>
            <w:tcW w:w="966" w:type="dxa"/>
          </w:tcPr>
          <w:p w:rsidR="00A86CB8" w:rsidRPr="00D33498" w:rsidRDefault="00A86CB8" w:rsidP="003F1B2A">
            <w:pPr>
              <w:jc w:val="right"/>
            </w:pPr>
            <w:r>
              <w:t>17,255</w:t>
            </w:r>
          </w:p>
        </w:tc>
        <w:tc>
          <w:tcPr>
            <w:tcW w:w="816" w:type="dxa"/>
          </w:tcPr>
          <w:p w:rsidR="00A86CB8" w:rsidRPr="00D33498" w:rsidRDefault="00A86CB8" w:rsidP="003F1B2A">
            <w:pPr>
              <w:jc w:val="right"/>
            </w:pPr>
            <w:r>
              <w:t>29.5</w:t>
            </w:r>
          </w:p>
        </w:tc>
        <w:tc>
          <w:tcPr>
            <w:tcW w:w="1091" w:type="dxa"/>
          </w:tcPr>
          <w:p w:rsidR="00A86CB8" w:rsidRPr="00D33498" w:rsidRDefault="00A86CB8" w:rsidP="003F1B2A">
            <w:pPr>
              <w:jc w:val="right"/>
              <w:rPr>
                <w:bCs/>
              </w:rPr>
            </w:pPr>
            <w:r>
              <w:rPr>
                <w:bCs/>
              </w:rPr>
              <w:t>46,904</w:t>
            </w:r>
          </w:p>
        </w:tc>
        <w:tc>
          <w:tcPr>
            <w:tcW w:w="816" w:type="dxa"/>
          </w:tcPr>
          <w:p w:rsidR="00A86CB8" w:rsidRPr="00D33498" w:rsidRDefault="00A86CB8" w:rsidP="003F1B2A">
            <w:pPr>
              <w:jc w:val="right"/>
              <w:rPr>
                <w:bCs/>
              </w:rPr>
            </w:pPr>
            <w:r>
              <w:rPr>
                <w:bCs/>
              </w:rPr>
              <w:t>31.5</w:t>
            </w:r>
          </w:p>
        </w:tc>
        <w:tc>
          <w:tcPr>
            <w:tcW w:w="1116" w:type="dxa"/>
          </w:tcPr>
          <w:p w:rsidR="00A86CB8" w:rsidRPr="00D33498" w:rsidRDefault="00A86CB8" w:rsidP="003F1B2A">
            <w:pPr>
              <w:jc w:val="right"/>
              <w:rPr>
                <w:bCs/>
              </w:rPr>
            </w:pPr>
            <w:r>
              <w:rPr>
                <w:bCs/>
              </w:rPr>
              <w:t>294,102</w:t>
            </w:r>
          </w:p>
        </w:tc>
        <w:tc>
          <w:tcPr>
            <w:tcW w:w="967" w:type="dxa"/>
          </w:tcPr>
          <w:p w:rsidR="00A86CB8" w:rsidRPr="00D33498" w:rsidRDefault="00A86CB8" w:rsidP="003F1B2A">
            <w:pPr>
              <w:jc w:val="right"/>
              <w:rPr>
                <w:bCs/>
              </w:rPr>
            </w:pPr>
            <w:r>
              <w:rPr>
                <w:bCs/>
              </w:rPr>
              <w:t>24.3</w:t>
            </w:r>
          </w:p>
        </w:tc>
      </w:tr>
      <w:tr w:rsidR="00A86CB8" w:rsidRPr="00D33498" w:rsidTr="003F1B2A">
        <w:trPr>
          <w:trHeight w:val="233"/>
          <w:jc w:val="center"/>
        </w:trPr>
        <w:tc>
          <w:tcPr>
            <w:tcW w:w="1583" w:type="dxa"/>
          </w:tcPr>
          <w:p w:rsidR="00A86CB8" w:rsidRPr="00D33498" w:rsidRDefault="00A86CB8" w:rsidP="003F1B2A">
            <w:pPr>
              <w:pStyle w:val="Heading4"/>
              <w:rPr>
                <w:b w:val="0"/>
                <w:sz w:val="20"/>
              </w:rPr>
            </w:pPr>
            <w:r w:rsidRPr="00D33498">
              <w:rPr>
                <w:b w:val="0"/>
                <w:sz w:val="20"/>
              </w:rPr>
              <w:t>Black</w:t>
            </w:r>
          </w:p>
        </w:tc>
        <w:tc>
          <w:tcPr>
            <w:tcW w:w="966" w:type="dxa"/>
          </w:tcPr>
          <w:p w:rsidR="00A86CB8" w:rsidRPr="00D33498" w:rsidRDefault="00A86CB8" w:rsidP="003F1B2A">
            <w:pPr>
              <w:jc w:val="right"/>
            </w:pPr>
            <w:r>
              <w:t>177</w:t>
            </w:r>
          </w:p>
        </w:tc>
        <w:tc>
          <w:tcPr>
            <w:tcW w:w="816" w:type="dxa"/>
          </w:tcPr>
          <w:p w:rsidR="00A86CB8" w:rsidRPr="00D33498" w:rsidRDefault="00A86CB8" w:rsidP="003F1B2A">
            <w:pPr>
              <w:jc w:val="right"/>
            </w:pPr>
            <w:r>
              <w:t>0.3</w:t>
            </w:r>
          </w:p>
        </w:tc>
        <w:tc>
          <w:tcPr>
            <w:tcW w:w="1091" w:type="dxa"/>
          </w:tcPr>
          <w:p w:rsidR="00A86CB8" w:rsidRPr="00D33498" w:rsidRDefault="00A86CB8" w:rsidP="003F1B2A">
            <w:pPr>
              <w:jc w:val="right"/>
              <w:rPr>
                <w:bCs/>
              </w:rPr>
            </w:pPr>
            <w:r>
              <w:rPr>
                <w:bCs/>
              </w:rPr>
              <w:t>698</w:t>
            </w:r>
          </w:p>
        </w:tc>
        <w:tc>
          <w:tcPr>
            <w:tcW w:w="816" w:type="dxa"/>
          </w:tcPr>
          <w:p w:rsidR="00A86CB8" w:rsidRPr="00D33498" w:rsidRDefault="00A86CB8" w:rsidP="003F1B2A">
            <w:pPr>
              <w:jc w:val="right"/>
              <w:rPr>
                <w:bCs/>
              </w:rPr>
            </w:pPr>
            <w:r>
              <w:rPr>
                <w:bCs/>
              </w:rPr>
              <w:t>0.5</w:t>
            </w:r>
          </w:p>
        </w:tc>
        <w:tc>
          <w:tcPr>
            <w:tcW w:w="1116" w:type="dxa"/>
          </w:tcPr>
          <w:p w:rsidR="00A86CB8" w:rsidRPr="006015AC" w:rsidRDefault="00A86CB8" w:rsidP="003F1B2A">
            <w:pPr>
              <w:jc w:val="right"/>
            </w:pPr>
            <w:r>
              <w:rPr>
                <w:bCs/>
              </w:rPr>
              <w:t>22,003</w:t>
            </w:r>
          </w:p>
        </w:tc>
        <w:tc>
          <w:tcPr>
            <w:tcW w:w="967" w:type="dxa"/>
          </w:tcPr>
          <w:p w:rsidR="00A86CB8" w:rsidRPr="00D33498" w:rsidRDefault="00A86CB8" w:rsidP="003F1B2A">
            <w:pPr>
              <w:jc w:val="right"/>
              <w:rPr>
                <w:bCs/>
              </w:rPr>
            </w:pPr>
            <w:r>
              <w:rPr>
                <w:bCs/>
              </w:rPr>
              <w:t>1.8</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American Indian and Alaska Native</w:t>
            </w:r>
          </w:p>
        </w:tc>
        <w:tc>
          <w:tcPr>
            <w:tcW w:w="966" w:type="dxa"/>
          </w:tcPr>
          <w:p w:rsidR="00A86CB8" w:rsidRPr="00D33498" w:rsidRDefault="00A86CB8" w:rsidP="003F1B2A">
            <w:pPr>
              <w:jc w:val="right"/>
            </w:pPr>
            <w:r>
              <w:t>212</w:t>
            </w:r>
          </w:p>
        </w:tc>
        <w:tc>
          <w:tcPr>
            <w:tcW w:w="816" w:type="dxa"/>
          </w:tcPr>
          <w:p w:rsidR="00A86CB8" w:rsidRPr="00D33498" w:rsidRDefault="00A86CB8" w:rsidP="003F1B2A">
            <w:pPr>
              <w:jc w:val="right"/>
            </w:pPr>
            <w:r>
              <w:t>0.4</w:t>
            </w:r>
          </w:p>
        </w:tc>
        <w:tc>
          <w:tcPr>
            <w:tcW w:w="1091" w:type="dxa"/>
          </w:tcPr>
          <w:p w:rsidR="00A86CB8" w:rsidRPr="00D33498" w:rsidRDefault="00A86CB8" w:rsidP="003F1B2A">
            <w:pPr>
              <w:jc w:val="right"/>
              <w:rPr>
                <w:bCs/>
              </w:rPr>
            </w:pPr>
            <w:r>
              <w:rPr>
                <w:bCs/>
              </w:rPr>
              <w:t>666</w:t>
            </w:r>
          </w:p>
        </w:tc>
        <w:tc>
          <w:tcPr>
            <w:tcW w:w="816" w:type="dxa"/>
          </w:tcPr>
          <w:p w:rsidR="00A86CB8" w:rsidRPr="00D33498" w:rsidRDefault="00A86CB8" w:rsidP="003F1B2A">
            <w:pPr>
              <w:jc w:val="right"/>
              <w:rPr>
                <w:bCs/>
              </w:rPr>
            </w:pPr>
            <w:r>
              <w:rPr>
                <w:bCs/>
              </w:rPr>
              <w:t>0.4</w:t>
            </w:r>
          </w:p>
        </w:tc>
        <w:tc>
          <w:tcPr>
            <w:tcW w:w="1116" w:type="dxa"/>
          </w:tcPr>
          <w:p w:rsidR="00A86CB8" w:rsidRPr="00D33498" w:rsidRDefault="00A86CB8" w:rsidP="003F1B2A">
            <w:pPr>
              <w:jc w:val="right"/>
              <w:rPr>
                <w:bCs/>
              </w:rPr>
            </w:pPr>
            <w:r>
              <w:rPr>
                <w:bCs/>
              </w:rPr>
              <w:t>3,535</w:t>
            </w:r>
          </w:p>
        </w:tc>
        <w:tc>
          <w:tcPr>
            <w:tcW w:w="967" w:type="dxa"/>
          </w:tcPr>
          <w:p w:rsidR="00A86CB8" w:rsidRPr="00D33498" w:rsidRDefault="00A86CB8" w:rsidP="003F1B2A">
            <w:pPr>
              <w:jc w:val="right"/>
              <w:rPr>
                <w:bCs/>
              </w:rPr>
            </w:pPr>
            <w:r>
              <w:rPr>
                <w:bCs/>
              </w:rPr>
              <w:t>0.3</w:t>
            </w:r>
          </w:p>
        </w:tc>
      </w:tr>
      <w:tr w:rsidR="00A86CB8" w:rsidRPr="00D33498" w:rsidTr="003F1B2A">
        <w:trPr>
          <w:trHeight w:val="278"/>
          <w:jc w:val="center"/>
        </w:trPr>
        <w:tc>
          <w:tcPr>
            <w:tcW w:w="1583" w:type="dxa"/>
          </w:tcPr>
          <w:p w:rsidR="00A86CB8" w:rsidRPr="00D33498" w:rsidRDefault="00A86CB8" w:rsidP="003F1B2A">
            <w:pPr>
              <w:pStyle w:val="Heading4"/>
              <w:rPr>
                <w:b w:val="0"/>
                <w:sz w:val="20"/>
              </w:rPr>
            </w:pPr>
            <w:r w:rsidRPr="00D33498">
              <w:rPr>
                <w:b w:val="0"/>
                <w:sz w:val="20"/>
              </w:rPr>
              <w:t>Asian</w:t>
            </w:r>
          </w:p>
        </w:tc>
        <w:tc>
          <w:tcPr>
            <w:tcW w:w="966" w:type="dxa"/>
          </w:tcPr>
          <w:p w:rsidR="00A86CB8" w:rsidRPr="00D33498" w:rsidRDefault="00A86CB8" w:rsidP="003F1B2A">
            <w:pPr>
              <w:pStyle w:val="ReferenceLine"/>
              <w:jc w:val="right"/>
              <w:rPr>
                <w:sz w:val="20"/>
              </w:rPr>
            </w:pPr>
            <w:r>
              <w:rPr>
                <w:sz w:val="20"/>
              </w:rPr>
              <w:t>21,042</w:t>
            </w:r>
          </w:p>
        </w:tc>
        <w:tc>
          <w:tcPr>
            <w:tcW w:w="816" w:type="dxa"/>
          </w:tcPr>
          <w:p w:rsidR="00A86CB8" w:rsidRPr="00D33498" w:rsidRDefault="00A86CB8" w:rsidP="003F1B2A">
            <w:pPr>
              <w:pStyle w:val="ReferenceLine"/>
              <w:jc w:val="right"/>
              <w:rPr>
                <w:sz w:val="20"/>
              </w:rPr>
            </w:pPr>
            <w:r>
              <w:rPr>
                <w:sz w:val="20"/>
              </w:rPr>
              <w:t>36.0</w:t>
            </w:r>
          </w:p>
        </w:tc>
        <w:tc>
          <w:tcPr>
            <w:tcW w:w="1091" w:type="dxa"/>
          </w:tcPr>
          <w:p w:rsidR="00A86CB8" w:rsidRPr="00D33498" w:rsidRDefault="00A86CB8" w:rsidP="003F1B2A">
            <w:pPr>
              <w:pStyle w:val="ReferenceLine"/>
              <w:jc w:val="right"/>
              <w:rPr>
                <w:sz w:val="20"/>
              </w:rPr>
            </w:pPr>
            <w:r>
              <w:rPr>
                <w:sz w:val="20"/>
              </w:rPr>
              <w:t>39,702</w:t>
            </w:r>
          </w:p>
        </w:tc>
        <w:tc>
          <w:tcPr>
            <w:tcW w:w="816" w:type="dxa"/>
          </w:tcPr>
          <w:p w:rsidR="00A86CB8" w:rsidRPr="00D33498" w:rsidRDefault="00A86CB8" w:rsidP="003F1B2A">
            <w:pPr>
              <w:pStyle w:val="ReferenceLine"/>
              <w:jc w:val="right"/>
              <w:rPr>
                <w:sz w:val="20"/>
              </w:rPr>
            </w:pPr>
            <w:r>
              <w:rPr>
                <w:sz w:val="20"/>
              </w:rPr>
              <w:t>26.7</w:t>
            </w:r>
          </w:p>
        </w:tc>
        <w:tc>
          <w:tcPr>
            <w:tcW w:w="1116" w:type="dxa"/>
          </w:tcPr>
          <w:p w:rsidR="00A86CB8" w:rsidRPr="00D33498" w:rsidRDefault="00A86CB8" w:rsidP="003F1B2A">
            <w:pPr>
              <w:pStyle w:val="ReferenceLine"/>
              <w:jc w:val="right"/>
              <w:rPr>
                <w:sz w:val="20"/>
              </w:rPr>
            </w:pPr>
            <w:r>
              <w:rPr>
                <w:sz w:val="20"/>
              </w:rPr>
              <w:t>503,868</w:t>
            </w:r>
          </w:p>
        </w:tc>
        <w:tc>
          <w:tcPr>
            <w:tcW w:w="967" w:type="dxa"/>
          </w:tcPr>
          <w:p w:rsidR="00A86CB8" w:rsidRPr="00D33498" w:rsidRDefault="00A86CB8" w:rsidP="003F1B2A">
            <w:pPr>
              <w:pStyle w:val="ReferenceLine"/>
              <w:jc w:val="right"/>
              <w:rPr>
                <w:sz w:val="20"/>
              </w:rPr>
            </w:pPr>
            <w:r>
              <w:rPr>
                <w:sz w:val="20"/>
              </w:rPr>
              <w:t>41.6</w:t>
            </w:r>
          </w:p>
        </w:tc>
      </w:tr>
      <w:tr w:rsidR="00A86CB8" w:rsidRPr="00D33498" w:rsidTr="003F1B2A">
        <w:trPr>
          <w:jc w:val="center"/>
        </w:trPr>
        <w:tc>
          <w:tcPr>
            <w:tcW w:w="1583" w:type="dxa"/>
          </w:tcPr>
          <w:p w:rsidR="00A86CB8" w:rsidRPr="00D33498" w:rsidRDefault="00A86CB8" w:rsidP="003F1B2A">
            <w:pPr>
              <w:pStyle w:val="Heading4"/>
              <w:rPr>
                <w:b w:val="0"/>
                <w:sz w:val="20"/>
              </w:rPr>
            </w:pPr>
            <w:r w:rsidRPr="00D33498">
              <w:rPr>
                <w:b w:val="0"/>
                <w:sz w:val="20"/>
              </w:rPr>
              <w:t>Hawaiian/Pacific Islander</w:t>
            </w:r>
          </w:p>
        </w:tc>
        <w:tc>
          <w:tcPr>
            <w:tcW w:w="966" w:type="dxa"/>
          </w:tcPr>
          <w:p w:rsidR="00A86CB8" w:rsidRPr="00D33498" w:rsidRDefault="00A86CB8" w:rsidP="003F1B2A">
            <w:pPr>
              <w:jc w:val="right"/>
            </w:pPr>
            <w:r>
              <w:t>5,334</w:t>
            </w:r>
          </w:p>
        </w:tc>
        <w:tc>
          <w:tcPr>
            <w:tcW w:w="816" w:type="dxa"/>
          </w:tcPr>
          <w:p w:rsidR="00A86CB8" w:rsidRPr="00D33498" w:rsidRDefault="00A86CB8" w:rsidP="003F1B2A">
            <w:pPr>
              <w:jc w:val="right"/>
            </w:pPr>
            <w:r>
              <w:t>9.1</w:t>
            </w:r>
          </w:p>
        </w:tc>
        <w:tc>
          <w:tcPr>
            <w:tcW w:w="1091" w:type="dxa"/>
          </w:tcPr>
          <w:p w:rsidR="00A86CB8" w:rsidRPr="00D33498" w:rsidRDefault="00A86CB8" w:rsidP="003F1B2A">
            <w:pPr>
              <w:jc w:val="right"/>
            </w:pPr>
            <w:r>
              <w:t>16,724</w:t>
            </w:r>
          </w:p>
        </w:tc>
        <w:tc>
          <w:tcPr>
            <w:tcW w:w="816" w:type="dxa"/>
          </w:tcPr>
          <w:p w:rsidR="00A86CB8" w:rsidRPr="00D33498" w:rsidRDefault="00A86CB8" w:rsidP="003F1B2A">
            <w:pPr>
              <w:jc w:val="right"/>
            </w:pPr>
            <w:r>
              <w:t>11.2</w:t>
            </w:r>
          </w:p>
        </w:tc>
        <w:tc>
          <w:tcPr>
            <w:tcW w:w="1116" w:type="dxa"/>
          </w:tcPr>
          <w:p w:rsidR="00A86CB8" w:rsidRPr="00D33498" w:rsidRDefault="00A86CB8" w:rsidP="003F1B2A">
            <w:pPr>
              <w:jc w:val="right"/>
            </w:pPr>
            <w:r>
              <w:t>113,539</w:t>
            </w:r>
          </w:p>
        </w:tc>
        <w:tc>
          <w:tcPr>
            <w:tcW w:w="967" w:type="dxa"/>
          </w:tcPr>
          <w:p w:rsidR="00A86CB8" w:rsidRPr="00D33498" w:rsidRDefault="00A86CB8" w:rsidP="003F1B2A">
            <w:pPr>
              <w:jc w:val="right"/>
            </w:pPr>
            <w:r>
              <w:t>9.4</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sidRPr="00D33498">
              <w:rPr>
                <w:b w:val="0"/>
                <w:sz w:val="20"/>
              </w:rPr>
              <w:t>Other Race</w:t>
            </w:r>
          </w:p>
        </w:tc>
        <w:tc>
          <w:tcPr>
            <w:tcW w:w="966" w:type="dxa"/>
            <w:tcBorders>
              <w:bottom w:val="single" w:sz="4" w:space="0" w:color="auto"/>
            </w:tcBorders>
          </w:tcPr>
          <w:p w:rsidR="00A86CB8" w:rsidRPr="00D33498" w:rsidRDefault="00A86CB8" w:rsidP="003F1B2A">
            <w:pPr>
              <w:jc w:val="right"/>
            </w:pPr>
            <w:r>
              <w:t>505</w:t>
            </w:r>
          </w:p>
        </w:tc>
        <w:tc>
          <w:tcPr>
            <w:tcW w:w="816" w:type="dxa"/>
            <w:tcBorders>
              <w:bottom w:val="single" w:sz="4" w:space="0" w:color="auto"/>
            </w:tcBorders>
          </w:tcPr>
          <w:p w:rsidR="00A86CB8" w:rsidRPr="00D33498" w:rsidRDefault="00A86CB8" w:rsidP="003F1B2A">
            <w:pPr>
              <w:jc w:val="right"/>
            </w:pPr>
            <w:r>
              <w:t>0.9</w:t>
            </w:r>
          </w:p>
        </w:tc>
        <w:tc>
          <w:tcPr>
            <w:tcW w:w="1091" w:type="dxa"/>
            <w:tcBorders>
              <w:bottom w:val="single" w:sz="4" w:space="0" w:color="auto"/>
            </w:tcBorders>
          </w:tcPr>
          <w:p w:rsidR="00A86CB8" w:rsidRPr="00D33498" w:rsidRDefault="00A86CB8" w:rsidP="003F1B2A">
            <w:pPr>
              <w:jc w:val="right"/>
            </w:pPr>
            <w:r>
              <w:t>1,695</w:t>
            </w:r>
          </w:p>
        </w:tc>
        <w:tc>
          <w:tcPr>
            <w:tcW w:w="816" w:type="dxa"/>
            <w:tcBorders>
              <w:bottom w:val="single" w:sz="4" w:space="0" w:color="auto"/>
            </w:tcBorders>
          </w:tcPr>
          <w:p w:rsidR="00A86CB8" w:rsidRPr="00D33498" w:rsidRDefault="00A86CB8" w:rsidP="003F1B2A">
            <w:pPr>
              <w:jc w:val="right"/>
            </w:pPr>
            <w:r>
              <w:t>1.1</w:t>
            </w:r>
          </w:p>
        </w:tc>
        <w:tc>
          <w:tcPr>
            <w:tcW w:w="1116" w:type="dxa"/>
            <w:tcBorders>
              <w:bottom w:val="single" w:sz="4" w:space="0" w:color="auto"/>
            </w:tcBorders>
          </w:tcPr>
          <w:p w:rsidR="00A86CB8" w:rsidRPr="00D33498" w:rsidRDefault="00A86CB8" w:rsidP="003F1B2A">
            <w:pPr>
              <w:jc w:val="right"/>
            </w:pPr>
            <w:r>
              <w:t>15,147</w:t>
            </w:r>
          </w:p>
        </w:tc>
        <w:tc>
          <w:tcPr>
            <w:tcW w:w="967" w:type="dxa"/>
            <w:tcBorders>
              <w:bottom w:val="single" w:sz="4" w:space="0" w:color="auto"/>
            </w:tcBorders>
          </w:tcPr>
          <w:p w:rsidR="00A86CB8" w:rsidRPr="00D33498" w:rsidRDefault="00A86CB8" w:rsidP="003F1B2A">
            <w:pPr>
              <w:jc w:val="right"/>
            </w:pPr>
            <w:r>
              <w:t>1.3</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Pr>
                <w:b w:val="0"/>
                <w:sz w:val="20"/>
              </w:rPr>
              <w:t>Two or More</w:t>
            </w:r>
          </w:p>
        </w:tc>
        <w:tc>
          <w:tcPr>
            <w:tcW w:w="966" w:type="dxa"/>
            <w:tcBorders>
              <w:bottom w:val="single" w:sz="4" w:space="0" w:color="auto"/>
            </w:tcBorders>
          </w:tcPr>
          <w:p w:rsidR="00A86CB8" w:rsidRDefault="00A86CB8" w:rsidP="003F1B2A">
            <w:pPr>
              <w:jc w:val="right"/>
            </w:pPr>
            <w:r>
              <w:t>13,938</w:t>
            </w:r>
          </w:p>
        </w:tc>
        <w:tc>
          <w:tcPr>
            <w:tcW w:w="816" w:type="dxa"/>
            <w:tcBorders>
              <w:bottom w:val="single" w:sz="4" w:space="0" w:color="auto"/>
            </w:tcBorders>
          </w:tcPr>
          <w:p w:rsidR="00A86CB8" w:rsidRDefault="00A86CB8" w:rsidP="003F1B2A">
            <w:pPr>
              <w:jc w:val="right"/>
            </w:pPr>
            <w:r>
              <w:t>23.8</w:t>
            </w:r>
          </w:p>
        </w:tc>
        <w:tc>
          <w:tcPr>
            <w:tcW w:w="1091" w:type="dxa"/>
            <w:tcBorders>
              <w:bottom w:val="single" w:sz="4" w:space="0" w:color="auto"/>
            </w:tcBorders>
          </w:tcPr>
          <w:p w:rsidR="00A86CB8" w:rsidRDefault="00A86CB8" w:rsidP="003F1B2A">
            <w:pPr>
              <w:jc w:val="right"/>
            </w:pPr>
            <w:r>
              <w:t>42,288</w:t>
            </w:r>
          </w:p>
        </w:tc>
        <w:tc>
          <w:tcPr>
            <w:tcW w:w="816" w:type="dxa"/>
            <w:tcBorders>
              <w:bottom w:val="single" w:sz="4" w:space="0" w:color="auto"/>
            </w:tcBorders>
          </w:tcPr>
          <w:p w:rsidR="00A86CB8" w:rsidRDefault="00A86CB8" w:rsidP="003F1B2A">
            <w:pPr>
              <w:jc w:val="right"/>
            </w:pPr>
            <w:r>
              <w:t>28.4</w:t>
            </w:r>
          </w:p>
        </w:tc>
        <w:tc>
          <w:tcPr>
            <w:tcW w:w="1116" w:type="dxa"/>
            <w:tcBorders>
              <w:bottom w:val="single" w:sz="4" w:space="0" w:color="auto"/>
            </w:tcBorders>
          </w:tcPr>
          <w:p w:rsidR="00A86CB8" w:rsidRDefault="00A86CB8" w:rsidP="003F1B2A">
            <w:pPr>
              <w:jc w:val="right"/>
            </w:pPr>
            <w:r>
              <w:t>259,343</w:t>
            </w:r>
          </w:p>
        </w:tc>
        <w:tc>
          <w:tcPr>
            <w:tcW w:w="967" w:type="dxa"/>
            <w:tcBorders>
              <w:bottom w:val="single" w:sz="4" w:space="0" w:color="auto"/>
            </w:tcBorders>
          </w:tcPr>
          <w:p w:rsidR="00A86CB8" w:rsidRDefault="00A86CB8" w:rsidP="003F1B2A">
            <w:pPr>
              <w:jc w:val="right"/>
            </w:pPr>
            <w:r>
              <w:t>21.4</w:t>
            </w:r>
          </w:p>
        </w:tc>
      </w:tr>
      <w:tr w:rsidR="00A86CB8" w:rsidRPr="00D33498" w:rsidTr="003F1B2A">
        <w:trPr>
          <w:jc w:val="center"/>
        </w:trPr>
        <w:tc>
          <w:tcPr>
            <w:tcW w:w="1583" w:type="dxa"/>
            <w:tcBorders>
              <w:bottom w:val="single" w:sz="4" w:space="0" w:color="auto"/>
            </w:tcBorders>
          </w:tcPr>
          <w:p w:rsidR="00A86CB8" w:rsidRPr="00D33498" w:rsidRDefault="00A86CB8" w:rsidP="003F1B2A">
            <w:pPr>
              <w:pStyle w:val="Heading4"/>
              <w:rPr>
                <w:b w:val="0"/>
                <w:sz w:val="20"/>
              </w:rPr>
            </w:pPr>
            <w:r w:rsidRPr="00D33498">
              <w:rPr>
                <w:b w:val="0"/>
                <w:sz w:val="20"/>
              </w:rPr>
              <w:t>Hispanic Origin</w:t>
            </w:r>
            <w:r>
              <w:rPr>
                <w:rStyle w:val="FootnoteReference"/>
                <w:b w:val="0"/>
                <w:sz w:val="20"/>
              </w:rPr>
              <w:t>1</w:t>
            </w:r>
          </w:p>
        </w:tc>
        <w:tc>
          <w:tcPr>
            <w:tcW w:w="966" w:type="dxa"/>
            <w:tcBorders>
              <w:bottom w:val="single" w:sz="4" w:space="0" w:color="auto"/>
            </w:tcBorders>
          </w:tcPr>
          <w:p w:rsidR="00A86CB8" w:rsidRPr="00680392" w:rsidRDefault="00A86CB8" w:rsidP="003F1B2A">
            <w:pPr>
              <w:jc w:val="right"/>
            </w:pPr>
            <w:r>
              <w:t>4,803</w:t>
            </w:r>
          </w:p>
        </w:tc>
        <w:tc>
          <w:tcPr>
            <w:tcW w:w="816" w:type="dxa"/>
            <w:tcBorders>
              <w:bottom w:val="single" w:sz="4" w:space="0" w:color="auto"/>
            </w:tcBorders>
          </w:tcPr>
          <w:p w:rsidR="00A86CB8" w:rsidRPr="00D33498" w:rsidRDefault="00A86CB8" w:rsidP="003F1B2A">
            <w:pPr>
              <w:jc w:val="right"/>
            </w:pPr>
            <w:r>
              <w:t>8.2</w:t>
            </w:r>
          </w:p>
        </w:tc>
        <w:tc>
          <w:tcPr>
            <w:tcW w:w="1091" w:type="dxa"/>
            <w:tcBorders>
              <w:bottom w:val="single" w:sz="4" w:space="0" w:color="auto"/>
            </w:tcBorders>
          </w:tcPr>
          <w:p w:rsidR="00A86CB8" w:rsidRPr="00D33498" w:rsidRDefault="00A86CB8" w:rsidP="003F1B2A">
            <w:pPr>
              <w:jc w:val="right"/>
            </w:pPr>
            <w:r>
              <w:t>14,111</w:t>
            </w:r>
          </w:p>
        </w:tc>
        <w:tc>
          <w:tcPr>
            <w:tcW w:w="816" w:type="dxa"/>
            <w:tcBorders>
              <w:bottom w:val="single" w:sz="4" w:space="0" w:color="auto"/>
            </w:tcBorders>
          </w:tcPr>
          <w:p w:rsidR="00A86CB8" w:rsidRPr="00D33498" w:rsidRDefault="00A86CB8" w:rsidP="003F1B2A">
            <w:pPr>
              <w:jc w:val="right"/>
            </w:pPr>
            <w:r>
              <w:t>9.5</w:t>
            </w:r>
          </w:p>
        </w:tc>
        <w:tc>
          <w:tcPr>
            <w:tcW w:w="1116" w:type="dxa"/>
            <w:tcBorders>
              <w:bottom w:val="single" w:sz="4" w:space="0" w:color="auto"/>
            </w:tcBorders>
          </w:tcPr>
          <w:p w:rsidR="00A86CB8" w:rsidRPr="00D33498" w:rsidRDefault="00A86CB8" w:rsidP="003F1B2A">
            <w:pPr>
              <w:jc w:val="right"/>
            </w:pPr>
            <w:r>
              <w:t>87,699</w:t>
            </w:r>
          </w:p>
        </w:tc>
        <w:tc>
          <w:tcPr>
            <w:tcW w:w="967" w:type="dxa"/>
            <w:tcBorders>
              <w:bottom w:val="single" w:sz="4" w:space="0" w:color="auto"/>
            </w:tcBorders>
          </w:tcPr>
          <w:p w:rsidR="00A86CB8" w:rsidRPr="00D33498" w:rsidRDefault="00A86CB8" w:rsidP="003F1B2A">
            <w:pPr>
              <w:jc w:val="right"/>
            </w:pPr>
            <w:r>
              <w:t>21.4</w:t>
            </w:r>
          </w:p>
        </w:tc>
      </w:tr>
      <w:tr w:rsidR="00A86CB8" w:rsidRPr="00D33498" w:rsidTr="003F1B2A">
        <w:trPr>
          <w:jc w:val="center"/>
        </w:trPr>
        <w:tc>
          <w:tcPr>
            <w:tcW w:w="1583" w:type="dxa"/>
            <w:tcBorders>
              <w:top w:val="double" w:sz="4" w:space="0" w:color="auto"/>
              <w:left w:val="double" w:sz="4" w:space="0" w:color="auto"/>
              <w:bottom w:val="double" w:sz="4" w:space="0" w:color="auto"/>
            </w:tcBorders>
          </w:tcPr>
          <w:p w:rsidR="00A86CB8" w:rsidRPr="00D33498" w:rsidRDefault="00A86CB8" w:rsidP="003F1B2A">
            <w:pPr>
              <w:pStyle w:val="Heading4"/>
              <w:rPr>
                <w:sz w:val="20"/>
                <w:u w:val="single"/>
              </w:rPr>
            </w:pPr>
            <w:r w:rsidRPr="00D33498">
              <w:rPr>
                <w:sz w:val="20"/>
                <w:u w:val="single"/>
              </w:rPr>
              <w:t>Total Population</w:t>
            </w:r>
          </w:p>
        </w:tc>
        <w:tc>
          <w:tcPr>
            <w:tcW w:w="966" w:type="dxa"/>
            <w:tcBorders>
              <w:top w:val="double" w:sz="4" w:space="0" w:color="auto"/>
              <w:bottom w:val="double" w:sz="4" w:space="0" w:color="auto"/>
            </w:tcBorders>
          </w:tcPr>
          <w:p w:rsidR="00A86CB8" w:rsidRPr="00D33498" w:rsidRDefault="00A86CB8" w:rsidP="003F1B2A">
            <w:pPr>
              <w:jc w:val="right"/>
              <w:rPr>
                <w:b/>
                <w:bCs/>
                <w:u w:val="single"/>
              </w:rPr>
            </w:pPr>
            <w:r>
              <w:rPr>
                <w:b/>
                <w:bCs/>
                <w:u w:val="single"/>
              </w:rPr>
              <w:t>58,463</w:t>
            </w:r>
          </w:p>
        </w:tc>
        <w:tc>
          <w:tcPr>
            <w:tcW w:w="816"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100%</w:t>
            </w:r>
          </w:p>
        </w:tc>
        <w:tc>
          <w:tcPr>
            <w:tcW w:w="1091"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148,677</w:t>
            </w:r>
          </w:p>
        </w:tc>
        <w:tc>
          <w:tcPr>
            <w:tcW w:w="816"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sidRPr="00D33498">
              <w:rPr>
                <w:b/>
                <w:bCs/>
                <w:u w:val="single"/>
              </w:rPr>
              <w:t>100%</w:t>
            </w:r>
          </w:p>
        </w:tc>
        <w:tc>
          <w:tcPr>
            <w:tcW w:w="1116"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1,211,537</w:t>
            </w:r>
          </w:p>
        </w:tc>
        <w:tc>
          <w:tcPr>
            <w:tcW w:w="967" w:type="dxa"/>
            <w:tcBorders>
              <w:top w:val="double" w:sz="4" w:space="0" w:color="auto"/>
              <w:bottom w:val="double" w:sz="4" w:space="0" w:color="auto"/>
              <w:right w:val="double" w:sz="4" w:space="0" w:color="auto"/>
            </w:tcBorders>
          </w:tcPr>
          <w:p w:rsidR="00A86CB8" w:rsidRPr="00D33498" w:rsidRDefault="00A86CB8" w:rsidP="003F1B2A">
            <w:pPr>
              <w:jc w:val="right"/>
              <w:rPr>
                <w:b/>
                <w:bCs/>
                <w:u w:val="single"/>
              </w:rPr>
            </w:pPr>
            <w:r>
              <w:rPr>
                <w:b/>
                <w:bCs/>
                <w:u w:val="single"/>
              </w:rPr>
              <w:t>100%</w:t>
            </w:r>
          </w:p>
        </w:tc>
      </w:tr>
    </w:tbl>
    <w:p w:rsidR="00A86CB8" w:rsidRDefault="00A86CB8" w:rsidP="00455321">
      <w:pPr>
        <w:jc w:val="center"/>
      </w:pP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990"/>
        <w:gridCol w:w="810"/>
        <w:gridCol w:w="1080"/>
        <w:gridCol w:w="810"/>
        <w:gridCol w:w="1080"/>
        <w:gridCol w:w="990"/>
      </w:tblGrid>
      <w:tr w:rsidR="00A86CB8" w:rsidTr="003F1B2A">
        <w:trPr>
          <w:jc w:val="center"/>
        </w:trPr>
        <w:tc>
          <w:tcPr>
            <w:tcW w:w="1620" w:type="dxa"/>
          </w:tcPr>
          <w:p w:rsidR="00A86CB8" w:rsidRDefault="00A86CB8" w:rsidP="003F1B2A">
            <w:r>
              <w:t>Low Income</w:t>
            </w:r>
          </w:p>
        </w:tc>
        <w:tc>
          <w:tcPr>
            <w:tcW w:w="990" w:type="dxa"/>
          </w:tcPr>
          <w:p w:rsidR="00A86CB8" w:rsidRDefault="00A86CB8" w:rsidP="003F1B2A">
            <w:pPr>
              <w:jc w:val="center"/>
            </w:pPr>
            <w:r>
              <w:t>6,085</w:t>
            </w:r>
          </w:p>
        </w:tc>
        <w:tc>
          <w:tcPr>
            <w:tcW w:w="810" w:type="dxa"/>
          </w:tcPr>
          <w:p w:rsidR="00A86CB8" w:rsidRDefault="00A86CB8" w:rsidP="003F1B2A">
            <w:pPr>
              <w:jc w:val="center"/>
            </w:pPr>
            <w:r>
              <w:t>10.5</w:t>
            </w:r>
          </w:p>
        </w:tc>
        <w:tc>
          <w:tcPr>
            <w:tcW w:w="1080" w:type="dxa"/>
          </w:tcPr>
          <w:p w:rsidR="00A86CB8" w:rsidRDefault="00A86CB8" w:rsidP="003F1B2A">
            <w:pPr>
              <w:jc w:val="center"/>
            </w:pPr>
            <w:r>
              <w:t>22,821</w:t>
            </w:r>
          </w:p>
        </w:tc>
        <w:tc>
          <w:tcPr>
            <w:tcW w:w="810" w:type="dxa"/>
          </w:tcPr>
          <w:p w:rsidR="00A86CB8" w:rsidRDefault="00A86CB8" w:rsidP="003F1B2A">
            <w:pPr>
              <w:jc w:val="center"/>
            </w:pPr>
            <w:r>
              <w:t>15.7</w:t>
            </w:r>
          </w:p>
        </w:tc>
        <w:tc>
          <w:tcPr>
            <w:tcW w:w="1080" w:type="dxa"/>
          </w:tcPr>
          <w:p w:rsidR="00A86CB8" w:rsidRDefault="00A86CB8" w:rsidP="003F1B2A">
            <w:pPr>
              <w:jc w:val="center"/>
            </w:pPr>
            <w:r>
              <w:t>126,154</w:t>
            </w:r>
          </w:p>
        </w:tc>
        <w:tc>
          <w:tcPr>
            <w:tcW w:w="990" w:type="dxa"/>
          </w:tcPr>
          <w:p w:rsidR="00A86CB8" w:rsidRDefault="00A86CB8" w:rsidP="003F1B2A">
            <w:pPr>
              <w:jc w:val="center"/>
            </w:pPr>
            <w:r>
              <w:t>10.7</w:t>
            </w:r>
          </w:p>
        </w:tc>
      </w:tr>
      <w:tr w:rsidR="00A86CB8" w:rsidTr="003F1B2A">
        <w:trPr>
          <w:jc w:val="center"/>
        </w:trPr>
        <w:tc>
          <w:tcPr>
            <w:tcW w:w="1620" w:type="dxa"/>
          </w:tcPr>
          <w:p w:rsidR="00A86CB8" w:rsidRDefault="00A86CB8" w:rsidP="003F1B2A">
            <w:r>
              <w:t>Limited English</w:t>
            </w:r>
          </w:p>
        </w:tc>
        <w:tc>
          <w:tcPr>
            <w:tcW w:w="990" w:type="dxa"/>
          </w:tcPr>
          <w:p w:rsidR="00A86CB8" w:rsidRDefault="00A86CB8" w:rsidP="003F1B2A">
            <w:pPr>
              <w:jc w:val="center"/>
            </w:pPr>
            <w:r>
              <w:t>7,574</w:t>
            </w:r>
          </w:p>
        </w:tc>
        <w:tc>
          <w:tcPr>
            <w:tcW w:w="810" w:type="dxa"/>
          </w:tcPr>
          <w:p w:rsidR="00A86CB8" w:rsidRDefault="00A86CB8" w:rsidP="003F1B2A">
            <w:pPr>
              <w:jc w:val="center"/>
            </w:pPr>
            <w:r>
              <w:t>13.0</w:t>
            </w:r>
          </w:p>
        </w:tc>
        <w:tc>
          <w:tcPr>
            <w:tcW w:w="1080" w:type="dxa"/>
          </w:tcPr>
          <w:p w:rsidR="00A86CB8" w:rsidRDefault="00A86CB8" w:rsidP="003F1B2A">
            <w:pPr>
              <w:jc w:val="center"/>
            </w:pPr>
            <w:r>
              <w:t>15,208</w:t>
            </w:r>
          </w:p>
        </w:tc>
        <w:tc>
          <w:tcPr>
            <w:tcW w:w="810" w:type="dxa"/>
          </w:tcPr>
          <w:p w:rsidR="00A86CB8" w:rsidRDefault="00A86CB8" w:rsidP="003F1B2A">
            <w:pPr>
              <w:jc w:val="center"/>
            </w:pPr>
            <w:r>
              <w:t>10.2</w:t>
            </w:r>
          </w:p>
        </w:tc>
        <w:tc>
          <w:tcPr>
            <w:tcW w:w="1080" w:type="dxa"/>
          </w:tcPr>
          <w:p w:rsidR="00A86CB8" w:rsidRDefault="00A86CB8" w:rsidP="003F1B2A">
            <w:pPr>
              <w:jc w:val="center"/>
            </w:pPr>
            <w:r>
              <w:t>212,229</w:t>
            </w:r>
          </w:p>
        </w:tc>
        <w:tc>
          <w:tcPr>
            <w:tcW w:w="990" w:type="dxa"/>
          </w:tcPr>
          <w:p w:rsidR="00A86CB8" w:rsidRDefault="00A86CB8" w:rsidP="003F1B2A">
            <w:pPr>
              <w:jc w:val="center"/>
            </w:pPr>
            <w:r>
              <w:t>17.5</w:t>
            </w:r>
          </w:p>
        </w:tc>
      </w:tr>
    </w:tbl>
    <w:p w:rsidR="00A86CB8" w:rsidRPr="00A86CB8" w:rsidRDefault="00A86CB8" w:rsidP="00A86CB8">
      <w:pPr>
        <w:pStyle w:val="ListParagraph"/>
        <w:numPr>
          <w:ilvl w:val="0"/>
          <w:numId w:val="7"/>
        </w:numPr>
        <w:spacing w:before="240" w:after="240"/>
        <w:outlineLvl w:val="0"/>
        <w:rPr>
          <w:b/>
          <w:caps/>
          <w:vanish/>
          <w:sz w:val="24"/>
          <w:u w:val="single"/>
        </w:rPr>
      </w:pPr>
    </w:p>
    <w:p w:rsidR="00F80A8D" w:rsidRDefault="00A113CF" w:rsidP="00A86CB8">
      <w:pPr>
        <w:pStyle w:val="BHLevel1"/>
      </w:pPr>
      <w:r>
        <w:br w:type="page"/>
      </w:r>
      <w:bookmarkStart w:id="10" w:name="_Toc272221035"/>
      <w:r w:rsidR="00F80A8D" w:rsidRPr="00A113CF">
        <w:lastRenderedPageBreak/>
        <w:t>SCOPE AND METHODOLOGY</w:t>
      </w:r>
      <w:bookmarkEnd w:id="9"/>
      <w:bookmarkEnd w:id="10"/>
    </w:p>
    <w:p w:rsidR="00A113CF" w:rsidRDefault="00A113CF">
      <w:pPr>
        <w:pStyle w:val="Heading4"/>
        <w:spacing w:line="360" w:lineRule="auto"/>
        <w:rPr>
          <w:sz w:val="28"/>
          <w:szCs w:val="28"/>
        </w:rPr>
      </w:pP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B60A72">
        <w:rPr>
          <w:sz w:val="28"/>
          <w:szCs w:val="28"/>
        </w:rPr>
        <w:t>HDOT</w:t>
      </w:r>
      <w:r>
        <w:rPr>
          <w:sz w:val="28"/>
          <w:szCs w:val="28"/>
        </w:rPr>
        <w:t xml:space="preserve">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465F54">
        <w:rPr>
          <w:sz w:val="28"/>
          <w:szCs w:val="28"/>
          <w:u w:val="single"/>
        </w:rPr>
        <w:t xml:space="preserve"> and Guidelines</w:t>
      </w:r>
      <w:r>
        <w:rPr>
          <w:sz w:val="28"/>
          <w:szCs w:val="28"/>
        </w:rPr>
        <w:t xml:space="preserve"> - all applicants, recipients and subrecipients shall maintain and submit the following:  </w:t>
      </w:r>
    </w:p>
    <w:p w:rsidR="00F80A8D" w:rsidRDefault="00F80A8D">
      <w:pPr>
        <w:rPr>
          <w:sz w:val="28"/>
          <w:szCs w:val="28"/>
        </w:rPr>
      </w:pP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Default="00F80A8D">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80A8D" w:rsidRDefault="00F80A8D">
      <w:pPr>
        <w:numPr>
          <w:ilvl w:val="0"/>
          <w:numId w:val="5"/>
        </w:numPr>
        <w:tabs>
          <w:tab w:val="clear" w:pos="360"/>
          <w:tab w:val="num" w:pos="1440"/>
        </w:tabs>
        <w:spacing w:line="360" w:lineRule="auto"/>
        <w:ind w:left="1440"/>
        <w:rPr>
          <w:sz w:val="28"/>
          <w:szCs w:val="28"/>
        </w:rPr>
      </w:pPr>
      <w:r>
        <w:rPr>
          <w:sz w:val="28"/>
          <w:szCs w:val="28"/>
        </w:rPr>
        <w:t>Inclusive Public Participation.</w:t>
      </w:r>
    </w:p>
    <w:p w:rsidR="00F80A8D" w:rsidRDefault="00F80A8D">
      <w:pPr>
        <w:spacing w:line="360" w:lineRule="auto"/>
        <w:rPr>
          <w:color w:val="0000FF"/>
          <w:sz w:val="28"/>
          <w:szCs w:val="28"/>
        </w:rPr>
      </w:pPr>
    </w:p>
    <w:p w:rsidR="00F80A8D" w:rsidRDefault="00F80A8D">
      <w:pPr>
        <w:numPr>
          <w:ilvl w:val="0"/>
          <w:numId w:val="4"/>
        </w:numPr>
        <w:spacing w:line="360" w:lineRule="auto"/>
        <w:rPr>
          <w:sz w:val="28"/>
          <w:szCs w:val="28"/>
        </w:rPr>
      </w:pPr>
      <w:r>
        <w:rPr>
          <w:sz w:val="28"/>
          <w:szCs w:val="28"/>
          <w:u w:val="single"/>
        </w:rPr>
        <w:t>Program-Specific Requirements</w:t>
      </w:r>
      <w:r w:rsidR="00465F54">
        <w:rPr>
          <w:sz w:val="28"/>
          <w:szCs w:val="28"/>
          <w:u w:val="single"/>
        </w:rPr>
        <w:t xml:space="preserve"> and Guidelines</w:t>
      </w:r>
      <w:r w:rsidR="0053731C">
        <w:rPr>
          <w:sz w:val="28"/>
          <w:szCs w:val="28"/>
          <w:u w:val="single"/>
        </w:rPr>
        <w:t xml:space="preserve"> for State DOTs</w:t>
      </w:r>
      <w:r w:rsidR="00465F54">
        <w:rPr>
          <w:sz w:val="28"/>
          <w:szCs w:val="28"/>
          <w:u w:val="single"/>
        </w:rPr>
        <w:t xml:space="preserve"> and Other Administering Agencies</w:t>
      </w:r>
      <w:r>
        <w:rPr>
          <w:sz w:val="28"/>
          <w:szCs w:val="28"/>
        </w:rPr>
        <w:t xml:space="preserve"> - </w:t>
      </w:r>
      <w:r w:rsidR="0053731C">
        <w:rPr>
          <w:sz w:val="28"/>
        </w:rPr>
        <w:t xml:space="preserve">State DOTs and </w:t>
      </w:r>
      <w:r w:rsidR="00465F54">
        <w:rPr>
          <w:sz w:val="28"/>
        </w:rPr>
        <w:t>O</w:t>
      </w:r>
      <w:r w:rsidR="0053731C">
        <w:rPr>
          <w:sz w:val="28"/>
        </w:rPr>
        <w:t xml:space="preserve">ther </w:t>
      </w:r>
      <w:r w:rsidR="00465F54">
        <w:rPr>
          <w:sz w:val="28"/>
        </w:rPr>
        <w:t>A</w:t>
      </w:r>
      <w:r w:rsidR="0053731C">
        <w:rPr>
          <w:sz w:val="28"/>
        </w:rPr>
        <w:t>dminist</w:t>
      </w:r>
      <w:r w:rsidR="00465F54">
        <w:rPr>
          <w:sz w:val="28"/>
        </w:rPr>
        <w:t>er</w:t>
      </w:r>
      <w:r w:rsidR="0053731C">
        <w:rPr>
          <w:sz w:val="28"/>
        </w:rPr>
        <w:t xml:space="preserve">ing </w:t>
      </w:r>
      <w:r w:rsidR="00465F54">
        <w:rPr>
          <w:sz w:val="28"/>
        </w:rPr>
        <w:t>A</w:t>
      </w:r>
      <w:r w:rsidR="0053731C">
        <w:rPr>
          <w:sz w:val="28"/>
        </w:rPr>
        <w:t>gencies, administ</w:t>
      </w:r>
      <w:r w:rsidR="00465F54">
        <w:rPr>
          <w:sz w:val="28"/>
        </w:rPr>
        <w:t>er</w:t>
      </w:r>
      <w:r w:rsidR="0053731C">
        <w:rPr>
          <w:sz w:val="28"/>
        </w:rPr>
        <w:t xml:space="preserve">ing Elderly Individuals and Individuals with Disabilities, Rural and Small Urban Area, Job Access and Reverse Commute (JARC), and New Freedom funding programs, as well as designated recipients in large urbanized areas for JARC and New Freedom, </w:t>
      </w:r>
      <w:r w:rsidR="0053731C">
        <w:rPr>
          <w:sz w:val="28"/>
          <w:szCs w:val="28"/>
        </w:rPr>
        <w:t>shall also submit the following:</w:t>
      </w:r>
      <w:r>
        <w:rPr>
          <w:sz w:val="28"/>
          <w:szCs w:val="28"/>
        </w:rPr>
        <w:t xml:space="preserve"> </w:t>
      </w:r>
    </w:p>
    <w:p w:rsidR="00F80A8D" w:rsidRDefault="00F80A8D">
      <w:pPr>
        <w:spacing w:line="360" w:lineRule="auto"/>
        <w:ind w:left="3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lastRenderedPageBreak/>
        <w:t xml:space="preserve">A copy of procedures to certify that the statewide planning Process is in compliance with Title VI; </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 xml:space="preserve">A description of the procedures the agency uses to pass through FTA financial assistance in a non-discriminatory manner; </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A description of the procedures the agency uses to provide assistance to potential subrecipients in a non-discriminatory manner;</w:t>
      </w:r>
    </w:p>
    <w:p w:rsidR="002D2C84" w:rsidRDefault="002D2C84" w:rsidP="002D2C84">
      <w:pPr>
        <w:ind w:left="2160"/>
        <w:rPr>
          <w:sz w:val="28"/>
          <w:szCs w:val="28"/>
        </w:rPr>
      </w:pPr>
    </w:p>
    <w:p w:rsidR="002D2C84" w:rsidRDefault="002D2C84" w:rsidP="002D2C84">
      <w:pPr>
        <w:numPr>
          <w:ilvl w:val="0"/>
          <w:numId w:val="39"/>
        </w:numPr>
        <w:tabs>
          <w:tab w:val="clear" w:pos="360"/>
          <w:tab w:val="num" w:pos="1440"/>
        </w:tabs>
        <w:ind w:left="1440"/>
        <w:rPr>
          <w:sz w:val="28"/>
          <w:szCs w:val="28"/>
        </w:rPr>
      </w:pPr>
      <w:r>
        <w:rPr>
          <w:sz w:val="28"/>
          <w:szCs w:val="28"/>
        </w:rPr>
        <w:t>A description of how the agency monitors its subrecipients for compliance with Title VI and the results of the monitoring.</w:t>
      </w:r>
    </w:p>
    <w:p w:rsidR="002D2C84" w:rsidRDefault="002D2C84" w:rsidP="002D2C84">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5B389A">
        <w:rPr>
          <w:sz w:val="28"/>
          <w:szCs w:val="28"/>
        </w:rPr>
        <w:t>Region IX</w:t>
      </w:r>
      <w:r>
        <w:rPr>
          <w:sz w:val="28"/>
          <w:szCs w:val="28"/>
        </w:rPr>
        <w:t xml:space="preserve"> Civil Rights Officer to discuss specific Title VI issues and concerns regarding </w:t>
      </w:r>
      <w:r w:rsidR="00B60A72">
        <w:rPr>
          <w:sz w:val="28"/>
          <w:szCs w:val="28"/>
        </w:rPr>
        <w:t>HDOT</w:t>
      </w:r>
      <w:r>
        <w:rPr>
          <w:sz w:val="28"/>
          <w:szCs w:val="28"/>
        </w:rPr>
        <w:t>.</w:t>
      </w:r>
      <w:r>
        <w:rPr>
          <w:color w:val="33CCCC"/>
          <w:sz w:val="28"/>
          <w:szCs w:val="28"/>
        </w:rPr>
        <w:t xml:space="preserve">  </w:t>
      </w:r>
      <w:r>
        <w:rPr>
          <w:sz w:val="28"/>
          <w:szCs w:val="28"/>
        </w:rPr>
        <w:t xml:space="preserve">An agenda letter covering the Review was sent to </w:t>
      </w:r>
      <w:r w:rsidR="00B60A72">
        <w:rPr>
          <w:sz w:val="28"/>
          <w:szCs w:val="28"/>
        </w:rPr>
        <w:t>HDOT</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465F54">
        <w:rPr>
          <w:sz w:val="28"/>
          <w:szCs w:val="28"/>
        </w:rPr>
        <w:t xml:space="preserve"> and Guidelines</w:t>
      </w:r>
      <w:r>
        <w:rPr>
          <w:sz w:val="28"/>
          <w:szCs w:val="28"/>
        </w:rPr>
        <w:t xml:space="preserve">; and (2) Program-Specific Requirements </w:t>
      </w:r>
      <w:r w:rsidR="00465F54">
        <w:rPr>
          <w:sz w:val="28"/>
          <w:szCs w:val="28"/>
        </w:rPr>
        <w:t xml:space="preserve">and Guidelines </w:t>
      </w:r>
      <w:r>
        <w:rPr>
          <w:sz w:val="28"/>
          <w:szCs w:val="28"/>
        </w:rPr>
        <w:t xml:space="preserve">for </w:t>
      </w:r>
      <w:r w:rsidR="009B2C92">
        <w:rPr>
          <w:sz w:val="28"/>
          <w:szCs w:val="28"/>
        </w:rPr>
        <w:t xml:space="preserve">State Departments of Transportation and </w:t>
      </w:r>
      <w:r w:rsidR="00465F54">
        <w:rPr>
          <w:sz w:val="28"/>
          <w:szCs w:val="28"/>
        </w:rPr>
        <w:t>O</w:t>
      </w:r>
      <w:r w:rsidR="009B2C92">
        <w:rPr>
          <w:sz w:val="28"/>
          <w:szCs w:val="28"/>
        </w:rPr>
        <w:t xml:space="preserve">ther </w:t>
      </w:r>
      <w:r w:rsidR="00465F54">
        <w:rPr>
          <w:sz w:val="28"/>
          <w:szCs w:val="28"/>
        </w:rPr>
        <w:t>A</w:t>
      </w:r>
      <w:r w:rsidR="009B2C92">
        <w:rPr>
          <w:sz w:val="28"/>
          <w:szCs w:val="28"/>
        </w:rPr>
        <w:t xml:space="preserve">dministering </w:t>
      </w:r>
      <w:r w:rsidR="00465F54">
        <w:rPr>
          <w:sz w:val="28"/>
          <w:szCs w:val="28"/>
        </w:rPr>
        <w:t>A</w:t>
      </w:r>
      <w:r w:rsidR="009B2C92">
        <w:rPr>
          <w:sz w:val="28"/>
          <w:szCs w:val="28"/>
        </w:rPr>
        <w:t>gencies</w:t>
      </w:r>
      <w:r>
        <w:rPr>
          <w:sz w:val="28"/>
          <w:szCs w:val="28"/>
        </w:rPr>
        <w:t xml:space="preserve">.  The General Reporting Requirements </w:t>
      </w:r>
      <w:r w:rsidR="00465F54">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F80A8D" w:rsidRDefault="00B60A72">
      <w:pPr>
        <w:spacing w:line="360" w:lineRule="auto"/>
        <w:rPr>
          <w:sz w:val="28"/>
          <w:szCs w:val="28"/>
        </w:rPr>
      </w:pPr>
      <w:r>
        <w:rPr>
          <w:sz w:val="28"/>
          <w:szCs w:val="28"/>
        </w:rPr>
        <w:t>HDOT</w:t>
      </w:r>
      <w:r w:rsidR="00F80A8D">
        <w:rPr>
          <w:sz w:val="28"/>
          <w:szCs w:val="28"/>
        </w:rPr>
        <w:t xml:space="preserve"> was requested to provide the following information regarding the Title VI Requirements of FTA Circular 4702.1A:</w:t>
      </w:r>
    </w:p>
    <w:p w:rsidR="0098135E" w:rsidRDefault="0098135E">
      <w:pPr>
        <w:spacing w:line="360" w:lineRule="auto"/>
        <w:rPr>
          <w:sz w:val="28"/>
          <w:szCs w:val="28"/>
        </w:rPr>
      </w:pPr>
    </w:p>
    <w:p w:rsidR="00F80A8D" w:rsidRDefault="00F80A8D" w:rsidP="009D7F43">
      <w:pPr>
        <w:pStyle w:val="BodyTextIndent2"/>
        <w:jc w:val="both"/>
      </w:pP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HDOT’s most recent State Management Plan(s) for FTA-funded Section 5310, 5311, 5316, and 5317 programs.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List of all HDOT subrecipients by FTA program area, e.g., FTA Section 5309, 5310, 5311, 5316, and 5317 subrecipients.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 xml:space="preserve">A map or chart of the distribution of FTA Section 5309, 5310, 5311, 5316, and 5317 funding throughout the State. The areas covered by each </w:t>
      </w:r>
      <w:proofErr w:type="spellStart"/>
      <w:r w:rsidRPr="00BB063A">
        <w:rPr>
          <w:b w:val="0"/>
          <w:sz w:val="28"/>
          <w:szCs w:val="28"/>
        </w:rPr>
        <w:t>subrecipient</w:t>
      </w:r>
      <w:proofErr w:type="spellEnd"/>
      <w:r w:rsidRPr="00BB063A">
        <w:rPr>
          <w:b w:val="0"/>
          <w:sz w:val="28"/>
          <w:szCs w:val="28"/>
        </w:rPr>
        <w:t xml:space="preserve"> and the dollars awarded in the past three years should be noted, as well as the number of vehicles, where appropriate. The map or chart should also identify areas where minority and low-income populations exceed the statewide averages.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A demographic profile of the State that includes the identification of the locations of socioeconomic groups, including low-income and minority populations, as covered by Title VI and the Executive Order on Environmental Justice.</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 xml:space="preserve">HDOT Organization Chart for the Department and for the unit responsible for administration of FTA </w:t>
      </w:r>
      <w:proofErr w:type="gramStart"/>
      <w:r w:rsidRPr="00BB063A">
        <w:rPr>
          <w:b w:val="0"/>
          <w:sz w:val="28"/>
          <w:szCs w:val="28"/>
        </w:rPr>
        <w:t>grant</w:t>
      </w:r>
      <w:proofErr w:type="gramEnd"/>
      <w:r w:rsidRPr="00BB063A">
        <w:rPr>
          <w:b w:val="0"/>
          <w:sz w:val="28"/>
          <w:szCs w:val="28"/>
        </w:rPr>
        <w:t xml:space="preserve"> programs.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Sample copies of current funding agreements/contracts between HDOT and its FTA-funded subrecipients, including Section 5309, 5310, 5311, 5316, and 5317 subrecipients.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t>Any studies or surveys conducted by HDOT, its consultants or other interested parties (colleges or universities, community groups, etc.) regarding ridership, service levels and amenities, passenger satisfaction, passenger demographics or fare issues for its rural public transit service and regarding transit planning and service provided by FTA Section 5309, 5310, 5311, 5316, and 5317 subrecipients, during the past three years.</w:t>
      </w:r>
    </w:p>
    <w:p w:rsidR="00BB063A" w:rsidRPr="00BB063A" w:rsidRDefault="00BB063A" w:rsidP="00BB063A">
      <w:pPr>
        <w:pStyle w:val="BodyText2"/>
        <w:numPr>
          <w:ilvl w:val="0"/>
          <w:numId w:val="21"/>
        </w:numPr>
        <w:spacing w:line="360" w:lineRule="auto"/>
        <w:jc w:val="left"/>
        <w:rPr>
          <w:b w:val="0"/>
          <w:bCs/>
          <w:sz w:val="28"/>
          <w:szCs w:val="28"/>
        </w:rPr>
      </w:pPr>
      <w:r w:rsidRPr="00BB063A">
        <w:rPr>
          <w:b w:val="0"/>
          <w:sz w:val="28"/>
          <w:szCs w:val="28"/>
        </w:rPr>
        <w:lastRenderedPageBreak/>
        <w:t>Summary of HDOT’s current efforts to seek out and consider the viewpoints of minority, low-income, and LEP populations in the course of conducting public outreach and involvement activities.</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A copy of HDOT’s four factor analysis of the needs of persons with Limited English Proficiency.</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A copy of HDOT’s plan for providing language assistance for persons with Limited English Proficiency that is based on the USDOT LEP Guidance</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HDOT’s procedures for investigating and tracking Title VI complaints and documentation that the procedures for filing complaints are available to members of the public upon request.</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kern w:val="32"/>
          <w:sz w:val="28"/>
          <w:szCs w:val="28"/>
        </w:rPr>
        <w:t>A list of any investigations, lawsuits, or complaints naming HDOT that alleges discrimination on the basis of race, color, or national origin during the past three years.  This list must include:</w:t>
      </w:r>
    </w:p>
    <w:p w:rsidR="00BB063A" w:rsidRPr="006251DB" w:rsidRDefault="00BB063A" w:rsidP="00BB063A">
      <w:pPr>
        <w:numPr>
          <w:ilvl w:val="3"/>
          <w:numId w:val="31"/>
        </w:numPr>
        <w:rPr>
          <w:sz w:val="28"/>
          <w:szCs w:val="28"/>
        </w:rPr>
      </w:pPr>
      <w:r w:rsidRPr="006251DB">
        <w:rPr>
          <w:kern w:val="32"/>
          <w:sz w:val="28"/>
          <w:szCs w:val="28"/>
        </w:rPr>
        <w:t xml:space="preserve"> the date the investigation, lawsuit, or complaint was filed; </w:t>
      </w:r>
    </w:p>
    <w:p w:rsidR="00BB063A" w:rsidRPr="006251DB" w:rsidRDefault="00BB063A" w:rsidP="00BB063A">
      <w:pPr>
        <w:numPr>
          <w:ilvl w:val="3"/>
          <w:numId w:val="31"/>
        </w:numPr>
        <w:rPr>
          <w:sz w:val="28"/>
          <w:szCs w:val="28"/>
        </w:rPr>
      </w:pPr>
      <w:r w:rsidRPr="006251DB">
        <w:rPr>
          <w:kern w:val="32"/>
          <w:sz w:val="28"/>
          <w:szCs w:val="28"/>
        </w:rPr>
        <w:t xml:space="preserve">a summary of the allegation(s); </w:t>
      </w:r>
    </w:p>
    <w:p w:rsidR="00BB063A" w:rsidRPr="006251DB" w:rsidRDefault="00BB063A" w:rsidP="00BB063A">
      <w:pPr>
        <w:numPr>
          <w:ilvl w:val="3"/>
          <w:numId w:val="31"/>
        </w:numPr>
        <w:rPr>
          <w:sz w:val="28"/>
          <w:szCs w:val="28"/>
        </w:rPr>
      </w:pPr>
      <w:r w:rsidRPr="006251DB">
        <w:rPr>
          <w:kern w:val="32"/>
          <w:sz w:val="28"/>
          <w:szCs w:val="28"/>
        </w:rPr>
        <w:t>the status of the investigation, lawsuit, or complaint; and</w:t>
      </w:r>
    </w:p>
    <w:p w:rsidR="00BB063A" w:rsidRPr="006251DB" w:rsidRDefault="00BB063A" w:rsidP="00BB063A">
      <w:pPr>
        <w:numPr>
          <w:ilvl w:val="3"/>
          <w:numId w:val="31"/>
        </w:numPr>
        <w:rPr>
          <w:sz w:val="28"/>
          <w:szCs w:val="28"/>
        </w:rPr>
      </w:pPr>
      <w:proofErr w:type="gramStart"/>
      <w:r w:rsidRPr="006251DB">
        <w:rPr>
          <w:kern w:val="32"/>
          <w:sz w:val="28"/>
          <w:szCs w:val="28"/>
        </w:rPr>
        <w:t>actions</w:t>
      </w:r>
      <w:proofErr w:type="gramEnd"/>
      <w:r w:rsidRPr="006251DB">
        <w:rPr>
          <w:kern w:val="32"/>
          <w:sz w:val="28"/>
          <w:szCs w:val="28"/>
        </w:rPr>
        <w:t xml:space="preserve"> taken by HDOT in response to the investigation, lawsuit, or complaint.</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Copy of HDOT’s  Notice to Beneficiaries of Protections Under Title VI</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Description of efforts made by HDOT to apprise members of the public of the protections against discrimination afforded to them by Title VI.</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 xml:space="preserve">Copies of any environmental justice assessments conducted for construction projects during the past three years and, if needed, a description of the program or other measures used or planned to mitigate any identified adverse impact on the minority or low-income </w:t>
      </w:r>
      <w:r w:rsidRPr="006251DB">
        <w:rPr>
          <w:b w:val="0"/>
          <w:sz w:val="28"/>
          <w:szCs w:val="28"/>
        </w:rPr>
        <w:lastRenderedPageBreak/>
        <w:t>communities, including FTA Section 5309, 5310, 5311, 5316, and 5317 subrecipients.</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HDOT’s statewide transportation planning process that identifies the needs of low-income and minority populations.</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HDOT’s analytical process that identifies the benefits and burdens of the State’s transportation system investments for different socioeconomic groups, identifying imbalances, and responding to the analyses produced.</w:t>
      </w:r>
    </w:p>
    <w:p w:rsidR="00BB063A" w:rsidRPr="006251DB" w:rsidRDefault="00BB063A" w:rsidP="00BB063A">
      <w:pPr>
        <w:pStyle w:val="BodyText2"/>
        <w:numPr>
          <w:ilvl w:val="0"/>
          <w:numId w:val="21"/>
        </w:numPr>
        <w:spacing w:line="360" w:lineRule="auto"/>
        <w:jc w:val="left"/>
        <w:rPr>
          <w:b w:val="0"/>
          <w:bCs/>
          <w:sz w:val="28"/>
          <w:szCs w:val="28"/>
        </w:rPr>
      </w:pPr>
      <w:r w:rsidRPr="006251DB">
        <w:rPr>
          <w:b w:val="0"/>
          <w:sz w:val="28"/>
          <w:szCs w:val="28"/>
        </w:rPr>
        <w:t>A copy of the procedures used for certifying that the statewide planning process complies with Title VI.</w:t>
      </w:r>
    </w:p>
    <w:p w:rsidR="006251DB" w:rsidRPr="006251DB" w:rsidRDefault="006251DB" w:rsidP="006251DB">
      <w:pPr>
        <w:numPr>
          <w:ilvl w:val="0"/>
          <w:numId w:val="21"/>
        </w:numPr>
        <w:tabs>
          <w:tab w:val="clear" w:pos="720"/>
          <w:tab w:val="left" w:pos="712"/>
        </w:tabs>
        <w:spacing w:line="360" w:lineRule="auto"/>
        <w:rPr>
          <w:sz w:val="28"/>
          <w:szCs w:val="28"/>
        </w:rPr>
      </w:pPr>
      <w:r w:rsidRPr="006251DB">
        <w:rPr>
          <w:sz w:val="28"/>
          <w:szCs w:val="28"/>
        </w:rPr>
        <w:t>A description of how HDOT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6251DB" w:rsidRPr="006251DB" w:rsidRDefault="006251DB" w:rsidP="006251DB">
      <w:pPr>
        <w:numPr>
          <w:ilvl w:val="0"/>
          <w:numId w:val="21"/>
        </w:numPr>
        <w:tabs>
          <w:tab w:val="left" w:pos="720"/>
        </w:tabs>
        <w:spacing w:line="360" w:lineRule="auto"/>
        <w:rPr>
          <w:sz w:val="28"/>
          <w:szCs w:val="28"/>
        </w:rPr>
      </w:pPr>
      <w:r w:rsidRPr="006251DB">
        <w:rPr>
          <w:sz w:val="28"/>
          <w:szCs w:val="28"/>
        </w:rPr>
        <w:t>A description of HDOT’s criteria for selecting transit providers to participate in any FTA grant program.</w:t>
      </w:r>
    </w:p>
    <w:p w:rsidR="00BB063A" w:rsidRPr="006251DB" w:rsidRDefault="006251DB" w:rsidP="00BB063A">
      <w:pPr>
        <w:pStyle w:val="BodyText2"/>
        <w:numPr>
          <w:ilvl w:val="0"/>
          <w:numId w:val="21"/>
        </w:numPr>
        <w:spacing w:line="360" w:lineRule="auto"/>
        <w:jc w:val="left"/>
        <w:rPr>
          <w:b w:val="0"/>
          <w:bCs/>
          <w:sz w:val="28"/>
          <w:szCs w:val="28"/>
        </w:rPr>
      </w:pPr>
      <w:r w:rsidRPr="006251DB">
        <w:rPr>
          <w:b w:val="0"/>
          <w:sz w:val="28"/>
          <w:szCs w:val="28"/>
        </w:rPr>
        <w:t>A record of requests for Section 5310, 5311, 5316, 5317 funding.  The record should identify those applicants that would use grant program funds to provide assistance to predominantly minority and low-income populations.  The record should also indicate whether those applicants were accepted or rejected for funding.</w:t>
      </w:r>
    </w:p>
    <w:p w:rsidR="006251DB" w:rsidRPr="006251DB" w:rsidRDefault="006251DB" w:rsidP="006251DB">
      <w:pPr>
        <w:numPr>
          <w:ilvl w:val="0"/>
          <w:numId w:val="32"/>
        </w:numPr>
        <w:spacing w:line="360" w:lineRule="auto"/>
        <w:rPr>
          <w:sz w:val="28"/>
          <w:szCs w:val="28"/>
        </w:rPr>
      </w:pPr>
      <w:r w:rsidRPr="006251DB">
        <w:rPr>
          <w:sz w:val="28"/>
          <w:szCs w:val="28"/>
        </w:rPr>
        <w:t xml:space="preserve">A description of how HDOT monitors its Section 5309, 5310, 5311, 5316, and 5317 subrecipients for compliance with Title VI and a summary of the results of this monitoring, including: </w:t>
      </w:r>
    </w:p>
    <w:p w:rsidR="006251DB" w:rsidRPr="006251DB" w:rsidRDefault="006251DB" w:rsidP="006251DB">
      <w:pPr>
        <w:numPr>
          <w:ilvl w:val="0"/>
          <w:numId w:val="21"/>
        </w:numPr>
        <w:tabs>
          <w:tab w:val="clear" w:pos="720"/>
          <w:tab w:val="num" w:pos="1440"/>
        </w:tabs>
        <w:spacing w:line="360" w:lineRule="auto"/>
        <w:ind w:left="1440"/>
        <w:rPr>
          <w:sz w:val="28"/>
          <w:szCs w:val="28"/>
        </w:rPr>
      </w:pPr>
      <w:r w:rsidRPr="006251DB">
        <w:rPr>
          <w:sz w:val="28"/>
          <w:szCs w:val="28"/>
        </w:rPr>
        <w:lastRenderedPageBreak/>
        <w:t>The process for ensuring that all subrecipients are complying with the General Reporting Requirements of FTA Circular 4702.1A.</w:t>
      </w:r>
    </w:p>
    <w:p w:rsidR="006251DB" w:rsidRPr="006251DB" w:rsidRDefault="006251DB" w:rsidP="006251DB">
      <w:pPr>
        <w:numPr>
          <w:ilvl w:val="0"/>
          <w:numId w:val="21"/>
        </w:numPr>
        <w:tabs>
          <w:tab w:val="clear" w:pos="720"/>
          <w:tab w:val="num" w:pos="1440"/>
        </w:tabs>
        <w:spacing w:line="360" w:lineRule="auto"/>
        <w:ind w:left="1440"/>
        <w:rPr>
          <w:sz w:val="28"/>
          <w:szCs w:val="28"/>
        </w:rPr>
      </w:pPr>
      <w:r w:rsidRPr="006251DB">
        <w:rPr>
          <w:sz w:val="28"/>
          <w:szCs w:val="28"/>
        </w:rPr>
        <w:t>The process for subrecipients who provide transportation services to verify that their level and quality of service is provided on an equitable basis, including the development of system-wide service standards and verification that service provided to predominantly minority and low-income communities meets these standards.</w:t>
      </w:r>
    </w:p>
    <w:p w:rsidR="006251DB" w:rsidRPr="006251DB" w:rsidRDefault="006251DB" w:rsidP="006251DB">
      <w:pPr>
        <w:numPr>
          <w:ilvl w:val="0"/>
          <w:numId w:val="21"/>
        </w:numPr>
        <w:spacing w:line="360" w:lineRule="auto"/>
        <w:rPr>
          <w:sz w:val="28"/>
          <w:szCs w:val="28"/>
        </w:rPr>
      </w:pPr>
      <w:r w:rsidRPr="006251DB">
        <w:rPr>
          <w:sz w:val="28"/>
          <w:szCs w:val="28"/>
        </w:rPr>
        <w:t>A description of HDOT’s procedures to assist potential subrecipients in applying for Section 5310, 5311, 5316, and 5317 funding, including any efforts to assist applicants that would serve predominantly minority and low-income populations.</w:t>
      </w:r>
    </w:p>
    <w:p w:rsidR="006251DB" w:rsidRPr="006251DB" w:rsidRDefault="006251DB" w:rsidP="006251DB">
      <w:pPr>
        <w:numPr>
          <w:ilvl w:val="0"/>
          <w:numId w:val="21"/>
        </w:numPr>
        <w:spacing w:line="360" w:lineRule="auto"/>
        <w:rPr>
          <w:sz w:val="28"/>
          <w:szCs w:val="28"/>
        </w:rPr>
      </w:pPr>
      <w:r w:rsidRPr="006251DB">
        <w:rPr>
          <w:sz w:val="28"/>
          <w:szCs w:val="28"/>
        </w:rPr>
        <w:t>A description of the assistance HDOT provides to subrecipients, upon their request, to help them comply with the FTA Title VI General Reporting Requirements.  The following are examples of information that may be provided to subrecipients:</w:t>
      </w:r>
    </w:p>
    <w:p w:rsidR="006251DB" w:rsidRPr="006251DB" w:rsidRDefault="006251DB" w:rsidP="006251DB">
      <w:pPr>
        <w:numPr>
          <w:ilvl w:val="0"/>
          <w:numId w:val="21"/>
        </w:numPr>
        <w:tabs>
          <w:tab w:val="clear" w:pos="720"/>
          <w:tab w:val="num" w:pos="1440"/>
        </w:tabs>
        <w:spacing w:line="360" w:lineRule="auto"/>
        <w:ind w:left="1440"/>
        <w:rPr>
          <w:sz w:val="28"/>
          <w:szCs w:val="28"/>
        </w:rPr>
      </w:pPr>
      <w:r w:rsidRPr="006251DB">
        <w:rPr>
          <w:sz w:val="28"/>
          <w:szCs w:val="28"/>
        </w:rPr>
        <w:t>Sample notices to the public informing beneficiaries of their rights under Title VI and procedures on how to file a Title VI complaint.</w:t>
      </w:r>
    </w:p>
    <w:p w:rsidR="006251DB" w:rsidRPr="006251DB" w:rsidRDefault="006251DB" w:rsidP="006251DB">
      <w:pPr>
        <w:numPr>
          <w:ilvl w:val="0"/>
          <w:numId w:val="21"/>
        </w:numPr>
        <w:tabs>
          <w:tab w:val="clear" w:pos="720"/>
          <w:tab w:val="num" w:pos="1440"/>
        </w:tabs>
        <w:spacing w:line="360" w:lineRule="auto"/>
        <w:ind w:left="1440"/>
        <w:rPr>
          <w:sz w:val="28"/>
          <w:szCs w:val="28"/>
        </w:rPr>
      </w:pPr>
      <w:r w:rsidRPr="006251DB">
        <w:rPr>
          <w:sz w:val="28"/>
          <w:szCs w:val="28"/>
        </w:rPr>
        <w:t xml:space="preserve">Sample procedures for tracking and investigating Title VI complaints filed with a </w:t>
      </w:r>
      <w:proofErr w:type="spellStart"/>
      <w:r w:rsidRPr="006251DB">
        <w:rPr>
          <w:sz w:val="28"/>
          <w:szCs w:val="28"/>
        </w:rPr>
        <w:t>subrecipient</w:t>
      </w:r>
      <w:proofErr w:type="spellEnd"/>
      <w:r w:rsidRPr="006251DB">
        <w:rPr>
          <w:sz w:val="28"/>
          <w:szCs w:val="28"/>
        </w:rPr>
        <w:t xml:space="preserve">. </w:t>
      </w:r>
    </w:p>
    <w:p w:rsidR="006251DB" w:rsidRPr="006251DB" w:rsidRDefault="006251DB" w:rsidP="006251DB">
      <w:pPr>
        <w:numPr>
          <w:ilvl w:val="0"/>
          <w:numId w:val="21"/>
        </w:numPr>
        <w:tabs>
          <w:tab w:val="clear" w:pos="720"/>
        </w:tabs>
        <w:spacing w:line="360" w:lineRule="auto"/>
        <w:ind w:left="1440"/>
        <w:rPr>
          <w:sz w:val="28"/>
          <w:szCs w:val="28"/>
        </w:rPr>
      </w:pPr>
      <w:r w:rsidRPr="006251DB">
        <w:rPr>
          <w:sz w:val="28"/>
          <w:szCs w:val="28"/>
        </w:rPr>
        <w:t xml:space="preserve">Demographic information on the race, income, and English proficiency of residents served by the </w:t>
      </w:r>
      <w:proofErr w:type="spellStart"/>
      <w:r w:rsidRPr="006251DB">
        <w:rPr>
          <w:sz w:val="28"/>
          <w:szCs w:val="28"/>
        </w:rPr>
        <w:t>subrecipient</w:t>
      </w:r>
      <w:proofErr w:type="spellEnd"/>
      <w:r w:rsidRPr="006251DB">
        <w:rPr>
          <w:sz w:val="28"/>
          <w:szCs w:val="28"/>
        </w:rPr>
        <w:t>.</w:t>
      </w:r>
    </w:p>
    <w:p w:rsidR="00BB063A" w:rsidRDefault="00BB063A">
      <w:pPr>
        <w:pStyle w:val="BodyText2"/>
        <w:spacing w:line="360" w:lineRule="auto"/>
        <w:jc w:val="left"/>
        <w:rPr>
          <w:b w:val="0"/>
          <w:bCs/>
          <w:sz w:val="28"/>
          <w:szCs w:val="28"/>
        </w:rPr>
      </w:pPr>
    </w:p>
    <w:p w:rsidR="00F80A8D" w:rsidRDefault="00B60A72">
      <w:pPr>
        <w:pStyle w:val="BodyText2"/>
        <w:spacing w:line="360" w:lineRule="auto"/>
        <w:jc w:val="left"/>
        <w:rPr>
          <w:b w:val="0"/>
          <w:bCs/>
          <w:sz w:val="28"/>
          <w:szCs w:val="28"/>
        </w:rPr>
      </w:pPr>
      <w:r>
        <w:rPr>
          <w:b w:val="0"/>
          <w:bCs/>
          <w:sz w:val="28"/>
          <w:szCs w:val="28"/>
        </w:rPr>
        <w:t>HDOT</w:t>
      </w:r>
      <w:r w:rsidR="00F80A8D">
        <w:rPr>
          <w:b w:val="0"/>
          <w:bCs/>
          <w:sz w:val="28"/>
          <w:szCs w:val="28"/>
        </w:rPr>
        <w:t xml:space="preserve"> assembled most of the documents prior to the site visit and provided them to the Compliance Review team for advance review. </w:t>
      </w:r>
      <w:r w:rsidR="008F0120">
        <w:rPr>
          <w:b w:val="0"/>
          <w:bCs/>
          <w:sz w:val="28"/>
          <w:szCs w:val="28"/>
        </w:rPr>
        <w:t xml:space="preserve"> </w:t>
      </w:r>
      <w:r w:rsidR="00F80A8D">
        <w:rPr>
          <w:b w:val="0"/>
          <w:bCs/>
          <w:sz w:val="28"/>
          <w:szCs w:val="28"/>
        </w:rPr>
        <w:t xml:space="preserve">A detailed schedule for the </w:t>
      </w:r>
      <w:r w:rsidR="00AA59B8">
        <w:rPr>
          <w:b w:val="0"/>
          <w:bCs/>
          <w:sz w:val="28"/>
          <w:szCs w:val="28"/>
        </w:rPr>
        <w:t>four</w:t>
      </w:r>
      <w:r w:rsidR="00F80A8D">
        <w:rPr>
          <w:b w:val="0"/>
          <w:bCs/>
          <w:sz w:val="28"/>
          <w:szCs w:val="28"/>
        </w:rPr>
        <w:t>-day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lastRenderedPageBreak/>
        <w:t xml:space="preserve">The site visit to </w:t>
      </w:r>
      <w:r w:rsidR="00B60A72">
        <w:rPr>
          <w:b w:val="0"/>
          <w:bCs/>
          <w:sz w:val="28"/>
          <w:szCs w:val="28"/>
        </w:rPr>
        <w:t>HDOT</w:t>
      </w:r>
      <w:r>
        <w:rPr>
          <w:b w:val="0"/>
          <w:bCs/>
          <w:sz w:val="28"/>
          <w:szCs w:val="28"/>
        </w:rPr>
        <w:t xml:space="preserve"> occurred </w:t>
      </w:r>
      <w:r w:rsidR="00B95DAC">
        <w:rPr>
          <w:b w:val="0"/>
          <w:bCs/>
          <w:sz w:val="28"/>
          <w:szCs w:val="28"/>
        </w:rPr>
        <w:t>February</w:t>
      </w:r>
      <w:r w:rsidR="008F0120">
        <w:rPr>
          <w:b w:val="0"/>
          <w:bCs/>
          <w:sz w:val="28"/>
          <w:szCs w:val="28"/>
        </w:rPr>
        <w:t xml:space="preserve"> 1</w:t>
      </w:r>
      <w:r w:rsidR="00B95DAC">
        <w:rPr>
          <w:b w:val="0"/>
          <w:bCs/>
          <w:sz w:val="28"/>
          <w:szCs w:val="28"/>
        </w:rPr>
        <w:t>6</w:t>
      </w:r>
      <w:r w:rsidR="008F0120">
        <w:rPr>
          <w:b w:val="0"/>
          <w:bCs/>
          <w:sz w:val="28"/>
          <w:szCs w:val="28"/>
        </w:rPr>
        <w:t xml:space="preserve"> – 1</w:t>
      </w:r>
      <w:r w:rsidR="00B95DAC">
        <w:rPr>
          <w:b w:val="0"/>
          <w:bCs/>
          <w:sz w:val="28"/>
          <w:szCs w:val="28"/>
        </w:rPr>
        <w:t>9</w:t>
      </w:r>
      <w:r>
        <w:rPr>
          <w:b w:val="0"/>
          <w:bCs/>
          <w:sz w:val="28"/>
          <w:szCs w:val="28"/>
        </w:rPr>
        <w:t>, 20</w:t>
      </w:r>
      <w:r w:rsidR="00B95DAC">
        <w:rPr>
          <w:b w:val="0"/>
          <w:bCs/>
          <w:sz w:val="28"/>
          <w:szCs w:val="28"/>
        </w:rPr>
        <w:t>10</w:t>
      </w:r>
      <w:r>
        <w:rPr>
          <w:b w:val="0"/>
          <w:bCs/>
          <w:sz w:val="28"/>
          <w:szCs w:val="28"/>
        </w:rPr>
        <w:t xml:space="preserve">.  The individuals participating in the Review are listed in Section VIII of this </w:t>
      </w:r>
      <w:r w:rsidR="00465F54">
        <w:rPr>
          <w:b w:val="0"/>
          <w:bCs/>
          <w:sz w:val="28"/>
          <w:szCs w:val="28"/>
        </w:rPr>
        <w:t>R</w:t>
      </w:r>
      <w:r>
        <w:rPr>
          <w:b w:val="0"/>
          <w:bCs/>
          <w:sz w:val="28"/>
          <w:szCs w:val="28"/>
        </w:rPr>
        <w:t>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B60A72">
        <w:rPr>
          <w:b w:val="0"/>
          <w:sz w:val="28"/>
        </w:rPr>
        <w:t>HDOT</w:t>
      </w:r>
      <w:r w:rsidRPr="00A203F5">
        <w:rPr>
          <w:b w:val="0"/>
          <w:sz w:val="28"/>
        </w:rPr>
        <w:t xml:space="preserve"> senior management staff</w:t>
      </w:r>
      <w:r w:rsidR="00AA59B8">
        <w:rPr>
          <w:b w:val="0"/>
          <w:sz w:val="28"/>
        </w:rPr>
        <w:t xml:space="preserve">, </w:t>
      </w:r>
      <w:r w:rsidR="00AA59B8" w:rsidRPr="00AA59B8">
        <w:rPr>
          <w:b w:val="0"/>
          <w:sz w:val="28"/>
        </w:rPr>
        <w:t>the FTA Region IX Regional Civil Rights Officer,</w:t>
      </w:r>
      <w:r w:rsidR="002207BE" w:rsidRPr="00AA59B8">
        <w:rPr>
          <w:b w:val="0"/>
          <w:sz w:val="28"/>
        </w:rPr>
        <w:t xml:space="preserve"> </w:t>
      </w:r>
      <w:r w:rsidRPr="00A203F5">
        <w:rPr>
          <w:b w:val="0"/>
          <w:sz w:val="28"/>
        </w:rPr>
        <w:t>and the contractor Review 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Pr>
          <w:bCs/>
          <w:sz w:val="28"/>
        </w:rPr>
        <w:t xml:space="preserve">Following the Entrance Conference, the Title VI Compliance Review team met with staff </w:t>
      </w:r>
      <w:r w:rsidR="00EA0F06">
        <w:rPr>
          <w:bCs/>
          <w:sz w:val="28"/>
        </w:rPr>
        <w:t xml:space="preserve">from the </w:t>
      </w:r>
      <w:r w:rsidR="00AA59B8">
        <w:rPr>
          <w:bCs/>
          <w:sz w:val="28"/>
        </w:rPr>
        <w:t xml:space="preserve">HDOT </w:t>
      </w:r>
      <w:r w:rsidR="00EA0F06">
        <w:rPr>
          <w:bCs/>
          <w:sz w:val="28"/>
        </w:rPr>
        <w:t xml:space="preserve">Office of Civil Rights </w:t>
      </w:r>
      <w:r>
        <w:rPr>
          <w:bCs/>
          <w:sz w:val="28"/>
        </w:rPr>
        <w:t>responsible for Title VI Compliance</w:t>
      </w:r>
      <w:r w:rsidR="00AA59B8">
        <w:rPr>
          <w:bCs/>
          <w:sz w:val="28"/>
        </w:rPr>
        <w:t xml:space="preserve"> and</w:t>
      </w:r>
      <w:r w:rsidR="00465F54">
        <w:rPr>
          <w:bCs/>
          <w:sz w:val="28"/>
        </w:rPr>
        <w:t xml:space="preserve"> with staff</w:t>
      </w:r>
      <w:r w:rsidR="00AA59B8">
        <w:rPr>
          <w:bCs/>
          <w:sz w:val="28"/>
        </w:rPr>
        <w:t xml:space="preserve"> from the HDOT STP Office</w:t>
      </w:r>
      <w:r>
        <w:rPr>
          <w:bCs/>
          <w:sz w:val="28"/>
        </w:rPr>
        <w:t xml:space="preserve">.  During this meeting, discussions focused on a detailed examination of documents submitted in advance of the site visit and documents provided at the site visit by the </w:t>
      </w:r>
      <w:r w:rsidR="00B60A72">
        <w:rPr>
          <w:bCs/>
          <w:sz w:val="28"/>
        </w:rPr>
        <w:t>HDOT</w:t>
      </w:r>
      <w:r>
        <w:rPr>
          <w:bCs/>
          <w:sz w:val="28"/>
        </w:rPr>
        <w:t>.</w:t>
      </w:r>
    </w:p>
    <w:p w:rsidR="00EA0F06" w:rsidRDefault="00EA0F06">
      <w:pPr>
        <w:spacing w:line="360" w:lineRule="auto"/>
        <w:rPr>
          <w:bCs/>
          <w:sz w:val="28"/>
        </w:rPr>
      </w:pPr>
    </w:p>
    <w:p w:rsidR="00F80A8D" w:rsidRDefault="00F80A8D">
      <w:pPr>
        <w:spacing w:line="360" w:lineRule="auto"/>
        <w:rPr>
          <w:sz w:val="28"/>
        </w:rPr>
      </w:pPr>
      <w:r>
        <w:rPr>
          <w:bCs/>
          <w:sz w:val="28"/>
        </w:rPr>
        <w:t xml:space="preserve">The Review team then met </w:t>
      </w:r>
      <w:r w:rsidR="00AA59B8">
        <w:rPr>
          <w:bCs/>
          <w:sz w:val="28"/>
        </w:rPr>
        <w:t xml:space="preserve">with </w:t>
      </w:r>
      <w:r w:rsidR="00B60A72">
        <w:rPr>
          <w:bCs/>
          <w:sz w:val="28"/>
        </w:rPr>
        <w:t>HDOT</w:t>
      </w:r>
      <w:r>
        <w:rPr>
          <w:bCs/>
          <w:sz w:val="28"/>
        </w:rPr>
        <w:t xml:space="preserve"> </w:t>
      </w:r>
      <w:r w:rsidR="00AA59B8">
        <w:rPr>
          <w:bCs/>
          <w:sz w:val="28"/>
        </w:rPr>
        <w:t xml:space="preserve">staff </w:t>
      </w:r>
      <w:r>
        <w:rPr>
          <w:bCs/>
          <w:sz w:val="28"/>
        </w:rPr>
        <w:t xml:space="preserve">to discuss how </w:t>
      </w:r>
      <w:r w:rsidR="00B60A72">
        <w:rPr>
          <w:bCs/>
          <w:sz w:val="28"/>
        </w:rPr>
        <w:t>HDOT</w:t>
      </w:r>
      <w:r>
        <w:rPr>
          <w:bCs/>
          <w:sz w:val="28"/>
        </w:rPr>
        <w:t xml:space="preserve"> incorporates FTA Title VI requirements into its </w:t>
      </w:r>
      <w:r w:rsidR="00465F54">
        <w:rPr>
          <w:bCs/>
          <w:sz w:val="28"/>
        </w:rPr>
        <w:t>FTA funded programs</w:t>
      </w:r>
      <w:r>
        <w:rPr>
          <w:bCs/>
          <w:sz w:val="28"/>
        </w:rPr>
        <w:t>.</w:t>
      </w:r>
      <w:r w:rsidR="00A203F5">
        <w:rPr>
          <w:bCs/>
          <w:sz w:val="28"/>
        </w:rPr>
        <w:t xml:space="preserve"> </w:t>
      </w:r>
      <w:r>
        <w:rPr>
          <w:bCs/>
          <w:sz w:val="28"/>
        </w:rPr>
        <w:t xml:space="preserve"> </w:t>
      </w:r>
      <w:r w:rsidR="00651DDB">
        <w:rPr>
          <w:sz w:val="28"/>
        </w:rPr>
        <w:t xml:space="preserve">During the site visit, the Review team visited a Section 5311 subrecipient, the </w:t>
      </w:r>
      <w:r w:rsidR="00651DDB" w:rsidRPr="00651DDB">
        <w:rPr>
          <w:color w:val="000000"/>
          <w:sz w:val="28"/>
          <w:szCs w:val="28"/>
        </w:rPr>
        <w:t>Maui County Department of Transportation</w:t>
      </w:r>
      <w:r w:rsidR="00651DDB">
        <w:rPr>
          <w:color w:val="000000"/>
          <w:sz w:val="28"/>
          <w:szCs w:val="28"/>
        </w:rPr>
        <w:t xml:space="preserve">, to ascertain the extent to which Title VI was being incorporated into the HDOT subrecipient activities. </w:t>
      </w:r>
      <w:r>
        <w:rPr>
          <w:sz w:val="28"/>
        </w:rPr>
        <w:t xml:space="preserve">At the end of the site visit, an Exit Conference was held with </w:t>
      </w:r>
      <w:r w:rsidR="00B60A72">
        <w:rPr>
          <w:sz w:val="28"/>
        </w:rPr>
        <w:t>HDOT</w:t>
      </w:r>
      <w:r>
        <w:rPr>
          <w:sz w:val="28"/>
        </w:rPr>
        <w:t xml:space="preserve"> </w:t>
      </w:r>
      <w:r w:rsidR="00AA59B8">
        <w:rPr>
          <w:sz w:val="28"/>
        </w:rPr>
        <w:t>staff</w:t>
      </w:r>
      <w:r>
        <w:rPr>
          <w:sz w:val="28"/>
        </w:rPr>
        <w:t xml:space="preserve">, the </w:t>
      </w:r>
      <w:r w:rsidRPr="004B4661">
        <w:rPr>
          <w:sz w:val="28"/>
        </w:rPr>
        <w:t xml:space="preserve">FTA </w:t>
      </w:r>
      <w:r w:rsidR="005B389A" w:rsidRPr="004B4661">
        <w:rPr>
          <w:sz w:val="28"/>
        </w:rPr>
        <w:t>Region IX</w:t>
      </w:r>
      <w:r w:rsidRPr="004B4661">
        <w:rPr>
          <w:sz w:val="28"/>
        </w:rPr>
        <w:t xml:space="preserve"> Regional Civil Rights Officer</w:t>
      </w:r>
      <w:r w:rsidR="00465F54">
        <w:rPr>
          <w:sz w:val="28"/>
        </w:rPr>
        <w:t>,</w:t>
      </w:r>
      <w:r>
        <w:rPr>
          <w:sz w:val="28"/>
        </w:rPr>
        <w:t xml:space="preserve"> and the contractor Review team.  At the Exit Conference, initial findings and corrective actions were discussed with </w:t>
      </w:r>
      <w:r w:rsidR="00B60A72">
        <w:rPr>
          <w:sz w:val="28"/>
        </w:rPr>
        <w:t>HDOT</w:t>
      </w:r>
      <w:r>
        <w:rPr>
          <w:sz w:val="28"/>
        </w:rPr>
        <w:t>.</w:t>
      </w:r>
    </w:p>
    <w:p w:rsidR="00F80A8D" w:rsidRDefault="00F80A8D">
      <w:pPr>
        <w:tabs>
          <w:tab w:val="left" w:pos="720"/>
        </w:tabs>
        <w:spacing w:line="360" w:lineRule="auto"/>
        <w:rPr>
          <w:b/>
          <w:bCs/>
          <w:sz w:val="28"/>
          <w:u w:val="single"/>
        </w:rPr>
      </w:pPr>
    </w:p>
    <w:p w:rsidR="00ED5A85" w:rsidRDefault="00AB2C38" w:rsidP="00ED5A85">
      <w:pPr>
        <w:tabs>
          <w:tab w:val="left" w:pos="720"/>
        </w:tabs>
        <w:spacing w:line="360" w:lineRule="auto"/>
        <w:rPr>
          <w:b/>
          <w:bCs/>
          <w:sz w:val="28"/>
          <w:u w:val="single"/>
        </w:rPr>
      </w:pPr>
      <w:r>
        <w:rPr>
          <w:b/>
          <w:bCs/>
          <w:sz w:val="28"/>
          <w:u w:val="single"/>
        </w:rPr>
        <w:br w:type="page"/>
      </w:r>
      <w:r w:rsidR="00ED5A85">
        <w:rPr>
          <w:b/>
          <w:bCs/>
          <w:sz w:val="28"/>
          <w:u w:val="single"/>
        </w:rPr>
        <w:lastRenderedPageBreak/>
        <w:t>Community Interviews</w:t>
      </w:r>
    </w:p>
    <w:p w:rsidR="00CF44AD" w:rsidRDefault="00CF44AD" w:rsidP="00CF44AD">
      <w:pPr>
        <w:tabs>
          <w:tab w:val="left" w:pos="720"/>
        </w:tabs>
        <w:spacing w:line="360" w:lineRule="auto"/>
        <w:rPr>
          <w:sz w:val="28"/>
        </w:rPr>
      </w:pPr>
      <w:r>
        <w:rPr>
          <w:sz w:val="28"/>
        </w:rPr>
        <w:t xml:space="preserve">Several community representatives in Hawaii were interviewed.  They consisted of community leaders and representatives of minority organizations and businesses, and recipients of HDOT funding.  All of the community representatives indicated that HDOT had maintained a consistent presence in their communities in various ways.  Most of the representatives had not received or had no awareness of HDOT Title VI posters notifying the public of their protections under Title VI of the Civil Rights Act.  Most of them were not aware who HDOT’s Title VI </w:t>
      </w:r>
      <w:r w:rsidR="0098135E">
        <w:rPr>
          <w:sz w:val="28"/>
        </w:rPr>
        <w:t>O</w:t>
      </w:r>
      <w:r>
        <w:rPr>
          <w:sz w:val="28"/>
        </w:rPr>
        <w:t>fficer was, but most felt confident in their ability to file a complaint if they had an issue or problem.   None of the representatives reported having seen translators available at community meetings where there may have been individuals with limited English proficiency.  One individual acknowledged having seen literature provided by HDOT presented in another language.</w:t>
      </w:r>
    </w:p>
    <w:p w:rsidR="00CF44AD" w:rsidRDefault="00CF44AD" w:rsidP="00CF44AD">
      <w:pPr>
        <w:tabs>
          <w:tab w:val="left" w:pos="720"/>
        </w:tabs>
        <w:spacing w:line="360" w:lineRule="auto"/>
        <w:rPr>
          <w:sz w:val="28"/>
        </w:rPr>
      </w:pPr>
    </w:p>
    <w:p w:rsidR="00CF44AD" w:rsidRDefault="00CF44AD" w:rsidP="00CF44AD">
      <w:pPr>
        <w:tabs>
          <w:tab w:val="left" w:pos="720"/>
        </w:tabs>
        <w:spacing w:line="360" w:lineRule="auto"/>
        <w:rPr>
          <w:sz w:val="28"/>
        </w:rPr>
      </w:pPr>
      <w:r>
        <w:rPr>
          <w:sz w:val="28"/>
        </w:rPr>
        <w:t>None of the representatives expressed a concern regarding HDOT, their relationship with HDOT, or the service to their communities.  Several of the representatives were of the opinion that Hawaii had such a high concentration of minorities that it would be hard to differentiate between the services provided to minority communities and non-minority communities.  Furthermore, they have not observed any difference in the quality of service provided by HDOT.</w:t>
      </w:r>
    </w:p>
    <w:p w:rsidR="00ED5A85" w:rsidRPr="00B95DAC" w:rsidRDefault="00ED5A85" w:rsidP="00ED5A85">
      <w:pPr>
        <w:tabs>
          <w:tab w:val="left" w:pos="720"/>
        </w:tabs>
        <w:spacing w:line="360" w:lineRule="auto"/>
        <w:rPr>
          <w:bCs/>
          <w:sz w:val="28"/>
        </w:rPr>
      </w:pPr>
    </w:p>
    <w:p w:rsidR="00F80A8D" w:rsidRDefault="00F80A8D">
      <w:pPr>
        <w:spacing w:line="360" w:lineRule="auto"/>
        <w:rPr>
          <w:sz w:val="28"/>
          <w:szCs w:val="28"/>
        </w:rPr>
      </w:pPr>
    </w:p>
    <w:p w:rsidR="00F80A8D" w:rsidRPr="009A52A0" w:rsidRDefault="00750E12" w:rsidP="009A52A0">
      <w:pPr>
        <w:pStyle w:val="BHLevel1"/>
        <w:numPr>
          <w:ilvl w:val="0"/>
          <w:numId w:val="0"/>
        </w:numPr>
        <w:spacing w:line="360" w:lineRule="auto"/>
        <w:ind w:left="-720" w:firstLine="720"/>
        <w:rPr>
          <w:sz w:val="28"/>
          <w:szCs w:val="28"/>
          <w:u w:val="none"/>
        </w:rPr>
      </w:pPr>
      <w:bookmarkStart w:id="11" w:name="_Toc106790242"/>
      <w:r>
        <w:rPr>
          <w:sz w:val="28"/>
          <w:szCs w:val="28"/>
          <w:u w:val="none"/>
        </w:rPr>
        <w:br w:type="page"/>
      </w:r>
      <w:bookmarkStart w:id="12" w:name="_Toc272221036"/>
      <w:r w:rsidR="00F80A8D" w:rsidRPr="009A52A0">
        <w:rPr>
          <w:sz w:val="28"/>
          <w:szCs w:val="28"/>
          <w:u w:val="none"/>
        </w:rPr>
        <w:lastRenderedPageBreak/>
        <w:t xml:space="preserve">VI. </w:t>
      </w:r>
      <w:r w:rsidR="00F80A8D" w:rsidRPr="009A52A0">
        <w:rPr>
          <w:sz w:val="28"/>
          <w:szCs w:val="28"/>
          <w:u w:val="none"/>
        </w:rPr>
        <w:tab/>
      </w:r>
      <w:r w:rsidR="00F80A8D" w:rsidRPr="009A52A0">
        <w:rPr>
          <w:sz w:val="28"/>
          <w:szCs w:val="28"/>
        </w:rPr>
        <w:t>FINDINGS AND RECOMMENDATIONS</w:t>
      </w:r>
      <w:bookmarkEnd w:id="11"/>
      <w:bookmarkEnd w:id="12"/>
    </w:p>
    <w:p w:rsidR="00F80A8D" w:rsidRDefault="00F80A8D">
      <w:pPr>
        <w:spacing w:line="360" w:lineRule="auto"/>
        <w:rPr>
          <w:sz w:val="28"/>
          <w:szCs w:val="28"/>
        </w:rPr>
      </w:pPr>
      <w:r>
        <w:rPr>
          <w:sz w:val="28"/>
          <w:szCs w:val="28"/>
        </w:rPr>
        <w:t xml:space="preserve">The Title VI Compliance Review focused on </w:t>
      </w:r>
      <w:r w:rsidR="00B60A72">
        <w:rPr>
          <w:sz w:val="28"/>
          <w:szCs w:val="28"/>
        </w:rPr>
        <w:t>HDOT</w:t>
      </w:r>
      <w:r>
        <w:rPr>
          <w:sz w:val="28"/>
          <w:szCs w:val="28"/>
        </w:rPr>
        <w:t xml:space="preserve">'s compliance with the General Reporting Requirements </w:t>
      </w:r>
      <w:r w:rsidR="00465F54">
        <w:rPr>
          <w:sz w:val="28"/>
          <w:szCs w:val="28"/>
        </w:rPr>
        <w:t xml:space="preserve">and Guidelines </w:t>
      </w:r>
      <w:r>
        <w:rPr>
          <w:sz w:val="28"/>
          <w:szCs w:val="28"/>
        </w:rPr>
        <w:t>and the Program-Specific Requirements</w:t>
      </w:r>
      <w:r w:rsidR="00465F54">
        <w:rPr>
          <w:sz w:val="28"/>
          <w:szCs w:val="28"/>
        </w:rPr>
        <w:t xml:space="preserve"> and Guidelines</w:t>
      </w:r>
      <w:r>
        <w:rPr>
          <w:sz w:val="28"/>
          <w:szCs w:val="28"/>
        </w:rPr>
        <w:t xml:space="preserve">.  This section describes the requirements and findings at the time of the Compliance Review site visit.  In summary, </w:t>
      </w:r>
      <w:r w:rsidR="008E06FC" w:rsidRPr="004B54C0">
        <w:rPr>
          <w:sz w:val="28"/>
          <w:szCs w:val="28"/>
        </w:rPr>
        <w:t xml:space="preserve">no deficiencies were identified in </w:t>
      </w:r>
      <w:r w:rsidR="004B54C0">
        <w:rPr>
          <w:sz w:val="28"/>
          <w:szCs w:val="28"/>
        </w:rPr>
        <w:t xml:space="preserve">five </w:t>
      </w:r>
      <w:r w:rsidR="008E06FC" w:rsidRPr="004B54C0">
        <w:rPr>
          <w:sz w:val="28"/>
          <w:szCs w:val="28"/>
        </w:rPr>
        <w:t>of the</w:t>
      </w:r>
      <w:r w:rsidR="008C59EE" w:rsidRPr="004B54C0">
        <w:rPr>
          <w:sz w:val="28"/>
          <w:szCs w:val="28"/>
        </w:rPr>
        <w:t xml:space="preserve"> twelve</w:t>
      </w:r>
      <w:r w:rsidR="008E06FC" w:rsidRPr="004B54C0">
        <w:rPr>
          <w:sz w:val="28"/>
          <w:szCs w:val="28"/>
        </w:rPr>
        <w:t xml:space="preserve"> areas reviewed.  </w:t>
      </w:r>
      <w:r w:rsidR="008E06FC">
        <w:rPr>
          <w:sz w:val="28"/>
          <w:szCs w:val="28"/>
        </w:rPr>
        <w:t>D</w:t>
      </w:r>
      <w:r>
        <w:rPr>
          <w:sz w:val="28"/>
          <w:szCs w:val="28"/>
        </w:rPr>
        <w:t xml:space="preserve">eficiencies were identified in </w:t>
      </w:r>
      <w:r w:rsidR="008E06FC">
        <w:rPr>
          <w:sz w:val="28"/>
          <w:szCs w:val="28"/>
        </w:rPr>
        <w:t xml:space="preserve">the following Title VI requirement areas: </w:t>
      </w:r>
    </w:p>
    <w:p w:rsidR="00F80A8D" w:rsidRPr="00577BF9" w:rsidRDefault="00AD546D" w:rsidP="0064099D">
      <w:pPr>
        <w:numPr>
          <w:ilvl w:val="0"/>
          <w:numId w:val="18"/>
        </w:numPr>
        <w:rPr>
          <w:i/>
          <w:sz w:val="28"/>
          <w:szCs w:val="28"/>
        </w:rPr>
      </w:pPr>
      <w:r w:rsidRPr="00577BF9">
        <w:rPr>
          <w:i/>
          <w:sz w:val="28"/>
          <w:szCs w:val="28"/>
        </w:rPr>
        <w:t>Inclusive Public Participation</w:t>
      </w:r>
    </w:p>
    <w:p w:rsidR="004B54C0" w:rsidRPr="00577BF9" w:rsidRDefault="004B54C0" w:rsidP="004B54C0">
      <w:pPr>
        <w:numPr>
          <w:ilvl w:val="0"/>
          <w:numId w:val="18"/>
        </w:numPr>
        <w:rPr>
          <w:i/>
          <w:sz w:val="28"/>
          <w:szCs w:val="28"/>
        </w:rPr>
      </w:pPr>
      <w:r w:rsidRPr="00577BF9">
        <w:rPr>
          <w:i/>
          <w:sz w:val="28"/>
          <w:szCs w:val="28"/>
        </w:rPr>
        <w:t>L</w:t>
      </w:r>
      <w:r w:rsidR="00752BC9">
        <w:rPr>
          <w:i/>
          <w:sz w:val="28"/>
          <w:szCs w:val="28"/>
        </w:rPr>
        <w:t>anguage Access to LEP Persons</w:t>
      </w:r>
    </w:p>
    <w:p w:rsidR="008C59EE" w:rsidRPr="00577BF9" w:rsidRDefault="008C59EE" w:rsidP="0064099D">
      <w:pPr>
        <w:numPr>
          <w:ilvl w:val="0"/>
          <w:numId w:val="18"/>
        </w:numPr>
        <w:rPr>
          <w:i/>
          <w:sz w:val="28"/>
          <w:szCs w:val="28"/>
        </w:rPr>
      </w:pPr>
      <w:r w:rsidRPr="00577BF9">
        <w:rPr>
          <w:i/>
          <w:sz w:val="28"/>
          <w:szCs w:val="28"/>
        </w:rPr>
        <w:t>Noti</w:t>
      </w:r>
      <w:r w:rsidR="00752BC9">
        <w:rPr>
          <w:i/>
          <w:sz w:val="28"/>
          <w:szCs w:val="28"/>
        </w:rPr>
        <w:t>ce to Beneficiaries of Protection Under Title VI</w:t>
      </w:r>
    </w:p>
    <w:p w:rsidR="004A4156" w:rsidRPr="00577BF9" w:rsidRDefault="004A4156" w:rsidP="0064099D">
      <w:pPr>
        <w:numPr>
          <w:ilvl w:val="0"/>
          <w:numId w:val="18"/>
        </w:numPr>
        <w:rPr>
          <w:i/>
          <w:sz w:val="28"/>
          <w:szCs w:val="28"/>
        </w:rPr>
      </w:pPr>
      <w:r w:rsidRPr="00577BF9">
        <w:rPr>
          <w:i/>
          <w:sz w:val="28"/>
          <w:szCs w:val="28"/>
        </w:rPr>
        <w:t>Environmental Justice Analysis</w:t>
      </w:r>
      <w:r w:rsidR="00913B7A" w:rsidRPr="00577BF9">
        <w:rPr>
          <w:i/>
          <w:sz w:val="28"/>
          <w:szCs w:val="28"/>
        </w:rPr>
        <w:t xml:space="preserve"> of Construction Projects</w:t>
      </w:r>
    </w:p>
    <w:p w:rsidR="008D1286" w:rsidRPr="00577BF9" w:rsidRDefault="008D1286" w:rsidP="0064099D">
      <w:pPr>
        <w:numPr>
          <w:ilvl w:val="0"/>
          <w:numId w:val="18"/>
        </w:numPr>
        <w:rPr>
          <w:i/>
          <w:sz w:val="28"/>
          <w:szCs w:val="28"/>
        </w:rPr>
      </w:pPr>
      <w:r w:rsidRPr="00577BF9">
        <w:rPr>
          <w:i/>
          <w:sz w:val="28"/>
          <w:szCs w:val="28"/>
        </w:rPr>
        <w:t>Submit Title VI Program</w:t>
      </w:r>
    </w:p>
    <w:p w:rsidR="004B54C0" w:rsidRPr="00577BF9" w:rsidRDefault="004B54C0" w:rsidP="0064099D">
      <w:pPr>
        <w:numPr>
          <w:ilvl w:val="0"/>
          <w:numId w:val="18"/>
        </w:numPr>
        <w:rPr>
          <w:i/>
          <w:sz w:val="28"/>
          <w:szCs w:val="28"/>
        </w:rPr>
      </w:pPr>
      <w:r w:rsidRPr="00577BF9">
        <w:rPr>
          <w:i/>
          <w:sz w:val="28"/>
          <w:szCs w:val="28"/>
        </w:rPr>
        <w:t>Statewide Planning Activities</w:t>
      </w:r>
    </w:p>
    <w:p w:rsidR="004B54C0" w:rsidRPr="00577BF9" w:rsidRDefault="004B54C0" w:rsidP="0064099D">
      <w:pPr>
        <w:numPr>
          <w:ilvl w:val="0"/>
          <w:numId w:val="18"/>
        </w:numPr>
        <w:rPr>
          <w:i/>
          <w:sz w:val="28"/>
          <w:szCs w:val="28"/>
        </w:rPr>
      </w:pPr>
      <w:r w:rsidRPr="00577BF9">
        <w:rPr>
          <w:i/>
          <w:sz w:val="28"/>
          <w:szCs w:val="28"/>
        </w:rPr>
        <w:t>Program Administration</w:t>
      </w:r>
    </w:p>
    <w:p w:rsidR="006071F2" w:rsidRDefault="006071F2" w:rsidP="006071F2">
      <w:pPr>
        <w:ind w:left="720"/>
        <w:rPr>
          <w:sz w:val="28"/>
          <w:szCs w:val="28"/>
        </w:rPr>
      </w:pPr>
    </w:p>
    <w:p w:rsidR="008C59EE" w:rsidRDefault="00F45EC3" w:rsidP="008C59EE">
      <w:pPr>
        <w:rPr>
          <w:sz w:val="28"/>
          <w:szCs w:val="28"/>
        </w:rPr>
      </w:pPr>
      <w:r>
        <w:rPr>
          <w:sz w:val="28"/>
          <w:szCs w:val="28"/>
        </w:rPr>
        <w:t>Following the site visit, HDOT took corrective actions to close the deficiencies in the following areas:</w:t>
      </w:r>
    </w:p>
    <w:p w:rsidR="00F45EC3" w:rsidRDefault="00F45EC3" w:rsidP="008C59EE">
      <w:pPr>
        <w:rPr>
          <w:sz w:val="28"/>
          <w:szCs w:val="28"/>
        </w:rPr>
      </w:pPr>
    </w:p>
    <w:p w:rsidR="00F45EC3" w:rsidRPr="00F45EC3" w:rsidRDefault="00F45EC3" w:rsidP="00F45EC3">
      <w:pPr>
        <w:numPr>
          <w:ilvl w:val="0"/>
          <w:numId w:val="41"/>
        </w:numPr>
        <w:rPr>
          <w:i/>
          <w:sz w:val="28"/>
          <w:szCs w:val="28"/>
        </w:rPr>
      </w:pPr>
      <w:r w:rsidRPr="00F45EC3">
        <w:rPr>
          <w:i/>
          <w:sz w:val="28"/>
          <w:szCs w:val="28"/>
        </w:rPr>
        <w:t>Inclusive Public Participation</w:t>
      </w:r>
    </w:p>
    <w:p w:rsidR="00F45EC3" w:rsidRPr="00F45EC3" w:rsidRDefault="00F45EC3" w:rsidP="00F45EC3">
      <w:pPr>
        <w:numPr>
          <w:ilvl w:val="0"/>
          <w:numId w:val="41"/>
        </w:numPr>
        <w:rPr>
          <w:i/>
          <w:sz w:val="28"/>
          <w:szCs w:val="28"/>
        </w:rPr>
      </w:pPr>
      <w:r w:rsidRPr="00F45EC3">
        <w:rPr>
          <w:i/>
          <w:sz w:val="28"/>
          <w:szCs w:val="28"/>
        </w:rPr>
        <w:t>Noti</w:t>
      </w:r>
      <w:r w:rsidR="00752BC9">
        <w:rPr>
          <w:i/>
          <w:sz w:val="28"/>
          <w:szCs w:val="28"/>
        </w:rPr>
        <w:t>ce</w:t>
      </w:r>
      <w:r w:rsidRPr="00F45EC3">
        <w:rPr>
          <w:i/>
          <w:sz w:val="28"/>
          <w:szCs w:val="28"/>
        </w:rPr>
        <w:t xml:space="preserve"> to Beneficiaries</w:t>
      </w:r>
      <w:r w:rsidR="00752BC9">
        <w:rPr>
          <w:i/>
          <w:sz w:val="28"/>
          <w:szCs w:val="28"/>
        </w:rPr>
        <w:t xml:space="preserve"> of Protection Under Title VI</w:t>
      </w:r>
    </w:p>
    <w:p w:rsidR="00F45EC3" w:rsidRPr="00F45EC3" w:rsidRDefault="00F45EC3" w:rsidP="00F45EC3">
      <w:pPr>
        <w:numPr>
          <w:ilvl w:val="0"/>
          <w:numId w:val="41"/>
        </w:numPr>
        <w:rPr>
          <w:i/>
          <w:sz w:val="28"/>
          <w:szCs w:val="28"/>
        </w:rPr>
      </w:pPr>
      <w:r w:rsidRPr="00F45EC3">
        <w:rPr>
          <w:i/>
          <w:sz w:val="28"/>
          <w:szCs w:val="28"/>
        </w:rPr>
        <w:t>Environmental Justice Analysis of Construction Projects</w:t>
      </w:r>
    </w:p>
    <w:p w:rsidR="00F45EC3" w:rsidRPr="00F45EC3" w:rsidRDefault="00F45EC3" w:rsidP="00F45EC3">
      <w:pPr>
        <w:numPr>
          <w:ilvl w:val="0"/>
          <w:numId w:val="41"/>
        </w:numPr>
        <w:rPr>
          <w:i/>
          <w:sz w:val="28"/>
          <w:szCs w:val="28"/>
        </w:rPr>
      </w:pPr>
      <w:r w:rsidRPr="00F45EC3">
        <w:rPr>
          <w:i/>
          <w:sz w:val="28"/>
          <w:szCs w:val="28"/>
        </w:rPr>
        <w:t>Submit Title VI Program</w:t>
      </w:r>
    </w:p>
    <w:p w:rsidR="00F45EC3" w:rsidRDefault="00F45EC3" w:rsidP="00F45EC3">
      <w:pPr>
        <w:numPr>
          <w:ilvl w:val="0"/>
          <w:numId w:val="41"/>
        </w:numPr>
        <w:rPr>
          <w:sz w:val="28"/>
          <w:szCs w:val="28"/>
        </w:rPr>
      </w:pPr>
      <w:r w:rsidRPr="00F45EC3">
        <w:rPr>
          <w:i/>
          <w:sz w:val="28"/>
          <w:szCs w:val="28"/>
        </w:rPr>
        <w:t xml:space="preserve">Program Administration </w:t>
      </w:r>
    </w:p>
    <w:p w:rsidR="00F45EC3" w:rsidRDefault="00F45EC3" w:rsidP="008C59EE">
      <w:pPr>
        <w:rPr>
          <w:sz w:val="28"/>
          <w:szCs w:val="28"/>
        </w:rPr>
      </w:pPr>
    </w:p>
    <w:p w:rsidR="00F45EC3" w:rsidRDefault="00F45EC3" w:rsidP="008C59EE">
      <w:pPr>
        <w:rPr>
          <w:sz w:val="28"/>
          <w:szCs w:val="28"/>
        </w:rPr>
      </w:pPr>
      <w:r>
        <w:rPr>
          <w:sz w:val="28"/>
          <w:szCs w:val="28"/>
        </w:rPr>
        <w:t>Deficiencies remain in the following areas:</w:t>
      </w:r>
    </w:p>
    <w:p w:rsidR="00F45EC3" w:rsidRDefault="00F45EC3" w:rsidP="008C59EE">
      <w:pPr>
        <w:rPr>
          <w:sz w:val="28"/>
          <w:szCs w:val="28"/>
        </w:rPr>
      </w:pPr>
    </w:p>
    <w:p w:rsidR="00F45EC3" w:rsidRPr="00F45EC3" w:rsidRDefault="00F45EC3" w:rsidP="00F45EC3">
      <w:pPr>
        <w:numPr>
          <w:ilvl w:val="0"/>
          <w:numId w:val="42"/>
        </w:numPr>
        <w:rPr>
          <w:i/>
          <w:sz w:val="28"/>
          <w:szCs w:val="28"/>
        </w:rPr>
      </w:pPr>
      <w:r w:rsidRPr="00F45EC3">
        <w:rPr>
          <w:i/>
          <w:sz w:val="28"/>
          <w:szCs w:val="28"/>
        </w:rPr>
        <w:t>L</w:t>
      </w:r>
      <w:r w:rsidR="00752BC9">
        <w:rPr>
          <w:i/>
          <w:sz w:val="28"/>
          <w:szCs w:val="28"/>
        </w:rPr>
        <w:t>anguage Access to LEP Persons</w:t>
      </w:r>
    </w:p>
    <w:p w:rsidR="00F45EC3" w:rsidRPr="00F45EC3" w:rsidRDefault="00F45EC3" w:rsidP="00F45EC3">
      <w:pPr>
        <w:numPr>
          <w:ilvl w:val="0"/>
          <w:numId w:val="42"/>
        </w:numPr>
        <w:rPr>
          <w:i/>
          <w:sz w:val="28"/>
          <w:szCs w:val="28"/>
        </w:rPr>
      </w:pPr>
      <w:r w:rsidRPr="00F45EC3">
        <w:rPr>
          <w:i/>
          <w:sz w:val="28"/>
          <w:szCs w:val="28"/>
        </w:rPr>
        <w:t>Statewide Planning Activities</w:t>
      </w:r>
    </w:p>
    <w:p w:rsidR="00F45EC3" w:rsidRDefault="00F45EC3" w:rsidP="008C59EE">
      <w:pPr>
        <w:rPr>
          <w:sz w:val="28"/>
          <w:szCs w:val="28"/>
        </w:rPr>
      </w:pPr>
    </w:p>
    <w:p w:rsidR="00F45EC3" w:rsidRDefault="00F45EC3" w:rsidP="008C59EE">
      <w:pPr>
        <w:rPr>
          <w:sz w:val="28"/>
          <w:szCs w:val="28"/>
        </w:rPr>
      </w:pPr>
    </w:p>
    <w:p w:rsidR="00752BC9" w:rsidRDefault="00752BC9">
      <w:pPr>
        <w:pStyle w:val="Heading4"/>
        <w:rPr>
          <w:sz w:val="28"/>
          <w:szCs w:val="28"/>
        </w:rPr>
      </w:pPr>
    </w:p>
    <w:p w:rsidR="00F80A8D" w:rsidRDefault="00F80A8D">
      <w:pPr>
        <w:pStyle w:val="Heading4"/>
        <w:rPr>
          <w:sz w:val="28"/>
          <w:szCs w:val="28"/>
        </w:rPr>
      </w:pPr>
      <w:r>
        <w:rPr>
          <w:sz w:val="28"/>
          <w:szCs w:val="28"/>
        </w:rPr>
        <w:t>FINDINGS OF THE GENERAL REPORTING REQUIREMENTS</w:t>
      </w:r>
      <w:r w:rsidR="00465F54">
        <w:rPr>
          <w:sz w:val="28"/>
          <w:szCs w:val="28"/>
        </w:rPr>
        <w:t xml:space="preserve"> AND GUIDELINES</w:t>
      </w:r>
    </w:p>
    <w:p w:rsidR="00F80A8D" w:rsidRDefault="00F80A8D"/>
    <w:p w:rsidR="00F80A8D" w:rsidRDefault="00F80A8D">
      <w:pPr>
        <w:pStyle w:val="BHLevel2"/>
        <w:rPr>
          <w:sz w:val="28"/>
          <w:szCs w:val="28"/>
        </w:rPr>
      </w:pPr>
      <w:bookmarkStart w:id="13" w:name="_Toc272221037"/>
      <w:r>
        <w:rPr>
          <w:sz w:val="28"/>
          <w:szCs w:val="28"/>
        </w:rPr>
        <w:t>Inclusive Public Participation</w:t>
      </w:r>
      <w:bookmarkEnd w:id="13"/>
    </w:p>
    <w:p w:rsidR="00F80A8D" w:rsidRDefault="00F80A8D">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210E88" w:rsidRPr="00210E88" w:rsidRDefault="00F80A8D" w:rsidP="00210E88">
      <w:pPr>
        <w:spacing w:line="360" w:lineRule="auto"/>
        <w:rPr>
          <w:sz w:val="28"/>
          <w:szCs w:val="28"/>
        </w:rPr>
      </w:pPr>
      <w:r>
        <w:rPr>
          <w:b/>
          <w:sz w:val="28"/>
          <w:szCs w:val="28"/>
        </w:rPr>
        <w:t>Findings:</w:t>
      </w:r>
      <w:r>
        <w:rPr>
          <w:sz w:val="28"/>
          <w:szCs w:val="28"/>
        </w:rPr>
        <w:t xml:space="preserve"> During this Title VI Compliance Review of </w:t>
      </w:r>
      <w:r w:rsidR="00B60A72">
        <w:rPr>
          <w:sz w:val="28"/>
          <w:szCs w:val="28"/>
        </w:rPr>
        <w:t>HDOT</w:t>
      </w:r>
      <w:r>
        <w:rPr>
          <w:sz w:val="28"/>
          <w:szCs w:val="28"/>
        </w:rPr>
        <w:t xml:space="preserve">, deficiencies were found regarding </w:t>
      </w:r>
      <w:r w:rsidR="00B60A72">
        <w:rPr>
          <w:sz w:val="28"/>
          <w:szCs w:val="28"/>
        </w:rPr>
        <w:t>HDOT</w:t>
      </w:r>
      <w:r>
        <w:rPr>
          <w:sz w:val="28"/>
          <w:szCs w:val="28"/>
        </w:rPr>
        <w:t>’s compliance with FTA guidance for Inclusive Public Participatio</w:t>
      </w:r>
      <w:r w:rsidR="008E06FC">
        <w:rPr>
          <w:sz w:val="28"/>
          <w:szCs w:val="28"/>
        </w:rPr>
        <w:t xml:space="preserve">n.  Prior to </w:t>
      </w:r>
      <w:r>
        <w:rPr>
          <w:sz w:val="28"/>
          <w:szCs w:val="28"/>
        </w:rPr>
        <w:t>the</w:t>
      </w:r>
      <w:r w:rsidR="004B4661">
        <w:rPr>
          <w:sz w:val="28"/>
          <w:szCs w:val="28"/>
        </w:rPr>
        <w:t xml:space="preserve"> site visit, </w:t>
      </w:r>
      <w:r w:rsidR="00B60A72">
        <w:rPr>
          <w:sz w:val="28"/>
          <w:szCs w:val="28"/>
        </w:rPr>
        <w:t>HDOT</w:t>
      </w:r>
      <w:r w:rsidR="004B4661">
        <w:rPr>
          <w:sz w:val="28"/>
          <w:szCs w:val="28"/>
        </w:rPr>
        <w:t xml:space="preserve"> provided </w:t>
      </w:r>
      <w:r w:rsidR="00210E88">
        <w:rPr>
          <w:sz w:val="28"/>
          <w:szCs w:val="28"/>
        </w:rPr>
        <w:t>its</w:t>
      </w:r>
      <w:r w:rsidR="00210E88" w:rsidRPr="00210E88">
        <w:rPr>
          <w:sz w:val="28"/>
          <w:szCs w:val="28"/>
        </w:rPr>
        <w:t xml:space="preserve"> </w:t>
      </w:r>
      <w:r w:rsidR="00210E88" w:rsidRPr="00210E88">
        <w:rPr>
          <w:i/>
          <w:iCs/>
          <w:sz w:val="28"/>
          <w:szCs w:val="28"/>
        </w:rPr>
        <w:t>Guide for Public</w:t>
      </w:r>
      <w:r w:rsidR="00210E88">
        <w:rPr>
          <w:i/>
          <w:iCs/>
          <w:sz w:val="28"/>
          <w:szCs w:val="28"/>
        </w:rPr>
        <w:t xml:space="preserve"> </w:t>
      </w:r>
      <w:r w:rsidR="00210E88" w:rsidRPr="00210E88">
        <w:rPr>
          <w:i/>
          <w:iCs/>
          <w:sz w:val="28"/>
          <w:szCs w:val="28"/>
        </w:rPr>
        <w:t xml:space="preserve">Involvement Planning </w:t>
      </w:r>
      <w:r w:rsidR="00210E88" w:rsidRPr="00210E88">
        <w:rPr>
          <w:sz w:val="28"/>
          <w:szCs w:val="28"/>
        </w:rPr>
        <w:t>(</w:t>
      </w:r>
      <w:r w:rsidR="00210E88" w:rsidRPr="00210E88">
        <w:rPr>
          <w:i/>
          <w:iCs/>
          <w:sz w:val="28"/>
          <w:szCs w:val="28"/>
        </w:rPr>
        <w:t>Guideline</w:t>
      </w:r>
      <w:r w:rsidR="00210E88" w:rsidRPr="00210E88">
        <w:rPr>
          <w:sz w:val="28"/>
          <w:szCs w:val="28"/>
        </w:rPr>
        <w:t>)</w:t>
      </w:r>
      <w:r w:rsidR="00210E88">
        <w:rPr>
          <w:sz w:val="28"/>
          <w:szCs w:val="28"/>
        </w:rPr>
        <w:t xml:space="preserve"> dated October 28, 2003.</w:t>
      </w:r>
      <w:r w:rsidR="00261C1A">
        <w:rPr>
          <w:sz w:val="28"/>
          <w:szCs w:val="28"/>
        </w:rPr>
        <w:t xml:space="preserve">  </w:t>
      </w:r>
      <w:r w:rsidR="00210E88" w:rsidRPr="00210E88">
        <w:rPr>
          <w:sz w:val="28"/>
          <w:szCs w:val="28"/>
        </w:rPr>
        <w:t xml:space="preserve">The </w:t>
      </w:r>
      <w:r w:rsidR="00210E88">
        <w:rPr>
          <w:sz w:val="28"/>
          <w:szCs w:val="28"/>
        </w:rPr>
        <w:t>Guideline</w:t>
      </w:r>
      <w:r w:rsidR="00412DD6">
        <w:rPr>
          <w:sz w:val="28"/>
          <w:szCs w:val="28"/>
        </w:rPr>
        <w:t xml:space="preserve"> was </w:t>
      </w:r>
      <w:r w:rsidR="00210E88" w:rsidRPr="00210E88">
        <w:rPr>
          <w:sz w:val="28"/>
          <w:szCs w:val="28"/>
        </w:rPr>
        <w:t>intended to help the public learn</w:t>
      </w:r>
      <w:r w:rsidR="00210E88">
        <w:rPr>
          <w:sz w:val="28"/>
          <w:szCs w:val="28"/>
        </w:rPr>
        <w:t xml:space="preserve"> </w:t>
      </w:r>
      <w:r w:rsidR="00210E88" w:rsidRPr="00210E88">
        <w:rPr>
          <w:sz w:val="28"/>
          <w:szCs w:val="28"/>
        </w:rPr>
        <w:t>about the land transportation planning process and to encourage public participation in the</w:t>
      </w:r>
      <w:r w:rsidR="00210E88">
        <w:rPr>
          <w:sz w:val="28"/>
          <w:szCs w:val="28"/>
        </w:rPr>
        <w:t xml:space="preserve"> </w:t>
      </w:r>
      <w:r w:rsidR="00210E88" w:rsidRPr="00210E88">
        <w:rPr>
          <w:sz w:val="28"/>
          <w:szCs w:val="28"/>
        </w:rPr>
        <w:t>planning process.</w:t>
      </w:r>
      <w:r w:rsidR="00210E88">
        <w:rPr>
          <w:sz w:val="28"/>
          <w:szCs w:val="28"/>
        </w:rPr>
        <w:t xml:space="preserve">  </w:t>
      </w:r>
      <w:r w:rsidR="00412DD6">
        <w:rPr>
          <w:sz w:val="28"/>
          <w:szCs w:val="28"/>
        </w:rPr>
        <w:t>The Guideline</w:t>
      </w:r>
      <w:r w:rsidR="00B00DDC">
        <w:rPr>
          <w:sz w:val="28"/>
          <w:szCs w:val="28"/>
        </w:rPr>
        <w:t xml:space="preserve"> wa</w:t>
      </w:r>
      <w:r w:rsidR="00412DD6">
        <w:rPr>
          <w:sz w:val="28"/>
          <w:szCs w:val="28"/>
        </w:rPr>
        <w:t>s an extensive document that enumerate</w:t>
      </w:r>
      <w:r w:rsidR="00B00DDC">
        <w:rPr>
          <w:sz w:val="28"/>
          <w:szCs w:val="28"/>
        </w:rPr>
        <w:t>d</w:t>
      </w:r>
      <w:r w:rsidR="00412DD6">
        <w:rPr>
          <w:sz w:val="28"/>
          <w:szCs w:val="28"/>
        </w:rPr>
        <w:t xml:space="preserve"> various aspects of HDOT’s public involvement</w:t>
      </w:r>
      <w:r w:rsidR="00B00DDC">
        <w:rPr>
          <w:sz w:val="28"/>
          <w:szCs w:val="28"/>
        </w:rPr>
        <w:t xml:space="preserve"> process</w:t>
      </w:r>
      <w:r w:rsidR="00412DD6">
        <w:rPr>
          <w:sz w:val="28"/>
          <w:szCs w:val="28"/>
        </w:rPr>
        <w:t xml:space="preserve">.  </w:t>
      </w:r>
      <w:r w:rsidR="00210E88" w:rsidRPr="00210E88">
        <w:rPr>
          <w:sz w:val="28"/>
          <w:szCs w:val="28"/>
        </w:rPr>
        <w:t xml:space="preserve">The intent of the Hawaii DOT’s </w:t>
      </w:r>
      <w:r w:rsidR="00210E88" w:rsidRPr="005E5045">
        <w:rPr>
          <w:i/>
          <w:sz w:val="28"/>
          <w:szCs w:val="28"/>
        </w:rPr>
        <w:t>Guide f</w:t>
      </w:r>
      <w:r w:rsidR="00412DD6" w:rsidRPr="005E5045">
        <w:rPr>
          <w:i/>
          <w:sz w:val="28"/>
          <w:szCs w:val="28"/>
        </w:rPr>
        <w:t>or Public Involvement Planning</w:t>
      </w:r>
      <w:r w:rsidR="00412DD6">
        <w:rPr>
          <w:sz w:val="28"/>
          <w:szCs w:val="28"/>
        </w:rPr>
        <w:t xml:space="preserve"> wa</w:t>
      </w:r>
      <w:r w:rsidR="00210E88" w:rsidRPr="00210E88">
        <w:rPr>
          <w:sz w:val="28"/>
          <w:szCs w:val="28"/>
        </w:rPr>
        <w:t>s to:</w:t>
      </w:r>
    </w:p>
    <w:p w:rsidR="00210E88" w:rsidRPr="00210E88" w:rsidRDefault="00210E88" w:rsidP="0064099D">
      <w:pPr>
        <w:numPr>
          <w:ilvl w:val="1"/>
          <w:numId w:val="33"/>
        </w:numPr>
        <w:spacing w:line="360" w:lineRule="auto"/>
        <w:ind w:left="720"/>
        <w:rPr>
          <w:sz w:val="28"/>
          <w:szCs w:val="28"/>
        </w:rPr>
      </w:pPr>
      <w:r w:rsidRPr="00210E88">
        <w:rPr>
          <w:sz w:val="28"/>
          <w:szCs w:val="28"/>
        </w:rPr>
        <w:t>Increase public awareness and understanding of the transportation planning process in</w:t>
      </w:r>
      <w:r>
        <w:rPr>
          <w:sz w:val="28"/>
          <w:szCs w:val="28"/>
        </w:rPr>
        <w:t xml:space="preserve"> </w:t>
      </w:r>
      <w:r w:rsidRPr="00210E88">
        <w:rPr>
          <w:sz w:val="28"/>
          <w:szCs w:val="28"/>
        </w:rPr>
        <w:t>Hawaii;</w:t>
      </w:r>
    </w:p>
    <w:p w:rsidR="00210E88" w:rsidRPr="00210E88" w:rsidRDefault="00210E88" w:rsidP="0064099D">
      <w:pPr>
        <w:numPr>
          <w:ilvl w:val="1"/>
          <w:numId w:val="33"/>
        </w:numPr>
        <w:spacing w:line="360" w:lineRule="auto"/>
        <w:ind w:left="720"/>
        <w:rPr>
          <w:sz w:val="28"/>
          <w:szCs w:val="28"/>
        </w:rPr>
      </w:pPr>
      <w:r w:rsidRPr="00210E88">
        <w:rPr>
          <w:sz w:val="28"/>
          <w:szCs w:val="28"/>
        </w:rPr>
        <w:t>Encourage broad citizen participation in the development of Hawaii DOT’s</w:t>
      </w:r>
      <w:r>
        <w:rPr>
          <w:sz w:val="28"/>
          <w:szCs w:val="28"/>
        </w:rPr>
        <w:t xml:space="preserve"> </w:t>
      </w:r>
      <w:r w:rsidRPr="00210E88">
        <w:rPr>
          <w:sz w:val="28"/>
          <w:szCs w:val="28"/>
        </w:rPr>
        <w:t>transportation plans and programs, including citizens who have traditionally been</w:t>
      </w:r>
      <w:r>
        <w:rPr>
          <w:sz w:val="28"/>
          <w:szCs w:val="28"/>
        </w:rPr>
        <w:t xml:space="preserve"> </w:t>
      </w:r>
      <w:r w:rsidRPr="00210E88">
        <w:rPr>
          <w:sz w:val="28"/>
          <w:szCs w:val="28"/>
        </w:rPr>
        <w:t>underserved and underrepresented, such as minority and low-income populations;</w:t>
      </w:r>
    </w:p>
    <w:p w:rsidR="00210E88" w:rsidRPr="00210E88" w:rsidRDefault="00210E88" w:rsidP="0064099D">
      <w:pPr>
        <w:numPr>
          <w:ilvl w:val="1"/>
          <w:numId w:val="33"/>
        </w:numPr>
        <w:spacing w:line="360" w:lineRule="auto"/>
        <w:ind w:left="720"/>
        <w:rPr>
          <w:sz w:val="28"/>
          <w:szCs w:val="28"/>
        </w:rPr>
      </w:pPr>
      <w:r w:rsidRPr="00210E88">
        <w:rPr>
          <w:sz w:val="28"/>
          <w:szCs w:val="28"/>
        </w:rPr>
        <w:t>Stimulate a broad-based interest in Hawaii DOT’s planning activities;</w:t>
      </w:r>
    </w:p>
    <w:p w:rsidR="00210E88" w:rsidRPr="00210E88" w:rsidRDefault="00210E88" w:rsidP="0064099D">
      <w:pPr>
        <w:numPr>
          <w:ilvl w:val="1"/>
          <w:numId w:val="33"/>
        </w:numPr>
        <w:spacing w:line="360" w:lineRule="auto"/>
        <w:ind w:left="720"/>
        <w:rPr>
          <w:sz w:val="28"/>
          <w:szCs w:val="28"/>
        </w:rPr>
      </w:pPr>
      <w:r w:rsidRPr="00210E88">
        <w:rPr>
          <w:sz w:val="28"/>
          <w:szCs w:val="28"/>
        </w:rPr>
        <w:t>Improve communication between the public and the Hawaii DOT; and</w:t>
      </w:r>
    </w:p>
    <w:p w:rsidR="00210E88" w:rsidRDefault="00210E88" w:rsidP="0064099D">
      <w:pPr>
        <w:numPr>
          <w:ilvl w:val="1"/>
          <w:numId w:val="33"/>
        </w:numPr>
        <w:spacing w:line="360" w:lineRule="auto"/>
        <w:ind w:left="720"/>
        <w:rPr>
          <w:sz w:val="28"/>
          <w:szCs w:val="28"/>
        </w:rPr>
      </w:pPr>
      <w:r w:rsidRPr="00210E88">
        <w:rPr>
          <w:sz w:val="28"/>
          <w:szCs w:val="28"/>
        </w:rPr>
        <w:lastRenderedPageBreak/>
        <w:t>Foster greater opportunities for the public to participate in the transportation planning</w:t>
      </w:r>
      <w:r>
        <w:rPr>
          <w:sz w:val="28"/>
          <w:szCs w:val="28"/>
        </w:rPr>
        <w:t xml:space="preserve"> </w:t>
      </w:r>
      <w:r w:rsidRPr="00210E88">
        <w:rPr>
          <w:sz w:val="28"/>
          <w:szCs w:val="28"/>
        </w:rPr>
        <w:t>decision-making process by maximizing opportunities for the public to collaborate</w:t>
      </w:r>
      <w:r>
        <w:rPr>
          <w:sz w:val="28"/>
          <w:szCs w:val="28"/>
        </w:rPr>
        <w:t xml:space="preserve"> </w:t>
      </w:r>
      <w:r w:rsidRPr="00210E88">
        <w:rPr>
          <w:sz w:val="28"/>
          <w:szCs w:val="28"/>
        </w:rPr>
        <w:t>with the Hawaii DOT and transportation-related agencies in Hawaii’s four counties</w:t>
      </w:r>
      <w:r w:rsidR="00A53F31">
        <w:rPr>
          <w:sz w:val="28"/>
          <w:szCs w:val="28"/>
        </w:rPr>
        <w:t>.</w:t>
      </w:r>
    </w:p>
    <w:p w:rsidR="00210E88" w:rsidRDefault="00210E88" w:rsidP="00210E88">
      <w:pPr>
        <w:spacing w:line="360" w:lineRule="auto"/>
        <w:rPr>
          <w:sz w:val="28"/>
          <w:szCs w:val="28"/>
        </w:rPr>
      </w:pPr>
    </w:p>
    <w:p w:rsidR="00C13B73" w:rsidRDefault="00412DD6" w:rsidP="00412DD6">
      <w:pPr>
        <w:spacing w:line="360" w:lineRule="auto"/>
        <w:rPr>
          <w:sz w:val="28"/>
          <w:szCs w:val="28"/>
        </w:rPr>
      </w:pPr>
      <w:r>
        <w:rPr>
          <w:sz w:val="28"/>
          <w:szCs w:val="28"/>
        </w:rPr>
        <w:t xml:space="preserve">According to the Guideline, </w:t>
      </w:r>
      <w:r w:rsidRPr="005E5045">
        <w:rPr>
          <w:i/>
          <w:sz w:val="28"/>
          <w:szCs w:val="28"/>
        </w:rPr>
        <w:t xml:space="preserve">“To respond to community considerations which may vary from planning project to planning project, </w:t>
      </w:r>
      <w:r w:rsidR="00B00DDC" w:rsidRPr="005E5045">
        <w:rPr>
          <w:i/>
          <w:sz w:val="28"/>
          <w:szCs w:val="28"/>
        </w:rPr>
        <w:t xml:space="preserve">the </w:t>
      </w:r>
      <w:r w:rsidRPr="005E5045">
        <w:rPr>
          <w:i/>
          <w:sz w:val="28"/>
          <w:szCs w:val="28"/>
        </w:rPr>
        <w:t>HDOT may establish a Citizen Advisory Committee for a project depending on the scope of the particular project. In some instances, a semi-permanent Citizen Advisory Committee may be formed to ensure continuity over a project’s duration.”</w:t>
      </w:r>
      <w:r>
        <w:rPr>
          <w:sz w:val="28"/>
          <w:szCs w:val="28"/>
        </w:rPr>
        <w:t xml:space="preserve">  </w:t>
      </w:r>
    </w:p>
    <w:p w:rsidR="00C13B73" w:rsidRDefault="00C13B73" w:rsidP="00412DD6">
      <w:pPr>
        <w:spacing w:line="360" w:lineRule="auto"/>
        <w:rPr>
          <w:sz w:val="28"/>
          <w:szCs w:val="28"/>
        </w:rPr>
      </w:pPr>
    </w:p>
    <w:p w:rsidR="00134B44" w:rsidRDefault="00412DD6" w:rsidP="00412DD6">
      <w:pPr>
        <w:spacing w:line="360" w:lineRule="auto"/>
        <w:rPr>
          <w:sz w:val="28"/>
          <w:szCs w:val="28"/>
        </w:rPr>
      </w:pPr>
      <w:r>
        <w:rPr>
          <w:sz w:val="28"/>
          <w:szCs w:val="28"/>
        </w:rPr>
        <w:t xml:space="preserve">The </w:t>
      </w:r>
      <w:r w:rsidR="005E5045">
        <w:rPr>
          <w:sz w:val="28"/>
          <w:szCs w:val="28"/>
        </w:rPr>
        <w:t>G</w:t>
      </w:r>
      <w:r>
        <w:rPr>
          <w:sz w:val="28"/>
          <w:szCs w:val="28"/>
        </w:rPr>
        <w:t>uideline indicate</w:t>
      </w:r>
      <w:r w:rsidR="005E5045">
        <w:rPr>
          <w:sz w:val="28"/>
          <w:szCs w:val="28"/>
        </w:rPr>
        <w:t>d</w:t>
      </w:r>
      <w:r>
        <w:rPr>
          <w:sz w:val="28"/>
          <w:szCs w:val="28"/>
        </w:rPr>
        <w:t xml:space="preserve"> that:</w:t>
      </w:r>
    </w:p>
    <w:p w:rsidR="00412DD6" w:rsidRPr="00F45EC3" w:rsidRDefault="00412DD6" w:rsidP="00412DD6">
      <w:pPr>
        <w:ind w:left="720"/>
        <w:rPr>
          <w:i/>
          <w:sz w:val="28"/>
          <w:szCs w:val="28"/>
        </w:rPr>
      </w:pPr>
      <w:r w:rsidRPr="00F45EC3">
        <w:rPr>
          <w:i/>
          <w:sz w:val="28"/>
          <w:szCs w:val="28"/>
        </w:rPr>
        <w:t>Hawaii DOT will seek to identify and include representatives from minority and disadvantaged groups, particularly for those projects directly impacting said groups.</w:t>
      </w:r>
    </w:p>
    <w:p w:rsidR="00261C1A" w:rsidRPr="00F45EC3" w:rsidRDefault="00261C1A">
      <w:pPr>
        <w:spacing w:line="360" w:lineRule="auto"/>
        <w:rPr>
          <w:sz w:val="28"/>
          <w:szCs w:val="28"/>
        </w:rPr>
      </w:pPr>
    </w:p>
    <w:p w:rsidR="00412DD6" w:rsidRPr="00F45EC3" w:rsidRDefault="00412DD6" w:rsidP="00412DD6">
      <w:pPr>
        <w:ind w:left="720"/>
        <w:rPr>
          <w:i/>
          <w:sz w:val="28"/>
          <w:szCs w:val="28"/>
        </w:rPr>
      </w:pPr>
      <w:r w:rsidRPr="00F45EC3">
        <w:rPr>
          <w:i/>
          <w:sz w:val="28"/>
          <w:szCs w:val="28"/>
        </w:rPr>
        <w:t>Hawaii DOT shall provide the public an opportunity to review and comment on the draft STIP prior to the approval of the final STIP</w:t>
      </w:r>
      <w:r w:rsidR="00A53F31">
        <w:rPr>
          <w:i/>
          <w:sz w:val="28"/>
          <w:szCs w:val="28"/>
        </w:rPr>
        <w:t>.</w:t>
      </w:r>
    </w:p>
    <w:p w:rsidR="00412DD6" w:rsidRDefault="00412DD6" w:rsidP="00412DD6">
      <w:pPr>
        <w:spacing w:line="360" w:lineRule="auto"/>
        <w:rPr>
          <w:rFonts w:ascii="TimesNewRomanPSMT" w:hAnsi="TimesNewRomanPSMT" w:cs="TimesNewRomanPSMT"/>
          <w:sz w:val="24"/>
          <w:szCs w:val="24"/>
        </w:rPr>
      </w:pPr>
    </w:p>
    <w:p w:rsidR="000055D5" w:rsidRDefault="000055D5" w:rsidP="000055D5">
      <w:pPr>
        <w:spacing w:line="360" w:lineRule="auto"/>
        <w:rPr>
          <w:sz w:val="28"/>
          <w:szCs w:val="28"/>
        </w:rPr>
      </w:pPr>
      <w:r>
        <w:rPr>
          <w:sz w:val="28"/>
          <w:szCs w:val="28"/>
        </w:rPr>
        <w:t>The Guideline included the following Appendices:</w:t>
      </w:r>
    </w:p>
    <w:p w:rsidR="000055D5" w:rsidRPr="00412DD6" w:rsidRDefault="000055D5" w:rsidP="000055D5">
      <w:pPr>
        <w:numPr>
          <w:ilvl w:val="0"/>
          <w:numId w:val="40"/>
        </w:numPr>
        <w:rPr>
          <w:sz w:val="28"/>
          <w:szCs w:val="28"/>
        </w:rPr>
      </w:pPr>
      <w:r>
        <w:rPr>
          <w:sz w:val="28"/>
          <w:szCs w:val="28"/>
        </w:rPr>
        <w:t xml:space="preserve">Appendix A:  </w:t>
      </w:r>
      <w:r w:rsidRPr="00412DD6">
        <w:rPr>
          <w:bCs/>
          <w:sz w:val="28"/>
          <w:szCs w:val="28"/>
        </w:rPr>
        <w:t>Hawaii DOT Vision of Transportation in the 21st Century</w:t>
      </w:r>
    </w:p>
    <w:p w:rsidR="000055D5" w:rsidRPr="00412DD6" w:rsidRDefault="000055D5" w:rsidP="000055D5">
      <w:pPr>
        <w:numPr>
          <w:ilvl w:val="0"/>
          <w:numId w:val="40"/>
        </w:numPr>
        <w:rPr>
          <w:sz w:val="28"/>
          <w:szCs w:val="28"/>
        </w:rPr>
      </w:pPr>
      <w:r>
        <w:rPr>
          <w:sz w:val="28"/>
          <w:szCs w:val="28"/>
        </w:rPr>
        <w:t>Appendix B:</w:t>
      </w:r>
      <w:r w:rsidRPr="00412DD6">
        <w:rPr>
          <w:sz w:val="28"/>
          <w:szCs w:val="28"/>
        </w:rPr>
        <w:t xml:space="preserve">  </w:t>
      </w:r>
      <w:r w:rsidRPr="00412DD6">
        <w:rPr>
          <w:bCs/>
          <w:sz w:val="28"/>
          <w:szCs w:val="28"/>
        </w:rPr>
        <w:t>Strategies and Activities to Enhance Public Involvement</w:t>
      </w:r>
    </w:p>
    <w:p w:rsidR="00733A47" w:rsidRPr="000055D5" w:rsidRDefault="000055D5" w:rsidP="000055D5">
      <w:pPr>
        <w:numPr>
          <w:ilvl w:val="0"/>
          <w:numId w:val="40"/>
        </w:numPr>
        <w:spacing w:line="360" w:lineRule="auto"/>
        <w:rPr>
          <w:sz w:val="28"/>
          <w:szCs w:val="28"/>
        </w:rPr>
      </w:pPr>
      <w:r>
        <w:rPr>
          <w:sz w:val="28"/>
          <w:szCs w:val="28"/>
        </w:rPr>
        <w:t xml:space="preserve">Appendix C:  </w:t>
      </w:r>
      <w:r w:rsidRPr="00412DD6">
        <w:rPr>
          <w:bCs/>
          <w:sz w:val="28"/>
          <w:szCs w:val="28"/>
        </w:rPr>
        <w:t>Mailing List for Environmental Justice/Title VI Issues</w:t>
      </w:r>
    </w:p>
    <w:p w:rsidR="000055D5" w:rsidRDefault="000055D5" w:rsidP="000055D5">
      <w:pPr>
        <w:spacing w:line="360" w:lineRule="auto"/>
        <w:ind w:left="720"/>
        <w:rPr>
          <w:sz w:val="28"/>
          <w:szCs w:val="28"/>
        </w:rPr>
      </w:pPr>
    </w:p>
    <w:p w:rsidR="000055D5" w:rsidRDefault="000055D5" w:rsidP="000055D5">
      <w:pPr>
        <w:spacing w:line="360" w:lineRule="auto"/>
        <w:rPr>
          <w:sz w:val="28"/>
          <w:szCs w:val="28"/>
        </w:rPr>
      </w:pPr>
      <w:r w:rsidRPr="00210E88">
        <w:rPr>
          <w:sz w:val="28"/>
          <w:szCs w:val="28"/>
        </w:rPr>
        <w:t xml:space="preserve">Additionally, HDOT </w:t>
      </w:r>
      <w:r>
        <w:rPr>
          <w:sz w:val="28"/>
          <w:szCs w:val="28"/>
        </w:rPr>
        <w:t>provid</w:t>
      </w:r>
      <w:r w:rsidRPr="00210E88">
        <w:rPr>
          <w:sz w:val="28"/>
          <w:szCs w:val="28"/>
        </w:rPr>
        <w:t>ed a Public Involvement Policy document</w:t>
      </w:r>
      <w:r>
        <w:rPr>
          <w:sz w:val="28"/>
          <w:szCs w:val="28"/>
        </w:rPr>
        <w:t xml:space="preserve"> dated May 2009</w:t>
      </w:r>
      <w:r w:rsidRPr="00210E88">
        <w:rPr>
          <w:sz w:val="28"/>
          <w:szCs w:val="28"/>
        </w:rPr>
        <w:t>. The</w:t>
      </w:r>
      <w:r>
        <w:rPr>
          <w:sz w:val="28"/>
          <w:szCs w:val="28"/>
        </w:rPr>
        <w:t xml:space="preserve"> </w:t>
      </w:r>
      <w:r w:rsidRPr="00210E88">
        <w:rPr>
          <w:sz w:val="28"/>
          <w:szCs w:val="28"/>
        </w:rPr>
        <w:t xml:space="preserve">policy </w:t>
      </w:r>
      <w:r>
        <w:rPr>
          <w:sz w:val="28"/>
          <w:szCs w:val="28"/>
        </w:rPr>
        <w:t>document wa</w:t>
      </w:r>
      <w:r w:rsidRPr="00210E88">
        <w:rPr>
          <w:sz w:val="28"/>
          <w:szCs w:val="28"/>
        </w:rPr>
        <w:t>s directed at the implementation of activities that solicit</w:t>
      </w:r>
      <w:r>
        <w:rPr>
          <w:sz w:val="28"/>
          <w:szCs w:val="28"/>
        </w:rPr>
        <w:t>ed</w:t>
      </w:r>
      <w:r w:rsidRPr="00210E88">
        <w:rPr>
          <w:sz w:val="28"/>
          <w:szCs w:val="28"/>
        </w:rPr>
        <w:t xml:space="preserve"> inclusive</w:t>
      </w:r>
      <w:r>
        <w:rPr>
          <w:sz w:val="28"/>
          <w:szCs w:val="28"/>
        </w:rPr>
        <w:t xml:space="preserve"> </w:t>
      </w:r>
      <w:r w:rsidRPr="00210E88">
        <w:rPr>
          <w:sz w:val="28"/>
          <w:szCs w:val="28"/>
        </w:rPr>
        <w:t xml:space="preserve">involvement. The policy </w:t>
      </w:r>
      <w:r>
        <w:rPr>
          <w:sz w:val="28"/>
          <w:szCs w:val="28"/>
        </w:rPr>
        <w:t xml:space="preserve">document </w:t>
      </w:r>
      <w:r w:rsidRPr="00210E88">
        <w:rPr>
          <w:sz w:val="28"/>
          <w:szCs w:val="28"/>
        </w:rPr>
        <w:t>encourage</w:t>
      </w:r>
      <w:r>
        <w:rPr>
          <w:sz w:val="28"/>
          <w:szCs w:val="28"/>
        </w:rPr>
        <w:t>d</w:t>
      </w:r>
      <w:r w:rsidRPr="00210E88">
        <w:rPr>
          <w:sz w:val="28"/>
          <w:szCs w:val="28"/>
        </w:rPr>
        <w:t xml:space="preserve"> partnerships between HDOT and the</w:t>
      </w:r>
      <w:r>
        <w:rPr>
          <w:sz w:val="28"/>
          <w:szCs w:val="28"/>
        </w:rPr>
        <w:t xml:space="preserve"> </w:t>
      </w:r>
      <w:r w:rsidRPr="00210E88">
        <w:rPr>
          <w:sz w:val="28"/>
          <w:szCs w:val="28"/>
        </w:rPr>
        <w:t>communities affected by its projects.</w:t>
      </w:r>
      <w:r>
        <w:rPr>
          <w:sz w:val="28"/>
          <w:szCs w:val="28"/>
        </w:rPr>
        <w:t xml:space="preserve">  </w:t>
      </w:r>
    </w:p>
    <w:p w:rsidR="000055D5" w:rsidRDefault="000055D5">
      <w:pPr>
        <w:spacing w:line="360" w:lineRule="auto"/>
        <w:rPr>
          <w:sz w:val="28"/>
          <w:szCs w:val="28"/>
        </w:rPr>
      </w:pPr>
    </w:p>
    <w:p w:rsidR="000055D5" w:rsidRDefault="000055D5" w:rsidP="000055D5">
      <w:pPr>
        <w:spacing w:line="360" w:lineRule="auto"/>
        <w:rPr>
          <w:sz w:val="28"/>
          <w:szCs w:val="28"/>
        </w:rPr>
      </w:pPr>
      <w:r>
        <w:rPr>
          <w:sz w:val="28"/>
          <w:szCs w:val="28"/>
        </w:rPr>
        <w:lastRenderedPageBreak/>
        <w:t>The FTA Circular states that the public participation strategy of agencies such as HDOT:</w:t>
      </w:r>
    </w:p>
    <w:p w:rsidR="000055D5" w:rsidRPr="00F45EC3" w:rsidRDefault="000055D5" w:rsidP="000055D5">
      <w:pPr>
        <w:spacing w:line="360" w:lineRule="auto"/>
        <w:rPr>
          <w:sz w:val="28"/>
          <w:szCs w:val="28"/>
        </w:rPr>
      </w:pPr>
      <w:r w:rsidRPr="00F45EC3">
        <w:rPr>
          <w:sz w:val="28"/>
          <w:szCs w:val="28"/>
        </w:rPr>
        <w:t xml:space="preserve"> </w:t>
      </w:r>
      <w:r w:rsidRPr="00F45EC3">
        <w:rPr>
          <w:i/>
          <w:sz w:val="28"/>
          <w:szCs w:val="28"/>
        </w:rPr>
        <w:t>…shall offer</w:t>
      </w:r>
      <w:r w:rsidRPr="00F45EC3">
        <w:rPr>
          <w:sz w:val="28"/>
          <w:szCs w:val="28"/>
        </w:rPr>
        <w:t xml:space="preserve"> </w:t>
      </w:r>
      <w:r w:rsidRPr="00F45EC3">
        <w:rPr>
          <w:i/>
          <w:iCs/>
          <w:sz w:val="28"/>
          <w:szCs w:val="28"/>
        </w:rPr>
        <w:t>early and continuous opportunities for the public to be involved in the identification of social, economic, and environmental impacts of proposed transportation decisions.</w:t>
      </w:r>
      <w:r w:rsidR="008B106E" w:rsidRPr="00F45EC3">
        <w:rPr>
          <w:sz w:val="28"/>
          <w:szCs w:val="28"/>
        </w:rPr>
        <w:t xml:space="preserve"> </w:t>
      </w:r>
    </w:p>
    <w:p w:rsidR="000055D5" w:rsidRDefault="000055D5" w:rsidP="000055D5">
      <w:pPr>
        <w:spacing w:line="360" w:lineRule="auto"/>
        <w:rPr>
          <w:sz w:val="28"/>
          <w:szCs w:val="28"/>
        </w:rPr>
      </w:pPr>
    </w:p>
    <w:p w:rsidR="00DD4180" w:rsidRDefault="00BD3EFF" w:rsidP="000055D5">
      <w:pPr>
        <w:spacing w:line="360" w:lineRule="auto"/>
        <w:rPr>
          <w:sz w:val="28"/>
          <w:szCs w:val="28"/>
        </w:rPr>
      </w:pPr>
      <w:r>
        <w:rPr>
          <w:sz w:val="28"/>
          <w:szCs w:val="28"/>
        </w:rPr>
        <w:t xml:space="preserve">The </w:t>
      </w:r>
      <w:r w:rsidR="000055D5">
        <w:rPr>
          <w:sz w:val="28"/>
          <w:szCs w:val="28"/>
        </w:rPr>
        <w:t xml:space="preserve">FTA Circular 4702.1A, </w:t>
      </w:r>
      <w:proofErr w:type="gramStart"/>
      <w:r w:rsidR="000055D5">
        <w:rPr>
          <w:sz w:val="28"/>
          <w:szCs w:val="28"/>
        </w:rPr>
        <w:t>IV.9(</w:t>
      </w:r>
      <w:proofErr w:type="gramEnd"/>
      <w:r w:rsidR="000055D5">
        <w:rPr>
          <w:sz w:val="28"/>
          <w:szCs w:val="28"/>
        </w:rPr>
        <w:t>a)</w:t>
      </w:r>
      <w:r>
        <w:rPr>
          <w:sz w:val="28"/>
          <w:szCs w:val="28"/>
        </w:rPr>
        <w:t xml:space="preserve"> </w:t>
      </w:r>
      <w:r w:rsidR="008B106E">
        <w:rPr>
          <w:sz w:val="28"/>
          <w:szCs w:val="28"/>
        </w:rPr>
        <w:t xml:space="preserve">identifies the following </w:t>
      </w:r>
      <w:r w:rsidR="00DD4180" w:rsidRPr="004B4661">
        <w:rPr>
          <w:sz w:val="28"/>
          <w:szCs w:val="28"/>
        </w:rPr>
        <w:t>Effective Practices for Fulfilling the Inclusive Public Participation Requirement</w:t>
      </w:r>
      <w:r w:rsidR="00134B44">
        <w:rPr>
          <w:sz w:val="28"/>
          <w:szCs w:val="28"/>
        </w:rPr>
        <w:t xml:space="preserve">, </w:t>
      </w:r>
      <w:r w:rsidR="00DD4180">
        <w:rPr>
          <w:sz w:val="28"/>
          <w:szCs w:val="28"/>
        </w:rPr>
        <w:t>including:</w:t>
      </w:r>
    </w:p>
    <w:p w:rsidR="002207BE" w:rsidRDefault="002207BE">
      <w:pPr>
        <w:spacing w:line="360" w:lineRule="auto"/>
        <w:rPr>
          <w:sz w:val="28"/>
          <w:szCs w:val="28"/>
        </w:rPr>
      </w:pPr>
    </w:p>
    <w:p w:rsidR="00567B4B" w:rsidRPr="00F45EC3" w:rsidRDefault="00567B4B" w:rsidP="0064099D">
      <w:pPr>
        <w:pStyle w:val="Outline10"/>
        <w:numPr>
          <w:ilvl w:val="0"/>
          <w:numId w:val="19"/>
        </w:numPr>
        <w:tabs>
          <w:tab w:val="clear" w:pos="1584"/>
          <w:tab w:val="left" w:pos="1440"/>
        </w:tabs>
        <w:rPr>
          <w:i/>
          <w:sz w:val="28"/>
          <w:szCs w:val="28"/>
        </w:rPr>
      </w:pPr>
      <w:r w:rsidRPr="00F45EC3">
        <w:rPr>
          <w:i/>
          <w:sz w:val="28"/>
          <w:szCs w:val="28"/>
        </w:rPr>
        <w:t xml:space="preserve">Coordinating with individuals, institutions, or organizations and implementing community-based public involvement strategies to reach out to members in the affected minority and/or low-income communities.  </w:t>
      </w:r>
    </w:p>
    <w:p w:rsidR="00567B4B" w:rsidRPr="00F45EC3" w:rsidRDefault="00567B4B" w:rsidP="0064099D">
      <w:pPr>
        <w:pStyle w:val="Outline10"/>
        <w:numPr>
          <w:ilvl w:val="0"/>
          <w:numId w:val="19"/>
        </w:numPr>
        <w:tabs>
          <w:tab w:val="clear" w:pos="1584"/>
          <w:tab w:val="left" w:pos="1440"/>
        </w:tabs>
        <w:rPr>
          <w:i/>
          <w:sz w:val="28"/>
          <w:szCs w:val="28"/>
        </w:rPr>
      </w:pPr>
      <w:r w:rsidRPr="00F45EC3">
        <w:rPr>
          <w:i/>
          <w:sz w:val="28"/>
          <w:szCs w:val="28"/>
        </w:rPr>
        <w:t xml:space="preserve">Providing opportunities for public participation through means other than written communication, such as personal interviews or use of audio or video recording devices to capture oral comments.  </w:t>
      </w:r>
    </w:p>
    <w:p w:rsidR="00567B4B" w:rsidRPr="00F45EC3" w:rsidRDefault="00567B4B" w:rsidP="0064099D">
      <w:pPr>
        <w:pStyle w:val="Outline10"/>
        <w:numPr>
          <w:ilvl w:val="0"/>
          <w:numId w:val="19"/>
        </w:numPr>
        <w:tabs>
          <w:tab w:val="clear" w:pos="1584"/>
          <w:tab w:val="left" w:pos="1440"/>
        </w:tabs>
        <w:rPr>
          <w:i/>
          <w:sz w:val="28"/>
          <w:szCs w:val="28"/>
        </w:rPr>
      </w:pPr>
      <w:r w:rsidRPr="00F45EC3">
        <w:rPr>
          <w:i/>
          <w:sz w:val="28"/>
          <w:szCs w:val="28"/>
        </w:rPr>
        <w:t xml:space="preserve">Using locations, facilities, and meeting times that are convenient and accessible to low-income and minority communities.  </w:t>
      </w:r>
    </w:p>
    <w:p w:rsidR="00567B4B" w:rsidRPr="00F45EC3" w:rsidRDefault="00567B4B" w:rsidP="0064099D">
      <w:pPr>
        <w:pStyle w:val="Outline10"/>
        <w:numPr>
          <w:ilvl w:val="0"/>
          <w:numId w:val="19"/>
        </w:numPr>
        <w:tabs>
          <w:tab w:val="clear" w:pos="1584"/>
          <w:tab w:val="left" w:pos="1440"/>
        </w:tabs>
        <w:rPr>
          <w:i/>
          <w:sz w:val="28"/>
          <w:szCs w:val="28"/>
        </w:rPr>
      </w:pPr>
      <w:r w:rsidRPr="00F45EC3">
        <w:rPr>
          <w:i/>
          <w:sz w:val="28"/>
          <w:szCs w:val="28"/>
        </w:rPr>
        <w:t xml:space="preserve">Using different meeting sizes or formats, or varying the type and number of news media used to announce public participation opportunities, so that communications are tailored to the particular community or population.  </w:t>
      </w:r>
    </w:p>
    <w:p w:rsidR="00567B4B" w:rsidRPr="00F45EC3" w:rsidRDefault="00567B4B" w:rsidP="0064099D">
      <w:pPr>
        <w:pStyle w:val="Outline10"/>
        <w:numPr>
          <w:ilvl w:val="0"/>
          <w:numId w:val="19"/>
        </w:numPr>
        <w:tabs>
          <w:tab w:val="clear" w:pos="1584"/>
          <w:tab w:val="left" w:pos="1440"/>
        </w:tabs>
        <w:rPr>
          <w:i/>
          <w:sz w:val="28"/>
          <w:szCs w:val="28"/>
        </w:rPr>
      </w:pPr>
      <w:r w:rsidRPr="00F45EC3">
        <w:rPr>
          <w:i/>
          <w:sz w:val="28"/>
          <w:szCs w:val="28"/>
        </w:rPr>
        <w:t xml:space="preserve">Implementing DOT’s policy guidance concerning recipients’ responsibilities to LEP persons to overcome barriers to public participation.  </w:t>
      </w:r>
    </w:p>
    <w:p w:rsidR="00412DD6" w:rsidRDefault="00412DD6" w:rsidP="000055D5">
      <w:pPr>
        <w:rPr>
          <w:sz w:val="28"/>
          <w:szCs w:val="28"/>
        </w:rPr>
      </w:pPr>
    </w:p>
    <w:p w:rsidR="0046273D" w:rsidRDefault="00BD3EFF">
      <w:pPr>
        <w:spacing w:line="360" w:lineRule="auto"/>
        <w:rPr>
          <w:sz w:val="28"/>
          <w:szCs w:val="28"/>
        </w:rPr>
      </w:pPr>
      <w:r>
        <w:rPr>
          <w:sz w:val="28"/>
          <w:szCs w:val="28"/>
        </w:rPr>
        <w:t xml:space="preserve">While HDOT provided policy and guidance documents regarding public involvement, none of its public involvement activities were directed toward FTA programs and projects. </w:t>
      </w:r>
      <w:r w:rsidR="0046273D">
        <w:rPr>
          <w:sz w:val="28"/>
          <w:szCs w:val="28"/>
        </w:rPr>
        <w:t xml:space="preserve">Prior to </w:t>
      </w:r>
      <w:r w:rsidR="005E5045">
        <w:rPr>
          <w:sz w:val="28"/>
          <w:szCs w:val="28"/>
        </w:rPr>
        <w:t xml:space="preserve">and during </w:t>
      </w:r>
      <w:r w:rsidR="0046273D">
        <w:rPr>
          <w:sz w:val="28"/>
          <w:szCs w:val="28"/>
        </w:rPr>
        <w:t xml:space="preserve">the site visit, HDOT did not provide </w:t>
      </w:r>
      <w:r w:rsidR="0046273D">
        <w:rPr>
          <w:sz w:val="28"/>
          <w:szCs w:val="28"/>
        </w:rPr>
        <w:lastRenderedPageBreak/>
        <w:t xml:space="preserve">any documentation that </w:t>
      </w:r>
      <w:r w:rsidR="005E5045">
        <w:rPr>
          <w:sz w:val="28"/>
          <w:szCs w:val="28"/>
        </w:rPr>
        <w:t>it had sought</w:t>
      </w:r>
      <w:r w:rsidR="005E5045" w:rsidRPr="005E5045">
        <w:rPr>
          <w:iCs/>
          <w:sz w:val="28"/>
        </w:rPr>
        <w:t xml:space="preserve"> out and consider</w:t>
      </w:r>
      <w:r w:rsidR="005E5045">
        <w:rPr>
          <w:iCs/>
          <w:sz w:val="28"/>
        </w:rPr>
        <w:t>ed</w:t>
      </w:r>
      <w:r w:rsidR="005E5045" w:rsidRPr="005E5045">
        <w:rPr>
          <w:iCs/>
          <w:sz w:val="28"/>
        </w:rPr>
        <w:t xml:space="preserve"> the viewpoints of minority, low-income, and LEP populations in the course of conducting public outreach and involvement </w:t>
      </w:r>
      <w:r w:rsidR="007A4FD0">
        <w:rPr>
          <w:iCs/>
          <w:sz w:val="28"/>
        </w:rPr>
        <w:t xml:space="preserve">for its FTA funded program </w:t>
      </w:r>
      <w:r w:rsidR="005E5045">
        <w:rPr>
          <w:iCs/>
          <w:sz w:val="28"/>
        </w:rPr>
        <w:t>as described in the Circular</w:t>
      </w:r>
      <w:r w:rsidR="0046273D">
        <w:rPr>
          <w:sz w:val="28"/>
          <w:szCs w:val="28"/>
        </w:rPr>
        <w:t xml:space="preserve">.  There was no </w:t>
      </w:r>
      <w:r w:rsidR="005E5045">
        <w:rPr>
          <w:sz w:val="28"/>
          <w:szCs w:val="28"/>
        </w:rPr>
        <w:t>documentation</w:t>
      </w:r>
      <w:r w:rsidR="0046273D">
        <w:rPr>
          <w:sz w:val="28"/>
          <w:szCs w:val="28"/>
        </w:rPr>
        <w:t xml:space="preserve"> of flyers, notices,</w:t>
      </w:r>
      <w:r>
        <w:rPr>
          <w:sz w:val="28"/>
          <w:szCs w:val="28"/>
        </w:rPr>
        <w:t xml:space="preserve"> meetings, </w:t>
      </w:r>
      <w:r w:rsidR="0046273D">
        <w:rPr>
          <w:sz w:val="28"/>
          <w:szCs w:val="28"/>
        </w:rPr>
        <w:t>or any type of communication</w:t>
      </w:r>
      <w:r w:rsidR="005E5045">
        <w:rPr>
          <w:sz w:val="28"/>
          <w:szCs w:val="28"/>
        </w:rPr>
        <w:t>s</w:t>
      </w:r>
      <w:r w:rsidR="0046273D">
        <w:rPr>
          <w:sz w:val="28"/>
          <w:szCs w:val="28"/>
        </w:rPr>
        <w:t xml:space="preserve"> with the minority</w:t>
      </w:r>
      <w:r w:rsidR="005E5045">
        <w:rPr>
          <w:sz w:val="28"/>
          <w:szCs w:val="28"/>
        </w:rPr>
        <w:t>, low-income,</w:t>
      </w:r>
      <w:r w:rsidR="0046273D">
        <w:rPr>
          <w:sz w:val="28"/>
          <w:szCs w:val="28"/>
        </w:rPr>
        <w:t xml:space="preserve"> and LEP population.  </w:t>
      </w:r>
    </w:p>
    <w:p w:rsidR="0046273D" w:rsidRDefault="0046273D">
      <w:pPr>
        <w:spacing w:line="360" w:lineRule="auto"/>
        <w:rPr>
          <w:sz w:val="28"/>
          <w:szCs w:val="28"/>
        </w:rPr>
      </w:pPr>
    </w:p>
    <w:p w:rsidR="004B54C0" w:rsidRDefault="004B54C0" w:rsidP="004B54C0">
      <w:pPr>
        <w:spacing w:line="360" w:lineRule="auto"/>
        <w:rPr>
          <w:sz w:val="28"/>
          <w:szCs w:val="28"/>
        </w:rPr>
      </w:pPr>
      <w:r>
        <w:rPr>
          <w:sz w:val="28"/>
          <w:szCs w:val="28"/>
        </w:rPr>
        <w:t xml:space="preserve">HDOT was unable to document that its public participation process satisfied the requirements of the FTA Circular </w:t>
      </w:r>
      <w:r w:rsidR="00BD3EFF">
        <w:rPr>
          <w:sz w:val="28"/>
          <w:szCs w:val="28"/>
        </w:rPr>
        <w:t>that</w:t>
      </w:r>
      <w:r>
        <w:rPr>
          <w:sz w:val="28"/>
          <w:szCs w:val="28"/>
        </w:rPr>
        <w:t>:</w:t>
      </w:r>
    </w:p>
    <w:p w:rsidR="004B54C0" w:rsidRPr="00733A47" w:rsidRDefault="004B54C0" w:rsidP="004B54C0">
      <w:pPr>
        <w:ind w:left="720"/>
        <w:rPr>
          <w:sz w:val="24"/>
          <w:szCs w:val="24"/>
        </w:rPr>
      </w:pPr>
      <w:r>
        <w:rPr>
          <w:sz w:val="28"/>
          <w:szCs w:val="28"/>
        </w:rPr>
        <w:t xml:space="preserve"> </w:t>
      </w:r>
      <w:proofErr w:type="gramStart"/>
      <w:r w:rsidR="00BD3EFF">
        <w:rPr>
          <w:i/>
          <w:iCs/>
          <w:sz w:val="28"/>
        </w:rPr>
        <w:t>FTA recipients should seek out and consider the viewpoints of minority, low-income, and LEP populations in the course of conducting public outreach and involvement activities.</w:t>
      </w:r>
      <w:proofErr w:type="gramEnd"/>
      <w:r w:rsidR="00BD3EFF">
        <w:rPr>
          <w:i/>
          <w:iCs/>
          <w:sz w:val="28"/>
        </w:rPr>
        <w:t xml:space="preserve">  </w:t>
      </w:r>
    </w:p>
    <w:p w:rsidR="004B54C0" w:rsidRDefault="004B54C0">
      <w:pPr>
        <w:spacing w:line="360" w:lineRule="auto"/>
        <w:rPr>
          <w:sz w:val="28"/>
          <w:szCs w:val="28"/>
        </w:rPr>
      </w:pPr>
    </w:p>
    <w:p w:rsidR="003446C2" w:rsidRPr="002B4E42" w:rsidRDefault="00752BC9" w:rsidP="002B4E42">
      <w:pPr>
        <w:pStyle w:val="Default"/>
        <w:spacing w:line="360" w:lineRule="auto"/>
        <w:rPr>
          <w:rFonts w:ascii="Times New Roman" w:hAnsi="Times New Roman" w:cs="Times New Roman"/>
          <w:iCs/>
          <w:sz w:val="28"/>
        </w:rPr>
      </w:pPr>
      <w:r w:rsidRPr="002B4E42">
        <w:rPr>
          <w:rFonts w:ascii="Times New Roman" w:hAnsi="Times New Roman" w:cs="Times New Roman"/>
          <w:bCs/>
          <w:sz w:val="28"/>
          <w:szCs w:val="28"/>
        </w:rPr>
        <w:t xml:space="preserve">Following the site visit, HDOT provided information on specific public involvement strategies that it was employing to reach out to its </w:t>
      </w:r>
      <w:r w:rsidRPr="002B4E42">
        <w:rPr>
          <w:rFonts w:ascii="Times New Roman" w:hAnsi="Times New Roman" w:cs="Times New Roman"/>
          <w:iCs/>
          <w:sz w:val="28"/>
        </w:rPr>
        <w:t>minority, low-income, and LEP populations. Th</w:t>
      </w:r>
      <w:r w:rsidR="003B57C0" w:rsidRPr="002B4E42">
        <w:rPr>
          <w:rFonts w:ascii="Times New Roman" w:hAnsi="Times New Roman" w:cs="Times New Roman"/>
          <w:iCs/>
          <w:sz w:val="28"/>
        </w:rPr>
        <w:t>ese</w:t>
      </w:r>
      <w:r w:rsidRPr="002B4E42">
        <w:rPr>
          <w:rFonts w:ascii="Times New Roman" w:hAnsi="Times New Roman" w:cs="Times New Roman"/>
          <w:iCs/>
          <w:sz w:val="28"/>
        </w:rPr>
        <w:t xml:space="preserve"> public involvement activities </w:t>
      </w:r>
      <w:r w:rsidR="003B57C0" w:rsidRPr="002B4E42">
        <w:rPr>
          <w:rFonts w:ascii="Times New Roman" w:hAnsi="Times New Roman" w:cs="Times New Roman"/>
          <w:iCs/>
          <w:sz w:val="28"/>
        </w:rPr>
        <w:t xml:space="preserve">were </w:t>
      </w:r>
      <w:r w:rsidRPr="002B4E42">
        <w:rPr>
          <w:rFonts w:ascii="Times New Roman" w:hAnsi="Times New Roman" w:cs="Times New Roman"/>
          <w:iCs/>
          <w:sz w:val="28"/>
        </w:rPr>
        <w:t>associated with the update of the Hawaii Statewide Transportation Plan (HSTP) and with the development of the Statewide Transportation Improvement Program (STIP) 2011-2014.</w:t>
      </w:r>
      <w:r w:rsidR="003446C2" w:rsidRPr="002B4E42">
        <w:rPr>
          <w:rFonts w:ascii="Times New Roman" w:hAnsi="Times New Roman" w:cs="Times New Roman"/>
          <w:iCs/>
          <w:sz w:val="28"/>
        </w:rPr>
        <w:t xml:space="preserve"> </w:t>
      </w:r>
      <w:r w:rsidR="00AB2C38">
        <w:rPr>
          <w:rFonts w:ascii="Times New Roman" w:hAnsi="Times New Roman" w:cs="Times New Roman"/>
          <w:iCs/>
          <w:sz w:val="28"/>
        </w:rPr>
        <w:t xml:space="preserve"> </w:t>
      </w:r>
      <w:r w:rsidR="003446C2" w:rsidRPr="002B4E42">
        <w:rPr>
          <w:rFonts w:ascii="Times New Roman" w:hAnsi="Times New Roman" w:cs="Times New Roman"/>
          <w:iCs/>
          <w:sz w:val="28"/>
        </w:rPr>
        <w:t xml:space="preserve">HDOT indicated that: </w:t>
      </w:r>
    </w:p>
    <w:p w:rsidR="00567B4B" w:rsidRDefault="00567B4B" w:rsidP="001712C1">
      <w:pPr>
        <w:tabs>
          <w:tab w:val="left" w:pos="720"/>
        </w:tabs>
        <w:spacing w:line="360" w:lineRule="auto"/>
        <w:rPr>
          <w:iCs/>
          <w:sz w:val="28"/>
        </w:rPr>
      </w:pPr>
    </w:p>
    <w:p w:rsidR="002B4E42" w:rsidRPr="002B4E42" w:rsidRDefault="002B4E42" w:rsidP="002B4E42">
      <w:pPr>
        <w:tabs>
          <w:tab w:val="left" w:pos="720"/>
        </w:tabs>
        <w:ind w:left="720"/>
        <w:rPr>
          <w:i/>
          <w:iCs/>
          <w:sz w:val="28"/>
          <w:szCs w:val="28"/>
        </w:rPr>
      </w:pPr>
      <w:r w:rsidRPr="002B4E42">
        <w:rPr>
          <w:i/>
          <w:sz w:val="28"/>
          <w:szCs w:val="28"/>
        </w:rPr>
        <w:t>A component of the extensive public involvement effort includes interview surveys the intention is to learn from community leaders what the State transportation strategies should encompass. Specific targeted outreach to EJ minority and low‐income communities will be conducted through the survey interviews with non‐profit service providers, and community leaders knowledgeable about the transportation (including public transportation and transit) needs of the EJ community.</w:t>
      </w:r>
    </w:p>
    <w:p w:rsidR="00AB2C38" w:rsidRDefault="00AB2C38" w:rsidP="003446C2">
      <w:pPr>
        <w:pStyle w:val="Default"/>
        <w:spacing w:after="120"/>
        <w:rPr>
          <w:iCs/>
          <w:sz w:val="28"/>
        </w:rPr>
      </w:pPr>
    </w:p>
    <w:p w:rsidR="003446C2" w:rsidRDefault="003446C2" w:rsidP="003446C2">
      <w:pPr>
        <w:pStyle w:val="Default"/>
        <w:spacing w:after="120"/>
        <w:rPr>
          <w:iCs/>
          <w:sz w:val="28"/>
        </w:rPr>
      </w:pPr>
      <w:r>
        <w:rPr>
          <w:iCs/>
          <w:sz w:val="28"/>
        </w:rPr>
        <w:t>In addition, HDOT indicated that:</w:t>
      </w:r>
    </w:p>
    <w:p w:rsidR="003446C2" w:rsidRPr="003446C2" w:rsidRDefault="003446C2" w:rsidP="002B4E42">
      <w:pPr>
        <w:pStyle w:val="Default"/>
        <w:spacing w:after="120"/>
        <w:ind w:left="720"/>
        <w:rPr>
          <w:i/>
          <w:sz w:val="23"/>
          <w:szCs w:val="23"/>
        </w:rPr>
      </w:pPr>
      <w:r w:rsidRPr="003446C2">
        <w:rPr>
          <w:rFonts w:ascii="Times New Roman" w:hAnsi="Times New Roman" w:cs="Times New Roman"/>
          <w:i/>
          <w:sz w:val="28"/>
          <w:szCs w:val="28"/>
        </w:rPr>
        <w:t xml:space="preserve">Public transportation and transit EJ outreach include sending the meeting notice to individuals and organizations including Native Hawaiian Civic </w:t>
      </w:r>
      <w:r w:rsidRPr="003446C2">
        <w:rPr>
          <w:rFonts w:ascii="Times New Roman" w:hAnsi="Times New Roman" w:cs="Times New Roman"/>
          <w:i/>
          <w:sz w:val="28"/>
          <w:szCs w:val="28"/>
        </w:rPr>
        <w:lastRenderedPageBreak/>
        <w:t>Clubs, 5310 subrecipients, various Chambers of Commerce</w:t>
      </w:r>
      <w:r w:rsidRPr="003446C2">
        <w:rPr>
          <w:i/>
          <w:sz w:val="23"/>
          <w:szCs w:val="23"/>
        </w:rPr>
        <w:t xml:space="preserve"> </w:t>
      </w:r>
      <w:r w:rsidRPr="003446C2">
        <w:rPr>
          <w:rFonts w:ascii="Times New Roman" w:hAnsi="Times New Roman" w:cs="Times New Roman"/>
          <w:i/>
          <w:sz w:val="28"/>
          <w:szCs w:val="28"/>
        </w:rPr>
        <w:t>(Japanese, Korean, Chinese, Native Hawaiian Chambers of Commerce), Homeless Service Providers, providers for the economically disadvantaged including the Maui Economic Opportunity, Inc., the Kauai Economic Opportunity, Inc., the Hawaii County Economic Opportunity Council.</w:t>
      </w:r>
      <w:r w:rsidRPr="003446C2">
        <w:rPr>
          <w:i/>
          <w:sz w:val="23"/>
          <w:szCs w:val="23"/>
        </w:rPr>
        <w:t xml:space="preserve"> </w:t>
      </w:r>
    </w:p>
    <w:p w:rsidR="003B57C0" w:rsidRDefault="003B57C0" w:rsidP="001712C1">
      <w:pPr>
        <w:tabs>
          <w:tab w:val="left" w:pos="720"/>
        </w:tabs>
        <w:spacing w:line="360" w:lineRule="auto"/>
        <w:rPr>
          <w:iCs/>
          <w:sz w:val="28"/>
        </w:rPr>
      </w:pPr>
    </w:p>
    <w:p w:rsidR="003B57C0" w:rsidRPr="00752BC9" w:rsidRDefault="003B57C0" w:rsidP="001712C1">
      <w:pPr>
        <w:tabs>
          <w:tab w:val="left" w:pos="720"/>
        </w:tabs>
        <w:spacing w:line="360" w:lineRule="auto"/>
        <w:rPr>
          <w:i/>
          <w:sz w:val="28"/>
          <w:szCs w:val="28"/>
        </w:rPr>
      </w:pPr>
      <w:r>
        <w:rPr>
          <w:iCs/>
          <w:sz w:val="28"/>
        </w:rPr>
        <w:t>The deficiencies in this area are now closed.</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4" w:name="_Toc272221038"/>
      <w:r>
        <w:rPr>
          <w:sz w:val="28"/>
          <w:szCs w:val="28"/>
        </w:rPr>
        <w:t>Language Access to LEP Persons</w:t>
      </w:r>
      <w:bookmarkEnd w:id="14"/>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FC6992" w:rsidRDefault="00F80A8D">
      <w:pPr>
        <w:spacing w:line="360" w:lineRule="auto"/>
        <w:rPr>
          <w:sz w:val="28"/>
          <w:szCs w:val="28"/>
        </w:rPr>
      </w:pPr>
      <w:r>
        <w:rPr>
          <w:b/>
          <w:sz w:val="28"/>
          <w:szCs w:val="28"/>
        </w:rPr>
        <w:t>Findings:</w:t>
      </w:r>
      <w:r>
        <w:rPr>
          <w:sz w:val="28"/>
          <w:szCs w:val="28"/>
        </w:rPr>
        <w:t xml:space="preserve">   During this Title VI Compliance Review of </w:t>
      </w:r>
      <w:r w:rsidR="00B60A72">
        <w:rPr>
          <w:sz w:val="28"/>
          <w:szCs w:val="28"/>
        </w:rPr>
        <w:t>HDOT</w:t>
      </w:r>
      <w:r>
        <w:rPr>
          <w:sz w:val="28"/>
          <w:szCs w:val="28"/>
        </w:rPr>
        <w:t xml:space="preserve">, deficiencies were found regarding </w:t>
      </w:r>
      <w:r w:rsidR="00B60A72">
        <w:rPr>
          <w:sz w:val="28"/>
          <w:szCs w:val="28"/>
        </w:rPr>
        <w:t>HDOT</w:t>
      </w:r>
      <w:r>
        <w:rPr>
          <w:sz w:val="28"/>
          <w:szCs w:val="28"/>
        </w:rPr>
        <w:t>’s compliance with FTA requirements for Language Access to LEP persons</w:t>
      </w:r>
      <w:r w:rsidRPr="00B965EA">
        <w:rPr>
          <w:sz w:val="28"/>
          <w:szCs w:val="28"/>
        </w:rPr>
        <w:t>.</w:t>
      </w:r>
      <w:r w:rsidR="00B965EA">
        <w:rPr>
          <w:sz w:val="28"/>
          <w:szCs w:val="28"/>
        </w:rPr>
        <w:t xml:space="preserve">  </w:t>
      </w:r>
      <w:r w:rsidR="00955040">
        <w:rPr>
          <w:sz w:val="28"/>
          <w:szCs w:val="28"/>
        </w:rPr>
        <w:t xml:space="preserve">Prior to the site visit, </w:t>
      </w:r>
      <w:r w:rsidR="00B60A72">
        <w:rPr>
          <w:sz w:val="28"/>
          <w:szCs w:val="28"/>
        </w:rPr>
        <w:t>HDOT</w:t>
      </w:r>
      <w:r>
        <w:rPr>
          <w:sz w:val="28"/>
          <w:szCs w:val="28"/>
        </w:rPr>
        <w:t xml:space="preserve"> provided a document entitled </w:t>
      </w:r>
      <w:r w:rsidR="00955040">
        <w:rPr>
          <w:i/>
          <w:sz w:val="28"/>
          <w:szCs w:val="28"/>
        </w:rPr>
        <w:t>HDOT Four Factor LEP Needs Assessment</w:t>
      </w:r>
      <w:r w:rsidRPr="00B965EA">
        <w:rPr>
          <w:i/>
          <w:sz w:val="28"/>
        </w:rPr>
        <w:t>.</w:t>
      </w:r>
      <w:r w:rsidR="00EB2159">
        <w:rPr>
          <w:sz w:val="28"/>
          <w:szCs w:val="28"/>
        </w:rPr>
        <w:t xml:space="preserve">  </w:t>
      </w:r>
      <w:r w:rsidR="006A7348">
        <w:rPr>
          <w:sz w:val="28"/>
          <w:szCs w:val="28"/>
        </w:rPr>
        <w:t xml:space="preserve">HDOT also provided a document entitled </w:t>
      </w:r>
      <w:r w:rsidR="006A7348" w:rsidRPr="006A7348">
        <w:rPr>
          <w:i/>
          <w:sz w:val="28"/>
          <w:szCs w:val="28"/>
        </w:rPr>
        <w:t>State of Hawaii Department of Transportation Language Access Plan</w:t>
      </w:r>
      <w:r w:rsidR="006A7348">
        <w:rPr>
          <w:sz w:val="28"/>
          <w:szCs w:val="28"/>
        </w:rPr>
        <w:t xml:space="preserve">, most recently updated on August 18, 2009. </w:t>
      </w:r>
    </w:p>
    <w:p w:rsidR="00FC6992" w:rsidRDefault="00FC6992">
      <w:pPr>
        <w:spacing w:line="360" w:lineRule="auto"/>
        <w:rPr>
          <w:sz w:val="28"/>
          <w:szCs w:val="28"/>
        </w:rPr>
      </w:pPr>
    </w:p>
    <w:p w:rsidR="00AB2C38" w:rsidRDefault="00FC6992" w:rsidP="00FC6992">
      <w:pPr>
        <w:spacing w:line="360" w:lineRule="auto"/>
        <w:rPr>
          <w:sz w:val="28"/>
        </w:rPr>
      </w:pPr>
      <w:r w:rsidRPr="00AF7BCD">
        <w:rPr>
          <w:sz w:val="28"/>
          <w:szCs w:val="28"/>
        </w:rPr>
        <w:t xml:space="preserve">A review of </w:t>
      </w:r>
      <w:r w:rsidR="00B60A72">
        <w:rPr>
          <w:sz w:val="28"/>
          <w:szCs w:val="28"/>
        </w:rPr>
        <w:t>HDOT</w:t>
      </w:r>
      <w:r w:rsidRPr="00AF7BCD">
        <w:rPr>
          <w:sz w:val="28"/>
          <w:szCs w:val="28"/>
        </w:rPr>
        <w:t xml:space="preserve">’s </w:t>
      </w:r>
      <w:r w:rsidR="006A7348">
        <w:rPr>
          <w:sz w:val="28"/>
          <w:szCs w:val="28"/>
        </w:rPr>
        <w:t>LEP documents</w:t>
      </w:r>
      <w:r w:rsidRPr="00AF7BCD">
        <w:rPr>
          <w:sz w:val="28"/>
          <w:szCs w:val="28"/>
        </w:rPr>
        <w:t xml:space="preserve"> against the </w:t>
      </w:r>
      <w:r w:rsidRPr="00AF7BCD">
        <w:rPr>
          <w:i/>
          <w:iCs/>
          <w:sz w:val="28"/>
        </w:rPr>
        <w:t>DOT Policy Guidance Concerning Recipients’ Responsibilities to Limited English Proficient Persons,</w:t>
      </w:r>
      <w:r w:rsidRPr="00AF7BCD">
        <w:rPr>
          <w:sz w:val="28"/>
        </w:rPr>
        <w:t xml:space="preserve"> (December 14, 2005) identified the following:</w:t>
      </w:r>
    </w:p>
    <w:p w:rsidR="003446C2" w:rsidRDefault="00AB2C38" w:rsidP="00FC6992">
      <w:pPr>
        <w:spacing w:line="360" w:lineRule="auto"/>
        <w:rPr>
          <w:sz w:val="28"/>
        </w:rPr>
      </w:pPr>
      <w:r>
        <w:rPr>
          <w:sz w:val="28"/>
        </w:rPr>
        <w:br w:type="page"/>
      </w:r>
    </w:p>
    <w:p w:rsidR="00FC6992" w:rsidRDefault="00FC6992" w:rsidP="00FC6992">
      <w:pPr>
        <w:spacing w:line="360" w:lineRule="auto"/>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38"/>
        <w:gridCol w:w="1530"/>
        <w:gridCol w:w="3438"/>
      </w:tblGrid>
      <w:tr w:rsidR="00FC6992" w:rsidTr="005F291D">
        <w:trPr>
          <w:cantSplit/>
          <w:trHeight w:val="561"/>
          <w:tblHeader/>
        </w:trPr>
        <w:tc>
          <w:tcPr>
            <w:tcW w:w="9306" w:type="dxa"/>
            <w:gridSpan w:val="3"/>
            <w:tcBorders>
              <w:bottom w:val="single" w:sz="4" w:space="0" w:color="000000"/>
            </w:tcBorders>
          </w:tcPr>
          <w:p w:rsidR="00FC6992" w:rsidRDefault="00FC6992" w:rsidP="00C22326">
            <w:pPr>
              <w:jc w:val="center"/>
              <w:rPr>
                <w:b/>
                <w:bCs/>
                <w:sz w:val="24"/>
                <w:szCs w:val="28"/>
              </w:rPr>
            </w:pPr>
            <w:r>
              <w:rPr>
                <w:b/>
                <w:bCs/>
                <w:sz w:val="24"/>
                <w:szCs w:val="28"/>
              </w:rPr>
              <w:t xml:space="preserve">Elements Required for LEP Assessment </w:t>
            </w:r>
          </w:p>
          <w:p w:rsidR="00FC6992" w:rsidRDefault="00FC6992" w:rsidP="00C22326">
            <w:pPr>
              <w:jc w:val="center"/>
              <w:rPr>
                <w:b/>
                <w:bCs/>
                <w:sz w:val="24"/>
                <w:szCs w:val="28"/>
              </w:rPr>
            </w:pPr>
            <w:r>
              <w:rPr>
                <w:b/>
                <w:bCs/>
                <w:sz w:val="24"/>
                <w:szCs w:val="28"/>
              </w:rPr>
              <w:t>(Per FTA C. 4702.1A, IV, 4. a. and DOT Policy Guidance)</w:t>
            </w:r>
          </w:p>
        </w:tc>
      </w:tr>
      <w:tr w:rsidR="00FC6992" w:rsidTr="00750E12">
        <w:trPr>
          <w:cantSplit/>
          <w:trHeight w:val="561"/>
        </w:trPr>
        <w:tc>
          <w:tcPr>
            <w:tcW w:w="4338" w:type="dxa"/>
            <w:tcBorders>
              <w:bottom w:val="single" w:sz="4" w:space="0" w:color="000000"/>
            </w:tcBorders>
          </w:tcPr>
          <w:p w:rsidR="00FC6992" w:rsidRDefault="00FC6992" w:rsidP="00C22326">
            <w:pPr>
              <w:rPr>
                <w:b/>
                <w:bCs/>
                <w:sz w:val="24"/>
                <w:szCs w:val="28"/>
              </w:rPr>
            </w:pPr>
          </w:p>
        </w:tc>
        <w:tc>
          <w:tcPr>
            <w:tcW w:w="1530" w:type="dxa"/>
            <w:tcBorders>
              <w:bottom w:val="single" w:sz="4" w:space="0" w:color="000000"/>
            </w:tcBorders>
          </w:tcPr>
          <w:p w:rsidR="00FC6992" w:rsidRDefault="00FC6992" w:rsidP="00FC6992">
            <w:pPr>
              <w:jc w:val="center"/>
              <w:rPr>
                <w:b/>
                <w:bCs/>
                <w:sz w:val="24"/>
                <w:szCs w:val="28"/>
              </w:rPr>
            </w:pPr>
            <w:r>
              <w:rPr>
                <w:b/>
                <w:bCs/>
                <w:sz w:val="24"/>
                <w:szCs w:val="28"/>
              </w:rPr>
              <w:t xml:space="preserve">Included in </w:t>
            </w:r>
            <w:r w:rsidR="00B60A72">
              <w:rPr>
                <w:b/>
                <w:bCs/>
                <w:sz w:val="24"/>
                <w:szCs w:val="28"/>
              </w:rPr>
              <w:t>HDOT</w:t>
            </w:r>
            <w:r>
              <w:rPr>
                <w:b/>
                <w:bCs/>
                <w:sz w:val="24"/>
                <w:szCs w:val="28"/>
              </w:rPr>
              <w:t>’s</w:t>
            </w:r>
          </w:p>
          <w:p w:rsidR="00FC6992" w:rsidRDefault="006A7348" w:rsidP="006A7348">
            <w:pPr>
              <w:jc w:val="center"/>
              <w:rPr>
                <w:b/>
                <w:bCs/>
                <w:sz w:val="24"/>
                <w:szCs w:val="28"/>
              </w:rPr>
            </w:pPr>
            <w:r>
              <w:rPr>
                <w:b/>
                <w:bCs/>
                <w:sz w:val="24"/>
                <w:szCs w:val="28"/>
              </w:rPr>
              <w:t>Documents</w:t>
            </w:r>
            <w:r w:rsidR="00FC6992">
              <w:rPr>
                <w:b/>
                <w:bCs/>
                <w:sz w:val="24"/>
                <w:szCs w:val="28"/>
              </w:rPr>
              <w:t>?</w:t>
            </w:r>
          </w:p>
        </w:tc>
        <w:tc>
          <w:tcPr>
            <w:tcW w:w="3438" w:type="dxa"/>
            <w:tcBorders>
              <w:bottom w:val="single" w:sz="4" w:space="0" w:color="000000"/>
            </w:tcBorders>
          </w:tcPr>
          <w:p w:rsidR="00FC6992" w:rsidRDefault="00FC6992" w:rsidP="00C22326">
            <w:pPr>
              <w:jc w:val="center"/>
              <w:rPr>
                <w:b/>
                <w:bCs/>
                <w:sz w:val="24"/>
                <w:szCs w:val="28"/>
              </w:rPr>
            </w:pPr>
            <w:r>
              <w:rPr>
                <w:b/>
                <w:bCs/>
                <w:sz w:val="24"/>
                <w:szCs w:val="28"/>
              </w:rPr>
              <w:t>Notes/Comments</w:t>
            </w:r>
          </w:p>
        </w:tc>
      </w:tr>
      <w:tr w:rsidR="00FC6992" w:rsidRPr="005F291D" w:rsidTr="005F291D">
        <w:trPr>
          <w:cantSplit/>
        </w:trPr>
        <w:tc>
          <w:tcPr>
            <w:tcW w:w="9306" w:type="dxa"/>
            <w:gridSpan w:val="3"/>
          </w:tcPr>
          <w:p w:rsidR="00FC6992" w:rsidRPr="005F291D" w:rsidRDefault="00FC6992" w:rsidP="00C22326">
            <w:pPr>
              <w:jc w:val="center"/>
              <w:rPr>
                <w:b/>
                <w:sz w:val="22"/>
                <w:szCs w:val="28"/>
              </w:rPr>
            </w:pPr>
            <w:r w:rsidRPr="005F291D">
              <w:rPr>
                <w:b/>
                <w:sz w:val="22"/>
                <w:szCs w:val="28"/>
              </w:rPr>
              <w:t>Part A – Four-Factor Assessment</w:t>
            </w:r>
          </w:p>
        </w:tc>
      </w:tr>
      <w:tr w:rsidR="00FC6992" w:rsidTr="00750E12">
        <w:trPr>
          <w:cantSplit/>
        </w:trPr>
        <w:tc>
          <w:tcPr>
            <w:tcW w:w="4338" w:type="dxa"/>
          </w:tcPr>
          <w:p w:rsidR="00FC6992" w:rsidRDefault="00FC6992" w:rsidP="00724AFC">
            <w:pPr>
              <w:numPr>
                <w:ilvl w:val="0"/>
                <w:numId w:val="11"/>
              </w:numPr>
              <w:rPr>
                <w:sz w:val="22"/>
                <w:szCs w:val="28"/>
              </w:rPr>
            </w:pPr>
            <w:r>
              <w:rPr>
                <w:sz w:val="22"/>
                <w:szCs w:val="28"/>
              </w:rPr>
              <w:t>Demography –The number or proportion of LEP persons eligible to be served or likely to be encountered</w:t>
            </w:r>
          </w:p>
        </w:tc>
        <w:tc>
          <w:tcPr>
            <w:tcW w:w="1530" w:type="dxa"/>
          </w:tcPr>
          <w:p w:rsidR="00FC6992" w:rsidRPr="0004231E" w:rsidRDefault="003B11B7" w:rsidP="00C22326">
            <w:pPr>
              <w:jc w:val="center"/>
              <w:rPr>
                <w:sz w:val="22"/>
                <w:szCs w:val="28"/>
              </w:rPr>
            </w:pPr>
            <w:r>
              <w:rPr>
                <w:sz w:val="22"/>
                <w:szCs w:val="28"/>
              </w:rPr>
              <w:t>Yes</w:t>
            </w:r>
          </w:p>
        </w:tc>
        <w:tc>
          <w:tcPr>
            <w:tcW w:w="3438" w:type="dxa"/>
          </w:tcPr>
          <w:p w:rsidR="00FC6992" w:rsidRDefault="00955040" w:rsidP="00955040">
            <w:pPr>
              <w:rPr>
                <w:sz w:val="22"/>
                <w:szCs w:val="28"/>
              </w:rPr>
            </w:pPr>
            <w:r>
              <w:rPr>
                <w:sz w:val="22"/>
                <w:szCs w:val="28"/>
              </w:rPr>
              <w:t xml:space="preserve">Analysis gives proportion of LEP persons relative to the total </w:t>
            </w:r>
            <w:r w:rsidR="003B11B7">
              <w:rPr>
                <w:sz w:val="22"/>
                <w:szCs w:val="28"/>
              </w:rPr>
              <w:t xml:space="preserve">county </w:t>
            </w:r>
            <w:r>
              <w:rPr>
                <w:sz w:val="22"/>
                <w:szCs w:val="28"/>
              </w:rPr>
              <w:t>population</w:t>
            </w:r>
            <w:r w:rsidR="003B11B7">
              <w:rPr>
                <w:sz w:val="22"/>
                <w:szCs w:val="28"/>
              </w:rPr>
              <w:t>s</w:t>
            </w:r>
          </w:p>
        </w:tc>
      </w:tr>
      <w:tr w:rsidR="00FC6992" w:rsidTr="00750E12">
        <w:trPr>
          <w:cantSplit/>
        </w:trPr>
        <w:tc>
          <w:tcPr>
            <w:tcW w:w="4338" w:type="dxa"/>
          </w:tcPr>
          <w:p w:rsidR="00FC6992" w:rsidRDefault="00FC6992" w:rsidP="00724AFC">
            <w:pPr>
              <w:numPr>
                <w:ilvl w:val="0"/>
                <w:numId w:val="11"/>
              </w:numPr>
              <w:rPr>
                <w:sz w:val="22"/>
                <w:szCs w:val="28"/>
              </w:rPr>
            </w:pPr>
            <w:r>
              <w:rPr>
                <w:sz w:val="22"/>
                <w:szCs w:val="28"/>
              </w:rPr>
              <w:t xml:space="preserve">Frequency of Contact  - </w:t>
            </w:r>
            <w:r>
              <w:rPr>
                <w:sz w:val="22"/>
              </w:rPr>
              <w:t>the frequency with which LEP individuals come in contact with the program and/or activities</w:t>
            </w:r>
          </w:p>
        </w:tc>
        <w:tc>
          <w:tcPr>
            <w:tcW w:w="1530" w:type="dxa"/>
          </w:tcPr>
          <w:p w:rsidR="00FC6992" w:rsidRPr="0004231E" w:rsidRDefault="003B11B7" w:rsidP="005F291D">
            <w:pPr>
              <w:jc w:val="center"/>
              <w:rPr>
                <w:sz w:val="22"/>
                <w:szCs w:val="28"/>
              </w:rPr>
            </w:pPr>
            <w:r>
              <w:rPr>
                <w:sz w:val="22"/>
                <w:szCs w:val="28"/>
              </w:rPr>
              <w:t>No</w:t>
            </w:r>
          </w:p>
        </w:tc>
        <w:tc>
          <w:tcPr>
            <w:tcW w:w="3438" w:type="dxa"/>
          </w:tcPr>
          <w:p w:rsidR="00FC6992" w:rsidRDefault="00664E30" w:rsidP="003B11B7">
            <w:pPr>
              <w:rPr>
                <w:sz w:val="22"/>
                <w:szCs w:val="28"/>
              </w:rPr>
            </w:pPr>
            <w:r>
              <w:rPr>
                <w:sz w:val="22"/>
                <w:szCs w:val="28"/>
              </w:rPr>
              <w:t xml:space="preserve">HDOT </w:t>
            </w:r>
            <w:r w:rsidR="006A7348">
              <w:rPr>
                <w:sz w:val="22"/>
                <w:szCs w:val="28"/>
              </w:rPr>
              <w:t xml:space="preserve">subrecipient frequency of </w:t>
            </w:r>
            <w:r>
              <w:rPr>
                <w:sz w:val="22"/>
                <w:szCs w:val="28"/>
              </w:rPr>
              <w:t>c</w:t>
            </w:r>
            <w:r w:rsidR="003B11B7">
              <w:rPr>
                <w:sz w:val="22"/>
                <w:szCs w:val="28"/>
              </w:rPr>
              <w:t>ontact information being developed</w:t>
            </w:r>
            <w:r>
              <w:rPr>
                <w:sz w:val="22"/>
                <w:szCs w:val="28"/>
              </w:rPr>
              <w:t>; one method is by surveying drivers.</w:t>
            </w:r>
          </w:p>
        </w:tc>
      </w:tr>
      <w:tr w:rsidR="00FC6992" w:rsidTr="00750E12">
        <w:trPr>
          <w:cantSplit/>
        </w:trPr>
        <w:tc>
          <w:tcPr>
            <w:tcW w:w="4338" w:type="dxa"/>
          </w:tcPr>
          <w:p w:rsidR="00FC6992" w:rsidRDefault="00FC6992" w:rsidP="00724AFC">
            <w:pPr>
              <w:numPr>
                <w:ilvl w:val="0"/>
                <w:numId w:val="11"/>
              </w:numPr>
              <w:rPr>
                <w:sz w:val="22"/>
                <w:szCs w:val="28"/>
              </w:rPr>
            </w:pPr>
            <w:r>
              <w:rPr>
                <w:sz w:val="22"/>
              </w:rPr>
              <w:t>Importance - the nature and importance of the program, activity, or service to people's lives;</w:t>
            </w:r>
          </w:p>
        </w:tc>
        <w:tc>
          <w:tcPr>
            <w:tcW w:w="1530" w:type="dxa"/>
          </w:tcPr>
          <w:p w:rsidR="00FC6992" w:rsidRPr="0004231E" w:rsidRDefault="009F243B" w:rsidP="00C22326">
            <w:pPr>
              <w:jc w:val="center"/>
              <w:rPr>
                <w:sz w:val="22"/>
                <w:szCs w:val="28"/>
              </w:rPr>
            </w:pPr>
            <w:r>
              <w:rPr>
                <w:sz w:val="22"/>
                <w:szCs w:val="28"/>
              </w:rPr>
              <w:t>No</w:t>
            </w:r>
          </w:p>
        </w:tc>
        <w:tc>
          <w:tcPr>
            <w:tcW w:w="3438" w:type="dxa"/>
          </w:tcPr>
          <w:p w:rsidR="00FC6992" w:rsidRPr="007554DE" w:rsidRDefault="009F243B" w:rsidP="00733A47">
            <w:pPr>
              <w:rPr>
                <w:sz w:val="22"/>
                <w:szCs w:val="28"/>
              </w:rPr>
            </w:pPr>
            <w:r>
              <w:rPr>
                <w:sz w:val="22"/>
                <w:szCs w:val="28"/>
              </w:rPr>
              <w:t>Lack of analysis of services used by LEP and lack of input from community and LEP persons.</w:t>
            </w:r>
          </w:p>
        </w:tc>
      </w:tr>
      <w:tr w:rsidR="00FC6992" w:rsidTr="00750E12">
        <w:trPr>
          <w:cantSplit/>
        </w:trPr>
        <w:tc>
          <w:tcPr>
            <w:tcW w:w="4338" w:type="dxa"/>
          </w:tcPr>
          <w:p w:rsidR="00FC6992" w:rsidRDefault="00FC6992" w:rsidP="00724AFC">
            <w:pPr>
              <w:numPr>
                <w:ilvl w:val="0"/>
                <w:numId w:val="11"/>
              </w:numPr>
              <w:rPr>
                <w:sz w:val="22"/>
                <w:szCs w:val="28"/>
              </w:rPr>
            </w:pPr>
            <w:r>
              <w:rPr>
                <w:sz w:val="22"/>
              </w:rPr>
              <w:t>Resources - the resources available and costs</w:t>
            </w:r>
          </w:p>
        </w:tc>
        <w:tc>
          <w:tcPr>
            <w:tcW w:w="1530" w:type="dxa"/>
          </w:tcPr>
          <w:p w:rsidR="00FC6992" w:rsidRPr="0004231E" w:rsidRDefault="003B11B7" w:rsidP="00C22326">
            <w:pPr>
              <w:jc w:val="center"/>
              <w:rPr>
                <w:sz w:val="22"/>
                <w:szCs w:val="28"/>
              </w:rPr>
            </w:pPr>
            <w:r>
              <w:rPr>
                <w:sz w:val="22"/>
                <w:szCs w:val="28"/>
              </w:rPr>
              <w:t>No</w:t>
            </w:r>
          </w:p>
        </w:tc>
        <w:tc>
          <w:tcPr>
            <w:tcW w:w="3438" w:type="dxa"/>
          </w:tcPr>
          <w:p w:rsidR="00FC6992" w:rsidRPr="007554DE" w:rsidRDefault="003B11B7" w:rsidP="003B11B7">
            <w:pPr>
              <w:rPr>
                <w:sz w:val="22"/>
                <w:szCs w:val="28"/>
              </w:rPr>
            </w:pPr>
            <w:r>
              <w:rPr>
                <w:sz w:val="22"/>
                <w:szCs w:val="28"/>
              </w:rPr>
              <w:t>No associated costs given.</w:t>
            </w:r>
          </w:p>
        </w:tc>
      </w:tr>
    </w:tbl>
    <w:p w:rsidR="00FC6992" w:rsidRDefault="00FC6992" w:rsidP="00FC6992">
      <w:pPr>
        <w:spacing w:line="360" w:lineRule="auto"/>
        <w:rPr>
          <w:sz w:val="28"/>
          <w:szCs w:val="28"/>
        </w:rPr>
      </w:pPr>
    </w:p>
    <w:p w:rsidR="00664E30" w:rsidRDefault="00F76C84" w:rsidP="00FC6992">
      <w:pPr>
        <w:spacing w:line="360" w:lineRule="auto"/>
        <w:rPr>
          <w:sz w:val="28"/>
          <w:szCs w:val="28"/>
        </w:rPr>
      </w:pPr>
      <w:r>
        <w:rPr>
          <w:sz w:val="28"/>
          <w:szCs w:val="28"/>
        </w:rPr>
        <w:t xml:space="preserve">HDOT was able to show that it had appropriate Demographic data for the Four Factor Analysis.  In its submittal prior to the site visit, HDOT’s LEP </w:t>
      </w:r>
      <w:r w:rsidR="006A7348">
        <w:rPr>
          <w:sz w:val="28"/>
          <w:szCs w:val="28"/>
        </w:rPr>
        <w:t>documents</w:t>
      </w:r>
      <w:r>
        <w:rPr>
          <w:sz w:val="28"/>
          <w:szCs w:val="28"/>
        </w:rPr>
        <w:t xml:space="preserve"> showed </w:t>
      </w:r>
      <w:r w:rsidR="006A7348">
        <w:rPr>
          <w:sz w:val="28"/>
          <w:szCs w:val="28"/>
        </w:rPr>
        <w:t>s</w:t>
      </w:r>
      <w:r>
        <w:rPr>
          <w:sz w:val="28"/>
          <w:szCs w:val="28"/>
        </w:rPr>
        <w:t xml:space="preserve">tatewide LEP </w:t>
      </w:r>
      <w:r w:rsidR="006A7348">
        <w:rPr>
          <w:sz w:val="28"/>
          <w:szCs w:val="28"/>
        </w:rPr>
        <w:t>d</w:t>
      </w:r>
      <w:r>
        <w:rPr>
          <w:sz w:val="28"/>
          <w:szCs w:val="28"/>
        </w:rPr>
        <w:t xml:space="preserve">ata by </w:t>
      </w:r>
      <w:r w:rsidR="006A7348">
        <w:rPr>
          <w:sz w:val="28"/>
          <w:szCs w:val="28"/>
        </w:rPr>
        <w:t>c</w:t>
      </w:r>
      <w:r>
        <w:rPr>
          <w:sz w:val="28"/>
          <w:szCs w:val="28"/>
        </w:rPr>
        <w:t>ounty</w:t>
      </w:r>
      <w:r w:rsidR="006A7348">
        <w:rPr>
          <w:sz w:val="28"/>
          <w:szCs w:val="28"/>
        </w:rPr>
        <w:t xml:space="preserve"> for the</w:t>
      </w:r>
      <w:r>
        <w:rPr>
          <w:sz w:val="28"/>
          <w:szCs w:val="28"/>
        </w:rPr>
        <w:t xml:space="preserve"> City and County of H</w:t>
      </w:r>
      <w:r w:rsidR="006A7348">
        <w:rPr>
          <w:sz w:val="28"/>
          <w:szCs w:val="28"/>
        </w:rPr>
        <w:t>onolulu and</w:t>
      </w:r>
      <w:r>
        <w:rPr>
          <w:sz w:val="28"/>
          <w:szCs w:val="28"/>
        </w:rPr>
        <w:t xml:space="preserve"> Hawaii</w:t>
      </w:r>
      <w:r w:rsidR="006A7348">
        <w:rPr>
          <w:sz w:val="28"/>
          <w:szCs w:val="28"/>
        </w:rPr>
        <w:t xml:space="preserve">, </w:t>
      </w:r>
      <w:r>
        <w:rPr>
          <w:sz w:val="28"/>
          <w:szCs w:val="28"/>
        </w:rPr>
        <w:t>Maui, Kauai, and Kalawao Counties.  The</w:t>
      </w:r>
      <w:r w:rsidR="002F227D">
        <w:rPr>
          <w:sz w:val="28"/>
          <w:szCs w:val="28"/>
        </w:rPr>
        <w:t xml:space="preserve">y used 2006 American Community Survey data to determine the percentages of homes that spoke a language other than English.  </w:t>
      </w:r>
    </w:p>
    <w:p w:rsidR="00617FED" w:rsidRDefault="00617FED" w:rsidP="00C00537">
      <w:pPr>
        <w:spacing w:line="360" w:lineRule="auto"/>
        <w:rPr>
          <w:bCs/>
          <w:sz w:val="28"/>
          <w:szCs w:val="28"/>
        </w:rPr>
      </w:pPr>
    </w:p>
    <w:p w:rsidR="002F227D" w:rsidRDefault="002F227D" w:rsidP="00C00537">
      <w:pPr>
        <w:spacing w:line="360" w:lineRule="auto"/>
        <w:rPr>
          <w:bCs/>
          <w:sz w:val="28"/>
          <w:szCs w:val="28"/>
        </w:rPr>
      </w:pPr>
      <w:r>
        <w:rPr>
          <w:bCs/>
          <w:sz w:val="28"/>
          <w:szCs w:val="28"/>
        </w:rPr>
        <w:t xml:space="preserve">HDOT’s Title VI Specialist had </w:t>
      </w:r>
      <w:r w:rsidR="006A7348">
        <w:rPr>
          <w:bCs/>
          <w:sz w:val="28"/>
          <w:szCs w:val="28"/>
        </w:rPr>
        <w:t xml:space="preserve">recently </w:t>
      </w:r>
      <w:r>
        <w:rPr>
          <w:bCs/>
          <w:sz w:val="28"/>
          <w:szCs w:val="28"/>
        </w:rPr>
        <w:t xml:space="preserve">met with </w:t>
      </w:r>
      <w:r w:rsidR="006A7348">
        <w:rPr>
          <w:bCs/>
          <w:sz w:val="28"/>
          <w:szCs w:val="28"/>
        </w:rPr>
        <w:t>Hawaii, Maui, and Kauai</w:t>
      </w:r>
      <w:r>
        <w:rPr>
          <w:bCs/>
          <w:sz w:val="28"/>
          <w:szCs w:val="28"/>
        </w:rPr>
        <w:t xml:space="preserve"> counties to </w:t>
      </w:r>
      <w:r w:rsidR="006A7348">
        <w:rPr>
          <w:bCs/>
          <w:sz w:val="28"/>
          <w:szCs w:val="28"/>
        </w:rPr>
        <w:t xml:space="preserve">further </w:t>
      </w:r>
      <w:r>
        <w:rPr>
          <w:bCs/>
          <w:sz w:val="28"/>
          <w:szCs w:val="28"/>
        </w:rPr>
        <w:t>develop the LEP plan</w:t>
      </w:r>
      <w:r w:rsidR="006A7348">
        <w:rPr>
          <w:bCs/>
          <w:sz w:val="28"/>
          <w:szCs w:val="28"/>
        </w:rPr>
        <w:t xml:space="preserve">, </w:t>
      </w:r>
      <w:r w:rsidR="004D7B63">
        <w:rPr>
          <w:bCs/>
          <w:sz w:val="28"/>
          <w:szCs w:val="28"/>
        </w:rPr>
        <w:t xml:space="preserve">including </w:t>
      </w:r>
      <w:r>
        <w:rPr>
          <w:bCs/>
          <w:sz w:val="28"/>
          <w:szCs w:val="28"/>
        </w:rPr>
        <w:t>discuss</w:t>
      </w:r>
      <w:r w:rsidR="004D7B63">
        <w:rPr>
          <w:bCs/>
          <w:sz w:val="28"/>
          <w:szCs w:val="28"/>
        </w:rPr>
        <w:t>ions on</w:t>
      </w:r>
      <w:r>
        <w:rPr>
          <w:bCs/>
          <w:sz w:val="28"/>
          <w:szCs w:val="28"/>
        </w:rPr>
        <w:t xml:space="preserve"> how t</w:t>
      </w:r>
      <w:r w:rsidR="004D7B63">
        <w:rPr>
          <w:bCs/>
          <w:sz w:val="28"/>
          <w:szCs w:val="28"/>
        </w:rPr>
        <w:t>o</w:t>
      </w:r>
      <w:r>
        <w:rPr>
          <w:bCs/>
          <w:sz w:val="28"/>
          <w:szCs w:val="28"/>
        </w:rPr>
        <w:t xml:space="preserve"> determine the frequency of contact.  </w:t>
      </w:r>
      <w:r w:rsidR="004D7B63">
        <w:rPr>
          <w:bCs/>
          <w:sz w:val="28"/>
          <w:szCs w:val="28"/>
        </w:rPr>
        <w:t>T</w:t>
      </w:r>
      <w:r>
        <w:rPr>
          <w:bCs/>
          <w:sz w:val="28"/>
          <w:szCs w:val="28"/>
        </w:rPr>
        <w:t xml:space="preserve">he methodology </w:t>
      </w:r>
      <w:r w:rsidR="004D7B63">
        <w:rPr>
          <w:bCs/>
          <w:sz w:val="28"/>
          <w:szCs w:val="28"/>
        </w:rPr>
        <w:t xml:space="preserve">to </w:t>
      </w:r>
      <w:r>
        <w:rPr>
          <w:bCs/>
          <w:sz w:val="28"/>
          <w:szCs w:val="28"/>
        </w:rPr>
        <w:t xml:space="preserve">be employed was </w:t>
      </w:r>
      <w:r w:rsidR="004D7B63">
        <w:rPr>
          <w:bCs/>
          <w:sz w:val="28"/>
          <w:szCs w:val="28"/>
        </w:rPr>
        <w:t xml:space="preserve">to </w:t>
      </w:r>
      <w:r>
        <w:rPr>
          <w:bCs/>
          <w:sz w:val="28"/>
          <w:szCs w:val="28"/>
        </w:rPr>
        <w:t>survey drivers on the frequency of contact with LEP individuals.</w:t>
      </w:r>
      <w:r w:rsidR="004D7B63" w:rsidRPr="004D7B63">
        <w:rPr>
          <w:bCs/>
          <w:sz w:val="28"/>
          <w:szCs w:val="28"/>
        </w:rPr>
        <w:t xml:space="preserve"> </w:t>
      </w:r>
      <w:r w:rsidR="004D7B63">
        <w:rPr>
          <w:bCs/>
          <w:sz w:val="28"/>
          <w:szCs w:val="28"/>
        </w:rPr>
        <w:t>The frequency of contact information was still to be collected.</w:t>
      </w:r>
    </w:p>
    <w:p w:rsidR="002F227D" w:rsidRDefault="002F227D" w:rsidP="00C00537">
      <w:pPr>
        <w:spacing w:line="360" w:lineRule="auto"/>
        <w:rPr>
          <w:bCs/>
          <w:sz w:val="28"/>
          <w:szCs w:val="28"/>
        </w:rPr>
      </w:pPr>
    </w:p>
    <w:p w:rsidR="002F227D" w:rsidRDefault="002F227D" w:rsidP="00C00537">
      <w:pPr>
        <w:spacing w:line="360" w:lineRule="auto"/>
        <w:rPr>
          <w:bCs/>
          <w:sz w:val="28"/>
          <w:szCs w:val="28"/>
        </w:rPr>
      </w:pPr>
      <w:r>
        <w:rPr>
          <w:bCs/>
          <w:sz w:val="28"/>
          <w:szCs w:val="28"/>
        </w:rPr>
        <w:lastRenderedPageBreak/>
        <w:t xml:space="preserve">HDOT noted that access to transportation </w:t>
      </w:r>
      <w:r w:rsidR="003446C2">
        <w:rPr>
          <w:bCs/>
          <w:sz w:val="28"/>
          <w:szCs w:val="28"/>
        </w:rPr>
        <w:t>for</w:t>
      </w:r>
      <w:r>
        <w:rPr>
          <w:bCs/>
          <w:sz w:val="28"/>
          <w:szCs w:val="28"/>
        </w:rPr>
        <w:t xml:space="preserve"> jobs, doctor visits, buying groceries </w:t>
      </w:r>
      <w:r w:rsidR="004D7B63">
        <w:rPr>
          <w:bCs/>
          <w:sz w:val="28"/>
          <w:szCs w:val="28"/>
        </w:rPr>
        <w:t>wa</w:t>
      </w:r>
      <w:r>
        <w:rPr>
          <w:bCs/>
          <w:sz w:val="28"/>
          <w:szCs w:val="28"/>
        </w:rPr>
        <w:t>s important.  However, there was no analy</w:t>
      </w:r>
      <w:r w:rsidR="00B1782E">
        <w:rPr>
          <w:bCs/>
          <w:sz w:val="28"/>
          <w:szCs w:val="28"/>
        </w:rPr>
        <w:t>sis</w:t>
      </w:r>
      <w:r>
        <w:rPr>
          <w:bCs/>
          <w:sz w:val="28"/>
          <w:szCs w:val="28"/>
        </w:rPr>
        <w:t xml:space="preserve"> to support the nature and importance to riders and which particular services were important to them.  </w:t>
      </w:r>
    </w:p>
    <w:p w:rsidR="002F227D" w:rsidRDefault="002F227D" w:rsidP="00C00537">
      <w:pPr>
        <w:spacing w:line="360" w:lineRule="auto"/>
        <w:rPr>
          <w:bCs/>
          <w:sz w:val="28"/>
          <w:szCs w:val="28"/>
        </w:rPr>
      </w:pPr>
    </w:p>
    <w:p w:rsidR="002F227D" w:rsidRDefault="002F227D" w:rsidP="00C00537">
      <w:pPr>
        <w:spacing w:line="360" w:lineRule="auto"/>
        <w:rPr>
          <w:bCs/>
          <w:sz w:val="28"/>
          <w:szCs w:val="28"/>
        </w:rPr>
      </w:pPr>
      <w:r>
        <w:rPr>
          <w:bCs/>
          <w:sz w:val="28"/>
          <w:szCs w:val="28"/>
        </w:rPr>
        <w:t xml:space="preserve">HDOT provided an extensive listing of interpretation services in its </w:t>
      </w:r>
      <w:r w:rsidR="004D7B63">
        <w:rPr>
          <w:bCs/>
          <w:sz w:val="28"/>
          <w:szCs w:val="28"/>
        </w:rPr>
        <w:t xml:space="preserve">document </w:t>
      </w:r>
      <w:proofErr w:type="gramStart"/>
      <w:r>
        <w:rPr>
          <w:bCs/>
          <w:sz w:val="28"/>
          <w:szCs w:val="28"/>
        </w:rPr>
        <w:t>submittal</w:t>
      </w:r>
      <w:r w:rsidR="004D7B63">
        <w:rPr>
          <w:bCs/>
          <w:sz w:val="28"/>
          <w:szCs w:val="28"/>
        </w:rPr>
        <w:t>,</w:t>
      </w:r>
      <w:proofErr w:type="gramEnd"/>
      <w:r w:rsidR="004D7B63">
        <w:rPr>
          <w:bCs/>
          <w:sz w:val="28"/>
          <w:szCs w:val="28"/>
        </w:rPr>
        <w:t xml:space="preserve"> </w:t>
      </w:r>
      <w:r>
        <w:rPr>
          <w:bCs/>
          <w:sz w:val="28"/>
          <w:szCs w:val="28"/>
        </w:rPr>
        <w:t>however, th</w:t>
      </w:r>
      <w:r w:rsidR="004D7B63">
        <w:rPr>
          <w:bCs/>
          <w:sz w:val="28"/>
          <w:szCs w:val="28"/>
        </w:rPr>
        <w:t>e information was</w:t>
      </w:r>
      <w:r>
        <w:rPr>
          <w:bCs/>
          <w:sz w:val="28"/>
          <w:szCs w:val="28"/>
        </w:rPr>
        <w:t xml:space="preserve"> </w:t>
      </w:r>
      <w:r w:rsidR="004D7B63">
        <w:rPr>
          <w:bCs/>
          <w:sz w:val="28"/>
          <w:szCs w:val="28"/>
        </w:rPr>
        <w:t xml:space="preserve">from various </w:t>
      </w:r>
      <w:r>
        <w:rPr>
          <w:bCs/>
          <w:sz w:val="28"/>
          <w:szCs w:val="28"/>
        </w:rPr>
        <w:t>state resources and</w:t>
      </w:r>
      <w:r w:rsidR="004D7B63">
        <w:rPr>
          <w:bCs/>
          <w:sz w:val="28"/>
          <w:szCs w:val="28"/>
        </w:rPr>
        <w:t xml:space="preserve">, </w:t>
      </w:r>
      <w:r>
        <w:rPr>
          <w:bCs/>
          <w:sz w:val="28"/>
          <w:szCs w:val="28"/>
        </w:rPr>
        <w:t xml:space="preserve">though </w:t>
      </w:r>
      <w:r w:rsidR="004D7B63">
        <w:rPr>
          <w:bCs/>
          <w:sz w:val="28"/>
          <w:szCs w:val="28"/>
        </w:rPr>
        <w:t>it was</w:t>
      </w:r>
      <w:r>
        <w:rPr>
          <w:bCs/>
          <w:sz w:val="28"/>
          <w:szCs w:val="28"/>
        </w:rPr>
        <w:t xml:space="preserve"> available to HDOT, </w:t>
      </w:r>
      <w:r w:rsidR="004D7B63">
        <w:rPr>
          <w:bCs/>
          <w:sz w:val="28"/>
          <w:szCs w:val="28"/>
        </w:rPr>
        <w:t xml:space="preserve">its </w:t>
      </w:r>
      <w:r>
        <w:rPr>
          <w:bCs/>
          <w:sz w:val="28"/>
          <w:szCs w:val="28"/>
        </w:rPr>
        <w:t>use by either HDOT or its</w:t>
      </w:r>
      <w:r w:rsidR="004D7B63">
        <w:rPr>
          <w:bCs/>
          <w:sz w:val="28"/>
          <w:szCs w:val="28"/>
        </w:rPr>
        <w:t xml:space="preserve"> FTA</w:t>
      </w:r>
      <w:r>
        <w:rPr>
          <w:bCs/>
          <w:sz w:val="28"/>
          <w:szCs w:val="28"/>
        </w:rPr>
        <w:t xml:space="preserve"> subrecipients was not indicated.  </w:t>
      </w:r>
    </w:p>
    <w:p w:rsidR="002F227D" w:rsidRDefault="002F227D" w:rsidP="00C00537">
      <w:pPr>
        <w:spacing w:line="360" w:lineRule="auto"/>
        <w:rPr>
          <w:bCs/>
          <w:sz w:val="28"/>
          <w:szCs w:val="28"/>
        </w:rPr>
      </w:pPr>
    </w:p>
    <w:p w:rsidR="002F227D" w:rsidRDefault="00EB135C" w:rsidP="00C00537">
      <w:pPr>
        <w:spacing w:line="360" w:lineRule="auto"/>
        <w:rPr>
          <w:bCs/>
          <w:sz w:val="28"/>
          <w:szCs w:val="28"/>
        </w:rPr>
      </w:pPr>
      <w:r>
        <w:rPr>
          <w:bCs/>
          <w:sz w:val="28"/>
          <w:szCs w:val="28"/>
        </w:rPr>
        <w:t>HDOT provided a Language Access Plan</w:t>
      </w:r>
      <w:r w:rsidR="004D7B63">
        <w:rPr>
          <w:bCs/>
          <w:sz w:val="28"/>
          <w:szCs w:val="28"/>
        </w:rPr>
        <w:t xml:space="preserve"> (LAP)</w:t>
      </w:r>
      <w:r>
        <w:rPr>
          <w:bCs/>
          <w:sz w:val="28"/>
          <w:szCs w:val="28"/>
        </w:rPr>
        <w:t>, however, without an adequate four factor analysis, the LAP had shortcomings.</w:t>
      </w:r>
    </w:p>
    <w:p w:rsidR="002F227D" w:rsidRPr="006767A4" w:rsidRDefault="002F227D" w:rsidP="00C00537">
      <w:pPr>
        <w:spacing w:line="360" w:lineRule="auto"/>
        <w:rPr>
          <w:bCs/>
          <w:sz w:val="28"/>
          <w:szCs w:val="28"/>
        </w:rPr>
      </w:pPr>
    </w:p>
    <w:p w:rsidR="00C00537" w:rsidRDefault="00C00537" w:rsidP="00C00537">
      <w:pPr>
        <w:spacing w:line="360" w:lineRule="auto"/>
        <w:rPr>
          <w:sz w:val="28"/>
          <w:szCs w:val="28"/>
        </w:rPr>
      </w:pPr>
      <w:r w:rsidRPr="00CC3819">
        <w:rPr>
          <w:b/>
          <w:bCs/>
          <w:sz w:val="28"/>
          <w:szCs w:val="28"/>
        </w:rPr>
        <w:t xml:space="preserve">Corrective Actions and Schedules: </w:t>
      </w:r>
      <w:r w:rsidRPr="00CC3819">
        <w:rPr>
          <w:sz w:val="28"/>
          <w:szCs w:val="28"/>
        </w:rPr>
        <w:t xml:space="preserve">Within 90 days, </w:t>
      </w:r>
      <w:r w:rsidR="00B60A72" w:rsidRPr="00CC3819">
        <w:rPr>
          <w:sz w:val="28"/>
          <w:szCs w:val="28"/>
        </w:rPr>
        <w:t>HDOT</w:t>
      </w:r>
      <w:r w:rsidRPr="00CC3819">
        <w:rPr>
          <w:sz w:val="28"/>
          <w:szCs w:val="28"/>
        </w:rPr>
        <w:t xml:space="preserve"> must submit to the </w:t>
      </w:r>
      <w:r w:rsidR="00617FED" w:rsidRPr="00CC3819">
        <w:rPr>
          <w:sz w:val="28"/>
          <w:szCs w:val="28"/>
        </w:rPr>
        <w:t>FTA Equal Opportunity Specialist in FTA’s Hea</w:t>
      </w:r>
      <w:r w:rsidR="00135803" w:rsidRPr="00CC3819">
        <w:rPr>
          <w:sz w:val="28"/>
          <w:szCs w:val="28"/>
        </w:rPr>
        <w:t>dquarters Office of Civil Rights</w:t>
      </w:r>
      <w:r w:rsidR="00617FED" w:rsidRPr="00CC3819">
        <w:rPr>
          <w:sz w:val="28"/>
          <w:szCs w:val="28"/>
        </w:rPr>
        <w:t xml:space="preserve"> a Language Access Plan that meets the requirements of </w:t>
      </w:r>
      <w:r w:rsidR="00617FED" w:rsidRPr="00CC3819">
        <w:rPr>
          <w:i/>
          <w:sz w:val="28"/>
          <w:szCs w:val="28"/>
        </w:rPr>
        <w:t>DOT Policy Guidance Concerning Recipients’ Responsibilities to Limited English Proficient Persons, (December 14, 2005).</w:t>
      </w:r>
    </w:p>
    <w:p w:rsidR="00C00537" w:rsidRDefault="00C00537">
      <w:pPr>
        <w:spacing w:line="360" w:lineRule="auto"/>
        <w:rPr>
          <w:sz w:val="28"/>
          <w:szCs w:val="28"/>
        </w:rPr>
      </w:pPr>
    </w:p>
    <w:p w:rsidR="00F80A8D" w:rsidRDefault="00F80A8D">
      <w:pPr>
        <w:pStyle w:val="BHLevel2"/>
        <w:spacing w:line="360" w:lineRule="auto"/>
        <w:rPr>
          <w:sz w:val="28"/>
          <w:szCs w:val="28"/>
        </w:rPr>
      </w:pPr>
      <w:bookmarkStart w:id="15" w:name="_Toc272221039"/>
      <w:r>
        <w:rPr>
          <w:sz w:val="28"/>
          <w:szCs w:val="28"/>
        </w:rPr>
        <w:t>Title VI Complaint Procedures</w:t>
      </w:r>
      <w:bookmarkEnd w:id="15"/>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B60A72">
        <w:rPr>
          <w:sz w:val="28"/>
          <w:szCs w:val="28"/>
        </w:rPr>
        <w:t>HDOT</w:t>
      </w:r>
      <w:r w:rsidR="008C3DD1">
        <w:rPr>
          <w:sz w:val="28"/>
          <w:szCs w:val="28"/>
        </w:rPr>
        <w:t>,</w:t>
      </w:r>
      <w:r>
        <w:rPr>
          <w:sz w:val="28"/>
          <w:szCs w:val="28"/>
        </w:rPr>
        <w:t xml:space="preserve"> </w:t>
      </w:r>
      <w:r w:rsidR="008C3DD1" w:rsidRPr="00CC3819">
        <w:rPr>
          <w:sz w:val="28"/>
          <w:szCs w:val="28"/>
        </w:rPr>
        <w:t>no</w:t>
      </w:r>
      <w:r w:rsidR="008C3DD1">
        <w:rPr>
          <w:sz w:val="28"/>
          <w:szCs w:val="28"/>
        </w:rPr>
        <w:t xml:space="preserve"> </w:t>
      </w:r>
      <w:r>
        <w:rPr>
          <w:sz w:val="28"/>
          <w:szCs w:val="28"/>
        </w:rPr>
        <w:t xml:space="preserve">deficiencies were found regarding </w:t>
      </w:r>
      <w:r w:rsidR="00B60A72">
        <w:rPr>
          <w:sz w:val="28"/>
          <w:szCs w:val="28"/>
        </w:rPr>
        <w:t>HDOT</w:t>
      </w:r>
      <w:r>
        <w:rPr>
          <w:sz w:val="28"/>
          <w:szCs w:val="28"/>
        </w:rPr>
        <w:t>’s compliance with FTA requirements for Title VI Complaint Procedures</w:t>
      </w:r>
      <w:r w:rsidRPr="008C3DD1">
        <w:rPr>
          <w:sz w:val="28"/>
          <w:szCs w:val="28"/>
        </w:rPr>
        <w:t xml:space="preserve">.  </w:t>
      </w:r>
      <w:r w:rsidRPr="00B60A72">
        <w:rPr>
          <w:sz w:val="28"/>
          <w:szCs w:val="28"/>
        </w:rPr>
        <w:t xml:space="preserve">At the time of the site visit, </w:t>
      </w:r>
      <w:r w:rsidR="00B60A72">
        <w:rPr>
          <w:sz w:val="28"/>
          <w:szCs w:val="28"/>
        </w:rPr>
        <w:t>HDOT</w:t>
      </w:r>
      <w:r w:rsidRPr="00B60A72">
        <w:rPr>
          <w:sz w:val="28"/>
          <w:szCs w:val="28"/>
        </w:rPr>
        <w:t xml:space="preserve"> had a procedure for </w:t>
      </w:r>
      <w:r w:rsidRPr="00B60A72">
        <w:rPr>
          <w:sz w:val="28"/>
          <w:szCs w:val="28"/>
        </w:rPr>
        <w:lastRenderedPageBreak/>
        <w:t>investigating and tracking Title VI complaints and had a Title VI complaint procedure that was available to members of the public</w:t>
      </w:r>
      <w:r w:rsidR="00EB135C">
        <w:rPr>
          <w:sz w:val="28"/>
          <w:szCs w:val="28"/>
        </w:rPr>
        <w:t xml:space="preserve"> and </w:t>
      </w:r>
      <w:r w:rsidR="002A3DCC">
        <w:rPr>
          <w:sz w:val="28"/>
          <w:szCs w:val="28"/>
        </w:rPr>
        <w:t xml:space="preserve">that </w:t>
      </w:r>
      <w:r w:rsidR="00EB135C">
        <w:rPr>
          <w:sz w:val="28"/>
          <w:szCs w:val="28"/>
        </w:rPr>
        <w:t>was distributed to its subrecipients</w:t>
      </w:r>
      <w:r w:rsidRPr="00B60A72">
        <w:rPr>
          <w:sz w:val="28"/>
          <w:szCs w:val="28"/>
        </w:rPr>
        <w:t xml:space="preserve">.  </w:t>
      </w:r>
    </w:p>
    <w:p w:rsidR="00F80A8D" w:rsidRDefault="00F80A8D">
      <w:pPr>
        <w:spacing w:line="360" w:lineRule="auto"/>
        <w:rPr>
          <w:sz w:val="28"/>
          <w:szCs w:val="28"/>
          <w:u w:val="single"/>
        </w:rPr>
      </w:pPr>
    </w:p>
    <w:p w:rsidR="00F80A8D" w:rsidRDefault="00F80A8D">
      <w:pPr>
        <w:spacing w:line="360" w:lineRule="auto"/>
        <w:rPr>
          <w:sz w:val="28"/>
          <w:szCs w:val="28"/>
        </w:rPr>
      </w:pPr>
      <w:r>
        <w:rPr>
          <w:sz w:val="28"/>
          <w:szCs w:val="28"/>
        </w:rPr>
        <w:t xml:space="preserve">The Review team confirmed that </w:t>
      </w:r>
      <w:r w:rsidR="00B60A72">
        <w:rPr>
          <w:sz w:val="28"/>
          <w:szCs w:val="28"/>
        </w:rPr>
        <w:t>HDOT</w:t>
      </w:r>
      <w:r>
        <w:rPr>
          <w:sz w:val="28"/>
          <w:szCs w:val="28"/>
        </w:rPr>
        <w:t>’s</w:t>
      </w:r>
      <w:r w:rsidR="0019298E">
        <w:rPr>
          <w:sz w:val="28"/>
          <w:szCs w:val="28"/>
        </w:rPr>
        <w:t xml:space="preserve"> website did contain</w:t>
      </w:r>
      <w:r>
        <w:rPr>
          <w:sz w:val="28"/>
          <w:szCs w:val="28"/>
        </w:rPr>
        <w:t xml:space="preserve"> link</w:t>
      </w:r>
      <w:r w:rsidR="0019298E">
        <w:rPr>
          <w:sz w:val="28"/>
          <w:szCs w:val="28"/>
        </w:rPr>
        <w:t>s</w:t>
      </w:r>
      <w:r>
        <w:rPr>
          <w:sz w:val="28"/>
          <w:szCs w:val="28"/>
        </w:rPr>
        <w:t xml:space="preserve"> </w:t>
      </w:r>
      <w:r w:rsidR="008C3DD1">
        <w:rPr>
          <w:sz w:val="28"/>
          <w:szCs w:val="28"/>
        </w:rPr>
        <w:t xml:space="preserve">to the Title VI </w:t>
      </w:r>
      <w:r w:rsidR="0004231E">
        <w:rPr>
          <w:sz w:val="28"/>
          <w:szCs w:val="28"/>
        </w:rPr>
        <w:t>Program</w:t>
      </w:r>
      <w:r>
        <w:rPr>
          <w:sz w:val="28"/>
          <w:szCs w:val="28"/>
        </w:rPr>
        <w:t xml:space="preserve"> (visit </w:t>
      </w:r>
      <w:hyperlink r:id="rId12" w:history="1">
        <w:r w:rsidR="0004231E" w:rsidRPr="00A53109">
          <w:rPr>
            <w:rStyle w:val="Hyperlink"/>
            <w:sz w:val="28"/>
            <w:szCs w:val="28"/>
          </w:rPr>
          <w:t>http://hawaii.gov/dot/ad</w:t>
        </w:r>
        <w:r w:rsidR="0004231E" w:rsidRPr="00A53109">
          <w:rPr>
            <w:rStyle w:val="Hyperlink"/>
            <w:sz w:val="28"/>
            <w:szCs w:val="28"/>
          </w:rPr>
          <w:t>m</w:t>
        </w:r>
        <w:r w:rsidR="0004231E" w:rsidRPr="00A53109">
          <w:rPr>
            <w:rStyle w:val="Hyperlink"/>
            <w:sz w:val="28"/>
            <w:szCs w:val="28"/>
          </w:rPr>
          <w:t>inistration/ocr/title6</w:t>
        </w:r>
      </w:hyperlink>
      <w:r w:rsidR="0004231E">
        <w:rPr>
          <w:sz w:val="28"/>
          <w:szCs w:val="28"/>
        </w:rPr>
        <w:t>)</w:t>
      </w:r>
      <w:r>
        <w:rPr>
          <w:sz w:val="28"/>
          <w:szCs w:val="28"/>
        </w:rPr>
        <w:t xml:space="preserve">. </w:t>
      </w:r>
      <w:r w:rsidR="00C00537">
        <w:rPr>
          <w:sz w:val="28"/>
          <w:szCs w:val="28"/>
        </w:rPr>
        <w:t xml:space="preserve"> The </w:t>
      </w:r>
      <w:r w:rsidR="002B6C30">
        <w:rPr>
          <w:sz w:val="28"/>
          <w:szCs w:val="28"/>
        </w:rPr>
        <w:t xml:space="preserve">Title VI Complaint Form </w:t>
      </w:r>
      <w:r w:rsidR="00135803">
        <w:rPr>
          <w:sz w:val="28"/>
          <w:szCs w:val="28"/>
        </w:rPr>
        <w:t>was</w:t>
      </w:r>
      <w:r w:rsidR="002B6C30">
        <w:rPr>
          <w:sz w:val="28"/>
          <w:szCs w:val="28"/>
        </w:rPr>
        <w:t xml:space="preserve"> available on the website.</w:t>
      </w:r>
      <w:r w:rsidR="00E434D0">
        <w:rPr>
          <w:sz w:val="28"/>
          <w:szCs w:val="28"/>
        </w:rPr>
        <w:t xml:space="preserve">  The Title VI Complaint Procedure, taken from the website, is </w:t>
      </w:r>
      <w:r w:rsidR="00CA4F4B">
        <w:rPr>
          <w:sz w:val="28"/>
          <w:szCs w:val="28"/>
        </w:rPr>
        <w:t>shown</w:t>
      </w:r>
      <w:r w:rsidR="00E434D0">
        <w:rPr>
          <w:sz w:val="28"/>
          <w:szCs w:val="28"/>
        </w:rPr>
        <w:t xml:space="preserve"> below:</w:t>
      </w:r>
    </w:p>
    <w:p w:rsidR="003446C2" w:rsidRDefault="003446C2">
      <w:pPr>
        <w:spacing w:line="360" w:lineRule="auto"/>
        <w:rPr>
          <w:sz w:val="28"/>
          <w:szCs w:val="28"/>
        </w:rPr>
      </w:pPr>
    </w:p>
    <w:p w:rsidR="0004231E" w:rsidRPr="00877209" w:rsidRDefault="0004231E" w:rsidP="00465FFF">
      <w:pPr>
        <w:autoSpaceDE w:val="0"/>
        <w:autoSpaceDN w:val="0"/>
        <w:adjustRightInd w:val="0"/>
        <w:jc w:val="center"/>
        <w:rPr>
          <w:b/>
          <w:bCs/>
          <w:i/>
          <w:sz w:val="28"/>
          <w:szCs w:val="28"/>
        </w:rPr>
      </w:pPr>
      <w:r w:rsidRPr="00877209">
        <w:rPr>
          <w:b/>
          <w:bCs/>
          <w:i/>
          <w:sz w:val="28"/>
          <w:szCs w:val="28"/>
        </w:rPr>
        <w:t>Title VI Complaint Procedures</w:t>
      </w:r>
    </w:p>
    <w:p w:rsidR="0004231E" w:rsidRPr="00877209" w:rsidRDefault="0004231E" w:rsidP="0004231E">
      <w:pPr>
        <w:autoSpaceDE w:val="0"/>
        <w:autoSpaceDN w:val="0"/>
        <w:adjustRightInd w:val="0"/>
        <w:rPr>
          <w:i/>
          <w:sz w:val="28"/>
          <w:szCs w:val="28"/>
        </w:rPr>
      </w:pPr>
    </w:p>
    <w:p w:rsidR="0004231E" w:rsidRPr="00877209" w:rsidRDefault="0004231E" w:rsidP="0004231E">
      <w:pPr>
        <w:autoSpaceDE w:val="0"/>
        <w:autoSpaceDN w:val="0"/>
        <w:adjustRightInd w:val="0"/>
        <w:rPr>
          <w:i/>
          <w:sz w:val="28"/>
          <w:szCs w:val="28"/>
        </w:rPr>
      </w:pPr>
      <w:r w:rsidRPr="00877209">
        <w:rPr>
          <w:i/>
          <w:sz w:val="28"/>
          <w:szCs w:val="28"/>
        </w:rPr>
        <w:t>These procedures cover any program or activity administered by the Hawaii Department of Transportation (HDOT).</w:t>
      </w:r>
    </w:p>
    <w:p w:rsidR="0004231E" w:rsidRPr="00877209" w:rsidRDefault="0004231E" w:rsidP="0004231E">
      <w:pPr>
        <w:autoSpaceDE w:val="0"/>
        <w:autoSpaceDN w:val="0"/>
        <w:adjustRightInd w:val="0"/>
        <w:rPr>
          <w:i/>
          <w:sz w:val="28"/>
          <w:szCs w:val="28"/>
        </w:rPr>
      </w:pPr>
    </w:p>
    <w:p w:rsidR="0004231E" w:rsidRPr="00877209" w:rsidRDefault="0004231E" w:rsidP="0004231E">
      <w:pPr>
        <w:autoSpaceDE w:val="0"/>
        <w:autoSpaceDN w:val="0"/>
        <w:adjustRightInd w:val="0"/>
        <w:rPr>
          <w:i/>
          <w:sz w:val="28"/>
          <w:szCs w:val="28"/>
        </w:rPr>
      </w:pPr>
      <w:r w:rsidRPr="00877209">
        <w:rPr>
          <w:i/>
          <w:sz w:val="28"/>
          <w:szCs w:val="28"/>
        </w:rPr>
        <w:t>Any person who believes that he or she, individually, as a member of any specific class, or in connection with any disadvantaged business enterprise (DBE), has been subjected to discrimination on the basis of race, color, national origin, or sex, protected categories under Title VI of the Civil Rights Act of 1964, and other related statutes, may file a Title VI complaint with the</w:t>
      </w:r>
      <w:r w:rsidR="00465FFF" w:rsidRPr="00877209">
        <w:rPr>
          <w:i/>
          <w:sz w:val="28"/>
          <w:szCs w:val="28"/>
        </w:rPr>
        <w:t xml:space="preserve"> HDOT’s Office of Civil Rights. </w:t>
      </w:r>
      <w:r w:rsidRPr="00877209">
        <w:rPr>
          <w:i/>
          <w:sz w:val="28"/>
          <w:szCs w:val="28"/>
        </w:rPr>
        <w:t xml:space="preserve"> A complaint may also be filed by a representat</w:t>
      </w:r>
      <w:r w:rsidR="00465FFF" w:rsidRPr="00877209">
        <w:rPr>
          <w:i/>
          <w:sz w:val="28"/>
          <w:szCs w:val="28"/>
        </w:rPr>
        <w:t xml:space="preserve">ive on behalf of such a person. </w:t>
      </w:r>
      <w:r w:rsidRPr="00877209">
        <w:rPr>
          <w:i/>
          <w:sz w:val="28"/>
          <w:szCs w:val="28"/>
        </w:rPr>
        <w:t xml:space="preserve"> They should be directed to:</w:t>
      </w:r>
    </w:p>
    <w:p w:rsidR="0004231E" w:rsidRPr="00877209" w:rsidRDefault="0004231E" w:rsidP="0004231E">
      <w:pPr>
        <w:autoSpaceDE w:val="0"/>
        <w:autoSpaceDN w:val="0"/>
        <w:adjustRightInd w:val="0"/>
        <w:rPr>
          <w:i/>
          <w:sz w:val="28"/>
          <w:szCs w:val="28"/>
        </w:rPr>
      </w:pPr>
    </w:p>
    <w:p w:rsidR="0004231E" w:rsidRPr="00877209" w:rsidRDefault="0004231E" w:rsidP="0004231E">
      <w:pPr>
        <w:autoSpaceDE w:val="0"/>
        <w:autoSpaceDN w:val="0"/>
        <w:adjustRightInd w:val="0"/>
        <w:rPr>
          <w:i/>
          <w:sz w:val="28"/>
          <w:szCs w:val="28"/>
        </w:rPr>
      </w:pPr>
      <w:r w:rsidRPr="00877209">
        <w:rPr>
          <w:i/>
          <w:sz w:val="28"/>
          <w:szCs w:val="28"/>
        </w:rPr>
        <w:t>Office of Civil Rights</w:t>
      </w:r>
    </w:p>
    <w:p w:rsidR="0004231E" w:rsidRPr="00877209" w:rsidRDefault="0004231E" w:rsidP="0004231E">
      <w:pPr>
        <w:autoSpaceDE w:val="0"/>
        <w:autoSpaceDN w:val="0"/>
        <w:adjustRightInd w:val="0"/>
        <w:rPr>
          <w:i/>
          <w:sz w:val="28"/>
          <w:szCs w:val="28"/>
        </w:rPr>
      </w:pPr>
      <w:r w:rsidRPr="00877209">
        <w:rPr>
          <w:i/>
          <w:sz w:val="28"/>
          <w:szCs w:val="28"/>
        </w:rPr>
        <w:t>Hawaii State Department of Transportation</w:t>
      </w:r>
    </w:p>
    <w:p w:rsidR="0004231E" w:rsidRPr="00877209" w:rsidRDefault="0004231E" w:rsidP="0004231E">
      <w:pPr>
        <w:autoSpaceDE w:val="0"/>
        <w:autoSpaceDN w:val="0"/>
        <w:adjustRightInd w:val="0"/>
        <w:rPr>
          <w:i/>
          <w:sz w:val="28"/>
          <w:szCs w:val="28"/>
        </w:rPr>
      </w:pPr>
      <w:r w:rsidRPr="00877209">
        <w:rPr>
          <w:i/>
          <w:sz w:val="28"/>
          <w:szCs w:val="28"/>
        </w:rPr>
        <w:t>869 Punchbowl Street, Room 112</w:t>
      </w:r>
    </w:p>
    <w:p w:rsidR="0004231E" w:rsidRPr="00877209" w:rsidRDefault="0004231E" w:rsidP="0004231E">
      <w:pPr>
        <w:autoSpaceDE w:val="0"/>
        <w:autoSpaceDN w:val="0"/>
        <w:adjustRightInd w:val="0"/>
        <w:rPr>
          <w:i/>
          <w:sz w:val="28"/>
          <w:szCs w:val="28"/>
        </w:rPr>
      </w:pPr>
      <w:r w:rsidRPr="00877209">
        <w:rPr>
          <w:i/>
          <w:sz w:val="28"/>
          <w:szCs w:val="28"/>
        </w:rPr>
        <w:t>Honolulu, Hawaii 96813</w:t>
      </w:r>
    </w:p>
    <w:p w:rsidR="0004231E" w:rsidRPr="0004231E" w:rsidRDefault="0004231E" w:rsidP="0004231E">
      <w:pPr>
        <w:autoSpaceDE w:val="0"/>
        <w:autoSpaceDN w:val="0"/>
        <w:adjustRightInd w:val="0"/>
        <w:rPr>
          <w:i/>
          <w:sz w:val="24"/>
          <w:szCs w:val="28"/>
        </w:rPr>
      </w:pPr>
    </w:p>
    <w:p w:rsidR="0004231E" w:rsidRPr="00877209" w:rsidRDefault="0004231E" w:rsidP="0004231E">
      <w:pPr>
        <w:autoSpaceDE w:val="0"/>
        <w:autoSpaceDN w:val="0"/>
        <w:adjustRightInd w:val="0"/>
        <w:rPr>
          <w:i/>
          <w:sz w:val="28"/>
          <w:szCs w:val="28"/>
        </w:rPr>
      </w:pPr>
      <w:r w:rsidRPr="00877209">
        <w:rPr>
          <w:i/>
          <w:sz w:val="28"/>
          <w:szCs w:val="28"/>
        </w:rPr>
        <w:t>The law prohibits intimidation or retaliation of a person who files a complaint.</w:t>
      </w:r>
    </w:p>
    <w:p w:rsidR="0004231E" w:rsidRPr="00877209" w:rsidRDefault="0004231E" w:rsidP="0004231E">
      <w:pPr>
        <w:autoSpaceDE w:val="0"/>
        <w:autoSpaceDN w:val="0"/>
        <w:adjustRightInd w:val="0"/>
        <w:rPr>
          <w:i/>
          <w:sz w:val="28"/>
          <w:szCs w:val="28"/>
        </w:rPr>
      </w:pPr>
    </w:p>
    <w:p w:rsidR="0004231E" w:rsidRPr="00877209" w:rsidRDefault="0004231E" w:rsidP="0004231E">
      <w:pPr>
        <w:autoSpaceDE w:val="0"/>
        <w:autoSpaceDN w:val="0"/>
        <w:adjustRightInd w:val="0"/>
        <w:rPr>
          <w:i/>
          <w:sz w:val="28"/>
          <w:szCs w:val="28"/>
        </w:rPr>
      </w:pPr>
      <w:r w:rsidRPr="00877209">
        <w:rPr>
          <w:i/>
          <w:sz w:val="28"/>
          <w:szCs w:val="28"/>
        </w:rPr>
        <w:t>In order to have the compla</w:t>
      </w:r>
      <w:r w:rsidR="003446C2">
        <w:rPr>
          <w:i/>
          <w:sz w:val="28"/>
          <w:szCs w:val="28"/>
        </w:rPr>
        <w:t>i</w:t>
      </w:r>
      <w:r w:rsidRPr="00877209">
        <w:rPr>
          <w:i/>
          <w:sz w:val="28"/>
          <w:szCs w:val="28"/>
        </w:rPr>
        <w:t>nt considered under this procedure, the complainant must file the complaint no later than 180 days after:</w:t>
      </w:r>
    </w:p>
    <w:p w:rsidR="0004231E" w:rsidRPr="00877209" w:rsidRDefault="0004231E" w:rsidP="0004231E">
      <w:pPr>
        <w:autoSpaceDE w:val="0"/>
        <w:autoSpaceDN w:val="0"/>
        <w:adjustRightInd w:val="0"/>
        <w:rPr>
          <w:i/>
          <w:sz w:val="28"/>
          <w:szCs w:val="28"/>
        </w:rPr>
      </w:pPr>
    </w:p>
    <w:p w:rsidR="0004231E" w:rsidRPr="00877209" w:rsidRDefault="0004231E" w:rsidP="0064099D">
      <w:pPr>
        <w:numPr>
          <w:ilvl w:val="0"/>
          <w:numId w:val="36"/>
        </w:numPr>
        <w:autoSpaceDE w:val="0"/>
        <w:autoSpaceDN w:val="0"/>
        <w:adjustRightInd w:val="0"/>
        <w:rPr>
          <w:i/>
          <w:sz w:val="28"/>
          <w:szCs w:val="28"/>
        </w:rPr>
      </w:pPr>
      <w:r w:rsidRPr="00877209">
        <w:rPr>
          <w:i/>
          <w:sz w:val="28"/>
          <w:szCs w:val="28"/>
        </w:rPr>
        <w:t xml:space="preserve">The date of the alleged act of discrimination; or </w:t>
      </w:r>
    </w:p>
    <w:p w:rsidR="0004231E" w:rsidRPr="00877209" w:rsidRDefault="0004231E" w:rsidP="0064099D">
      <w:pPr>
        <w:numPr>
          <w:ilvl w:val="0"/>
          <w:numId w:val="36"/>
        </w:numPr>
        <w:autoSpaceDE w:val="0"/>
        <w:autoSpaceDN w:val="0"/>
        <w:adjustRightInd w:val="0"/>
        <w:rPr>
          <w:i/>
          <w:sz w:val="28"/>
          <w:szCs w:val="28"/>
        </w:rPr>
      </w:pPr>
      <w:r w:rsidRPr="00877209">
        <w:rPr>
          <w:i/>
          <w:sz w:val="28"/>
          <w:szCs w:val="28"/>
        </w:rPr>
        <w:t>Where there has been a continuing course of conduct, the date on which that conduct was discontinued.</w:t>
      </w:r>
    </w:p>
    <w:p w:rsidR="0004231E" w:rsidRPr="00877209" w:rsidRDefault="0004231E" w:rsidP="0004231E">
      <w:pPr>
        <w:autoSpaceDE w:val="0"/>
        <w:autoSpaceDN w:val="0"/>
        <w:adjustRightInd w:val="0"/>
        <w:rPr>
          <w:i/>
          <w:sz w:val="28"/>
          <w:szCs w:val="28"/>
        </w:rPr>
      </w:pPr>
    </w:p>
    <w:p w:rsidR="0004231E" w:rsidRPr="00877209" w:rsidRDefault="0004231E" w:rsidP="0004231E">
      <w:pPr>
        <w:autoSpaceDE w:val="0"/>
        <w:autoSpaceDN w:val="0"/>
        <w:adjustRightInd w:val="0"/>
        <w:rPr>
          <w:i/>
          <w:sz w:val="28"/>
          <w:szCs w:val="28"/>
        </w:rPr>
      </w:pPr>
      <w:r w:rsidRPr="00877209">
        <w:rPr>
          <w:i/>
          <w:sz w:val="28"/>
          <w:szCs w:val="28"/>
        </w:rPr>
        <w:t>These procedures do not deny or limit the right of a complainant to file a formal complaint with the U.S. Department of Transpor</w:t>
      </w:r>
      <w:r w:rsidR="00465FFF" w:rsidRPr="00877209">
        <w:rPr>
          <w:i/>
          <w:sz w:val="28"/>
          <w:szCs w:val="28"/>
        </w:rPr>
        <w:t xml:space="preserve">tation (U.S. DOT). </w:t>
      </w:r>
      <w:r w:rsidRPr="00877209">
        <w:rPr>
          <w:i/>
          <w:sz w:val="28"/>
          <w:szCs w:val="28"/>
        </w:rPr>
        <w:t xml:space="preserve"> Every effort will be made to resolve complaints at the lowest possible level as quickly as possible.</w:t>
      </w:r>
    </w:p>
    <w:p w:rsidR="0004231E" w:rsidRPr="00877209" w:rsidRDefault="0004231E" w:rsidP="0004231E">
      <w:pPr>
        <w:autoSpaceDE w:val="0"/>
        <w:autoSpaceDN w:val="0"/>
        <w:adjustRightInd w:val="0"/>
        <w:rPr>
          <w:i/>
          <w:sz w:val="28"/>
          <w:szCs w:val="28"/>
        </w:rPr>
      </w:pPr>
    </w:p>
    <w:p w:rsidR="0004231E" w:rsidRPr="00877209" w:rsidRDefault="0004231E" w:rsidP="00465FFF">
      <w:pPr>
        <w:autoSpaceDE w:val="0"/>
        <w:autoSpaceDN w:val="0"/>
        <w:adjustRightInd w:val="0"/>
        <w:jc w:val="center"/>
        <w:rPr>
          <w:i/>
          <w:sz w:val="28"/>
          <w:szCs w:val="28"/>
        </w:rPr>
      </w:pPr>
      <w:r w:rsidRPr="00877209">
        <w:rPr>
          <w:b/>
          <w:bCs/>
          <w:i/>
          <w:sz w:val="28"/>
          <w:szCs w:val="28"/>
        </w:rPr>
        <w:t>Procedure</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Complaints submitted to the OCR must be in writing, signed, and dated by the complainant or their authorized representative</w:t>
      </w:r>
      <w:r w:rsidR="00465FFF" w:rsidRPr="00877209">
        <w:rPr>
          <w:i/>
          <w:sz w:val="28"/>
          <w:szCs w:val="28"/>
        </w:rPr>
        <w:t xml:space="preserve">. </w:t>
      </w:r>
      <w:r w:rsidRPr="00877209">
        <w:rPr>
          <w:i/>
          <w:sz w:val="28"/>
          <w:szCs w:val="28"/>
        </w:rPr>
        <w:t xml:space="preserve"> The complaint must contain the complainant’s name and address (or specify another means of contacting them) and must describe the allegations in sufficient detail to allow for a determination whether the appropriate agency has jurisdiction over the complaint, the complaint was filed in a timely manner, and that the complaint has apparent merit.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If the complaint provides incomplete information, the complainant will be requested to complete the HDOT’s discrimination complaint form. Failure to complete the form may result in OCR dropping the complaint for failure to prosecute.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Upon receipt of the signed complaint form, the Civil Rights Manager or their designee will log-in the complaint, determine the basis of the complaint, authority/jurisdiction, and who should conduct the investigation.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Title VI complaints will be assigned to a member of the OCR staff or other designated HDOT staff who is trained in conducting such investigations.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The first step in conducting the investigation will be the preparation of an investigation plan, identifying following elements: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Basis of complaint;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Issues to be addressed;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Information needed to answer the questions posed (what actually happened, who was involved, past practices, etc.);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Sources from which the information will be obtained (witnesses, written documents, etc.);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How the information will be obtained (telephone interviews, travel to other offices, review of records, etc.); and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Projected timeline for completion.</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Within ten (10) working days of receiving the complaint, the complainant will be notified in writing by the OCR regarding who will be conducting the investigation and the anticipated timeline for completion.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lastRenderedPageBreak/>
        <w:t xml:space="preserve">One of the first steps in the investigation will be to meet with the complainant to clarify the issues and obtain additional information.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The Branch or District Manager where the complaint occurred will be notified of the complaint.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The respondent (party named in the complaint) will be notified of the complaint and the status of the investigation.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There is no informal co</w:t>
      </w:r>
      <w:r w:rsidR="00465FFF" w:rsidRPr="00877209">
        <w:rPr>
          <w:i/>
          <w:sz w:val="28"/>
          <w:szCs w:val="28"/>
        </w:rPr>
        <w:t xml:space="preserve">mplaint process under Title VI. </w:t>
      </w:r>
      <w:r w:rsidRPr="00877209">
        <w:rPr>
          <w:i/>
          <w:sz w:val="28"/>
          <w:szCs w:val="28"/>
        </w:rPr>
        <w:t xml:space="preserve"> All complaints are treated as formal complaints whether they are investigated by HDOT or forwarded to U.S. DOT for processing.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Proceed with the steps outlined in the investigation plan (interview witnesses, obtain written documentation, etc.).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After completing the investigation, information will be evaluated</w:t>
      </w:r>
      <w:r w:rsidR="00465FFF" w:rsidRPr="00877209">
        <w:rPr>
          <w:i/>
          <w:sz w:val="28"/>
          <w:szCs w:val="28"/>
        </w:rPr>
        <w:t xml:space="preserve"> and a written report prepared. </w:t>
      </w:r>
      <w:r w:rsidRPr="00877209">
        <w:rPr>
          <w:i/>
          <w:sz w:val="28"/>
          <w:szCs w:val="28"/>
        </w:rPr>
        <w:t xml:space="preserve"> The report shall contain the following elements: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Description of the allegation;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Summary of the investigation;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 xml:space="preserve">Relevant facts (findings); </w:t>
      </w:r>
    </w:p>
    <w:p w:rsidR="0004231E" w:rsidRPr="00877209" w:rsidRDefault="0004231E" w:rsidP="0064099D">
      <w:pPr>
        <w:numPr>
          <w:ilvl w:val="1"/>
          <w:numId w:val="37"/>
        </w:numPr>
        <w:autoSpaceDE w:val="0"/>
        <w:autoSpaceDN w:val="0"/>
        <w:adjustRightInd w:val="0"/>
        <w:rPr>
          <w:i/>
          <w:sz w:val="28"/>
          <w:szCs w:val="28"/>
        </w:rPr>
      </w:pPr>
      <w:r w:rsidRPr="00877209">
        <w:rPr>
          <w:i/>
          <w:sz w:val="28"/>
          <w:szCs w:val="28"/>
        </w:rPr>
        <w:t>Supporting documents attached, when appropriate</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The written investigation report will be submitted to the Civil Rights Manager within 90 days of the t</w:t>
      </w:r>
      <w:r w:rsidR="00465FFF" w:rsidRPr="00877209">
        <w:rPr>
          <w:i/>
          <w:sz w:val="28"/>
          <w:szCs w:val="28"/>
        </w:rPr>
        <w:t xml:space="preserve">ime the complaint was received. </w:t>
      </w:r>
      <w:r w:rsidRPr="00877209">
        <w:rPr>
          <w:i/>
          <w:sz w:val="28"/>
          <w:szCs w:val="28"/>
        </w:rPr>
        <w:t xml:space="preserve"> If circumstances require additional time, a status report will be submitted and a request for extension of time will be forwarded to the Office of the Secretary of Transportation (OST) for approval.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A copy of the report shall be sent to the Attorney General’s Office for their information and file.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The investigator will meet with the Civil Rights Manager and/or their designee to discuss the findings and what further action may be appropriate.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The Civil Rights Manager and/or investigat</w:t>
      </w:r>
      <w:r w:rsidR="00465FFF" w:rsidRPr="00877209">
        <w:rPr>
          <w:i/>
          <w:sz w:val="28"/>
          <w:szCs w:val="28"/>
        </w:rPr>
        <w:t xml:space="preserve">or will meet with the Director. </w:t>
      </w:r>
      <w:r w:rsidRPr="00877209">
        <w:rPr>
          <w:i/>
          <w:sz w:val="28"/>
          <w:szCs w:val="28"/>
        </w:rPr>
        <w:t xml:space="preserve"> The HDOT’s Director shall make the final decision.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The complainant and appropriate managers will be notified in writing of the results of the investigation.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 xml:space="preserve">If the HDOT’s decision is adverse to the complainant, the complainant shall be notified that they have appeal rights under Title VI to the U.S. DOT. </w:t>
      </w:r>
    </w:p>
    <w:p w:rsidR="0004231E" w:rsidRPr="00877209" w:rsidRDefault="0004231E" w:rsidP="0064099D">
      <w:pPr>
        <w:numPr>
          <w:ilvl w:val="0"/>
          <w:numId w:val="37"/>
        </w:numPr>
        <w:autoSpaceDE w:val="0"/>
        <w:autoSpaceDN w:val="0"/>
        <w:adjustRightInd w:val="0"/>
        <w:rPr>
          <w:i/>
          <w:sz w:val="28"/>
          <w:szCs w:val="28"/>
        </w:rPr>
      </w:pPr>
      <w:r w:rsidRPr="00877209">
        <w:rPr>
          <w:i/>
          <w:sz w:val="28"/>
          <w:szCs w:val="28"/>
        </w:rPr>
        <w:t>Copies of all Title VI complaints and investigative reports will be sent to the affected agency of the U.S. DOT within 60 days of receipt of the complaint</w:t>
      </w:r>
    </w:p>
    <w:p w:rsidR="00E434D0" w:rsidRDefault="00E434D0" w:rsidP="00B95DAC">
      <w:pPr>
        <w:autoSpaceDE w:val="0"/>
        <w:autoSpaceDN w:val="0"/>
        <w:adjustRightInd w:val="0"/>
        <w:rPr>
          <w:i/>
          <w:sz w:val="28"/>
          <w:szCs w:val="28"/>
        </w:rPr>
      </w:pPr>
    </w:p>
    <w:p w:rsidR="003B6E93" w:rsidRPr="00EB135C" w:rsidRDefault="002A3DCC" w:rsidP="00EB135C">
      <w:pPr>
        <w:spacing w:line="360" w:lineRule="auto"/>
        <w:rPr>
          <w:sz w:val="28"/>
          <w:szCs w:val="28"/>
        </w:rPr>
      </w:pPr>
      <w:r>
        <w:rPr>
          <w:sz w:val="28"/>
          <w:szCs w:val="28"/>
        </w:rPr>
        <w:lastRenderedPageBreak/>
        <w:t xml:space="preserve">Since the current </w:t>
      </w:r>
      <w:r w:rsidR="00CC3819" w:rsidRPr="00EB135C">
        <w:rPr>
          <w:sz w:val="28"/>
          <w:szCs w:val="28"/>
        </w:rPr>
        <w:t xml:space="preserve">HDOT Title VI complaint procedures </w:t>
      </w:r>
      <w:r>
        <w:rPr>
          <w:sz w:val="28"/>
          <w:szCs w:val="28"/>
        </w:rPr>
        <w:t>were</w:t>
      </w:r>
      <w:r w:rsidR="00CC3819" w:rsidRPr="00EB135C">
        <w:rPr>
          <w:sz w:val="28"/>
          <w:szCs w:val="28"/>
        </w:rPr>
        <w:t xml:space="preserve"> developed </w:t>
      </w:r>
      <w:r>
        <w:rPr>
          <w:sz w:val="28"/>
          <w:szCs w:val="28"/>
        </w:rPr>
        <w:t>for</w:t>
      </w:r>
      <w:r w:rsidR="00CC3819" w:rsidRPr="00EB135C">
        <w:rPr>
          <w:sz w:val="28"/>
          <w:szCs w:val="28"/>
        </w:rPr>
        <w:t xml:space="preserve"> FHWA</w:t>
      </w:r>
      <w:r>
        <w:rPr>
          <w:sz w:val="28"/>
          <w:szCs w:val="28"/>
        </w:rPr>
        <w:t xml:space="preserve"> purposes</w:t>
      </w:r>
      <w:r w:rsidR="00CC3819" w:rsidRPr="00EB135C">
        <w:rPr>
          <w:sz w:val="28"/>
          <w:szCs w:val="28"/>
        </w:rPr>
        <w:t>, HDOT</w:t>
      </w:r>
      <w:r w:rsidR="00015085">
        <w:rPr>
          <w:sz w:val="28"/>
          <w:szCs w:val="28"/>
        </w:rPr>
        <w:t xml:space="preserve"> was</w:t>
      </w:r>
      <w:r>
        <w:rPr>
          <w:sz w:val="28"/>
          <w:szCs w:val="28"/>
        </w:rPr>
        <w:t xml:space="preserve"> advised to </w:t>
      </w:r>
      <w:r w:rsidR="00CC3819" w:rsidRPr="00EB135C">
        <w:rPr>
          <w:sz w:val="28"/>
          <w:szCs w:val="28"/>
        </w:rPr>
        <w:t>m</w:t>
      </w:r>
      <w:r w:rsidR="003B6E93" w:rsidRPr="00EB135C">
        <w:rPr>
          <w:sz w:val="28"/>
          <w:szCs w:val="28"/>
        </w:rPr>
        <w:t xml:space="preserve">odify </w:t>
      </w:r>
      <w:r w:rsidR="00CC3819" w:rsidRPr="00EB135C">
        <w:rPr>
          <w:sz w:val="28"/>
          <w:szCs w:val="28"/>
        </w:rPr>
        <w:t xml:space="preserve">the procedures </w:t>
      </w:r>
      <w:r w:rsidR="003B6E93" w:rsidRPr="00EB135C">
        <w:rPr>
          <w:sz w:val="28"/>
          <w:szCs w:val="28"/>
        </w:rPr>
        <w:t xml:space="preserve">to reflect </w:t>
      </w:r>
      <w:r>
        <w:rPr>
          <w:sz w:val="28"/>
          <w:szCs w:val="28"/>
        </w:rPr>
        <w:t>applicability to the FTA program</w:t>
      </w:r>
      <w:r w:rsidR="003B6E93" w:rsidRPr="00EB135C">
        <w:rPr>
          <w:sz w:val="28"/>
          <w:szCs w:val="28"/>
        </w:rPr>
        <w:t xml:space="preserve">.  </w:t>
      </w:r>
      <w:r>
        <w:rPr>
          <w:sz w:val="28"/>
          <w:szCs w:val="28"/>
        </w:rPr>
        <w:t>HDOT had given its Section 5311 subr</w:t>
      </w:r>
      <w:r w:rsidR="003B6E93" w:rsidRPr="00EB135C">
        <w:rPr>
          <w:sz w:val="28"/>
          <w:szCs w:val="28"/>
        </w:rPr>
        <w:t>ecipient</w:t>
      </w:r>
      <w:r w:rsidR="00CC3819" w:rsidRPr="00EB135C">
        <w:rPr>
          <w:sz w:val="28"/>
          <w:szCs w:val="28"/>
        </w:rPr>
        <w:t>s</w:t>
      </w:r>
      <w:r w:rsidR="003B6E93" w:rsidRPr="00EB135C">
        <w:rPr>
          <w:sz w:val="28"/>
          <w:szCs w:val="28"/>
        </w:rPr>
        <w:t xml:space="preserve"> </w:t>
      </w:r>
      <w:r>
        <w:rPr>
          <w:sz w:val="28"/>
          <w:szCs w:val="28"/>
        </w:rPr>
        <w:t>c</w:t>
      </w:r>
      <w:r w:rsidR="00CC3819" w:rsidRPr="00EB135C">
        <w:rPr>
          <w:sz w:val="28"/>
          <w:szCs w:val="28"/>
        </w:rPr>
        <w:t>op</w:t>
      </w:r>
      <w:r>
        <w:rPr>
          <w:sz w:val="28"/>
          <w:szCs w:val="28"/>
        </w:rPr>
        <w:t>ies</w:t>
      </w:r>
      <w:r w:rsidR="00CC3819" w:rsidRPr="00EB135C">
        <w:rPr>
          <w:sz w:val="28"/>
          <w:szCs w:val="28"/>
        </w:rPr>
        <w:t xml:space="preserve"> of the </w:t>
      </w:r>
      <w:r>
        <w:rPr>
          <w:sz w:val="28"/>
          <w:szCs w:val="28"/>
        </w:rPr>
        <w:t xml:space="preserve">complaint </w:t>
      </w:r>
      <w:r w:rsidR="00CC3819" w:rsidRPr="00EB135C">
        <w:rPr>
          <w:sz w:val="28"/>
          <w:szCs w:val="28"/>
        </w:rPr>
        <w:t xml:space="preserve">procedures </w:t>
      </w:r>
      <w:r w:rsidR="003B6E93" w:rsidRPr="00EB135C">
        <w:rPr>
          <w:sz w:val="28"/>
          <w:szCs w:val="28"/>
        </w:rPr>
        <w:t xml:space="preserve">to </w:t>
      </w:r>
      <w:r>
        <w:rPr>
          <w:sz w:val="28"/>
          <w:szCs w:val="28"/>
        </w:rPr>
        <w:t xml:space="preserve">assist in the </w:t>
      </w:r>
      <w:r w:rsidR="003B6E93" w:rsidRPr="00EB135C">
        <w:rPr>
          <w:sz w:val="28"/>
          <w:szCs w:val="28"/>
        </w:rPr>
        <w:t>develop</w:t>
      </w:r>
      <w:r w:rsidR="00FE3BEF">
        <w:rPr>
          <w:sz w:val="28"/>
          <w:szCs w:val="28"/>
        </w:rPr>
        <w:t xml:space="preserve">ment of </w:t>
      </w:r>
      <w:r w:rsidR="00CC3819" w:rsidRPr="00EB135C">
        <w:rPr>
          <w:sz w:val="28"/>
          <w:szCs w:val="28"/>
        </w:rPr>
        <w:t>their own</w:t>
      </w:r>
      <w:r>
        <w:rPr>
          <w:sz w:val="28"/>
          <w:szCs w:val="28"/>
        </w:rPr>
        <w:t xml:space="preserve"> complaint procedures</w:t>
      </w:r>
      <w:r w:rsidR="003B6E93" w:rsidRPr="00EB135C">
        <w:rPr>
          <w:sz w:val="28"/>
          <w:szCs w:val="28"/>
        </w:rPr>
        <w:t xml:space="preserve">.  </w:t>
      </w:r>
    </w:p>
    <w:p w:rsidR="00E10723" w:rsidRPr="00EB135C" w:rsidRDefault="00E10723" w:rsidP="00EB135C">
      <w:pPr>
        <w:spacing w:line="360" w:lineRule="auto"/>
        <w:rPr>
          <w:sz w:val="28"/>
          <w:szCs w:val="28"/>
        </w:rPr>
      </w:pPr>
    </w:p>
    <w:p w:rsidR="00E10723" w:rsidRPr="00EB135C" w:rsidRDefault="00E10723" w:rsidP="00EB135C">
      <w:pPr>
        <w:spacing w:line="360" w:lineRule="auto"/>
        <w:rPr>
          <w:sz w:val="28"/>
          <w:szCs w:val="28"/>
        </w:rPr>
      </w:pPr>
      <w:r w:rsidRPr="00EB135C">
        <w:rPr>
          <w:sz w:val="28"/>
          <w:szCs w:val="28"/>
        </w:rPr>
        <w:t>Maui</w:t>
      </w:r>
      <w:r w:rsidR="00CC3819" w:rsidRPr="00EB135C">
        <w:rPr>
          <w:sz w:val="28"/>
          <w:szCs w:val="28"/>
        </w:rPr>
        <w:t xml:space="preserve"> County</w:t>
      </w:r>
      <w:r w:rsidRPr="00EB135C">
        <w:rPr>
          <w:sz w:val="28"/>
          <w:szCs w:val="28"/>
        </w:rPr>
        <w:t>, Hawaii</w:t>
      </w:r>
      <w:r w:rsidR="00CC3819" w:rsidRPr="00EB135C">
        <w:rPr>
          <w:sz w:val="28"/>
          <w:szCs w:val="28"/>
        </w:rPr>
        <w:t xml:space="preserve"> </w:t>
      </w:r>
      <w:proofErr w:type="gramStart"/>
      <w:r w:rsidR="00CC3819" w:rsidRPr="00EB135C">
        <w:rPr>
          <w:sz w:val="28"/>
          <w:szCs w:val="28"/>
        </w:rPr>
        <w:t>County</w:t>
      </w:r>
      <w:r w:rsidR="00EB135C">
        <w:rPr>
          <w:sz w:val="28"/>
          <w:szCs w:val="28"/>
        </w:rPr>
        <w:t>,</w:t>
      </w:r>
      <w:proofErr w:type="gramEnd"/>
      <w:r w:rsidR="00EB135C">
        <w:rPr>
          <w:sz w:val="28"/>
          <w:szCs w:val="28"/>
        </w:rPr>
        <w:t xml:space="preserve"> and</w:t>
      </w:r>
      <w:r w:rsidRPr="00EB135C">
        <w:rPr>
          <w:sz w:val="28"/>
          <w:szCs w:val="28"/>
        </w:rPr>
        <w:t xml:space="preserve"> HDOT ha</w:t>
      </w:r>
      <w:r w:rsidR="002A3DCC">
        <w:rPr>
          <w:sz w:val="28"/>
          <w:szCs w:val="28"/>
        </w:rPr>
        <w:t>d complaint</w:t>
      </w:r>
      <w:r w:rsidRPr="00EB135C">
        <w:rPr>
          <w:sz w:val="28"/>
          <w:szCs w:val="28"/>
        </w:rPr>
        <w:t xml:space="preserve"> procedures.  </w:t>
      </w:r>
      <w:r w:rsidR="00F76C84" w:rsidRPr="00EB135C">
        <w:rPr>
          <w:sz w:val="28"/>
          <w:szCs w:val="28"/>
        </w:rPr>
        <w:t>Kauai</w:t>
      </w:r>
      <w:r w:rsidR="00CC3819" w:rsidRPr="00EB135C">
        <w:rPr>
          <w:sz w:val="28"/>
          <w:szCs w:val="28"/>
        </w:rPr>
        <w:t xml:space="preserve"> County</w:t>
      </w:r>
      <w:r w:rsidRPr="00EB135C">
        <w:rPr>
          <w:sz w:val="28"/>
          <w:szCs w:val="28"/>
        </w:rPr>
        <w:t xml:space="preserve"> </w:t>
      </w:r>
      <w:r w:rsidR="002A3DCC">
        <w:rPr>
          <w:sz w:val="28"/>
          <w:szCs w:val="28"/>
        </w:rPr>
        <w:t>wa</w:t>
      </w:r>
      <w:r w:rsidRPr="00EB135C">
        <w:rPr>
          <w:sz w:val="28"/>
          <w:szCs w:val="28"/>
        </w:rPr>
        <w:t>s in process of developing</w:t>
      </w:r>
      <w:r w:rsidR="002A3DCC">
        <w:rPr>
          <w:sz w:val="28"/>
          <w:szCs w:val="28"/>
        </w:rPr>
        <w:t xml:space="preserve"> its complaint procedures.</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6" w:name="_Toc272221040"/>
      <w:r>
        <w:rPr>
          <w:sz w:val="28"/>
          <w:szCs w:val="28"/>
        </w:rPr>
        <w:t>Record of Title VI Investigations, Complaints, and Lawsuits</w:t>
      </w:r>
      <w:bookmarkEnd w:id="16"/>
    </w:p>
    <w:p w:rsidR="00F80A8D" w:rsidRDefault="00F80A8D">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2B6C30" w:rsidRDefault="00F80A8D">
      <w:pPr>
        <w:spacing w:line="360" w:lineRule="auto"/>
        <w:rPr>
          <w:sz w:val="28"/>
          <w:szCs w:val="28"/>
        </w:rPr>
      </w:pPr>
      <w:r>
        <w:rPr>
          <w:b/>
          <w:sz w:val="28"/>
          <w:szCs w:val="28"/>
        </w:rPr>
        <w:t xml:space="preserve">Findings: </w:t>
      </w:r>
      <w:r>
        <w:rPr>
          <w:sz w:val="28"/>
          <w:szCs w:val="28"/>
        </w:rPr>
        <w:t xml:space="preserve">During this Title VI Compliance Review of </w:t>
      </w:r>
      <w:r w:rsidR="00B60A72">
        <w:rPr>
          <w:sz w:val="28"/>
          <w:szCs w:val="28"/>
        </w:rPr>
        <w:t>HDOT</w:t>
      </w:r>
      <w:r w:rsidRPr="00E10723">
        <w:rPr>
          <w:sz w:val="28"/>
          <w:szCs w:val="28"/>
        </w:rPr>
        <w:t>, no</w:t>
      </w:r>
      <w:r>
        <w:rPr>
          <w:sz w:val="28"/>
          <w:szCs w:val="28"/>
        </w:rPr>
        <w:t xml:space="preserve"> deficiencies were found regarding </w:t>
      </w:r>
      <w:r w:rsidR="00B60A72">
        <w:rPr>
          <w:sz w:val="28"/>
          <w:szCs w:val="28"/>
        </w:rPr>
        <w:t>HDOT</w:t>
      </w:r>
      <w:r>
        <w:rPr>
          <w:sz w:val="28"/>
          <w:szCs w:val="28"/>
        </w:rPr>
        <w:t xml:space="preserve">’s compliance with FTA requirements for Record of Title VI Investigations, Complaints, and Lawsuits.  </w:t>
      </w:r>
      <w:r w:rsidR="008C3DD1">
        <w:rPr>
          <w:sz w:val="28"/>
          <w:szCs w:val="28"/>
        </w:rPr>
        <w:t xml:space="preserve">Prior to the site visit, </w:t>
      </w:r>
      <w:r w:rsidR="00B60A72">
        <w:rPr>
          <w:sz w:val="28"/>
          <w:szCs w:val="28"/>
        </w:rPr>
        <w:t>HDOT</w:t>
      </w:r>
      <w:r>
        <w:rPr>
          <w:sz w:val="28"/>
          <w:szCs w:val="28"/>
        </w:rPr>
        <w:t xml:space="preserve"> </w:t>
      </w:r>
      <w:r w:rsidR="008C3DD1">
        <w:rPr>
          <w:sz w:val="28"/>
          <w:szCs w:val="28"/>
        </w:rPr>
        <w:t xml:space="preserve">indicated that there were currently no active Title VI </w:t>
      </w:r>
      <w:r w:rsidR="00B60A72">
        <w:rPr>
          <w:sz w:val="28"/>
          <w:szCs w:val="28"/>
        </w:rPr>
        <w:t xml:space="preserve">investigations, lawsuits or </w:t>
      </w:r>
      <w:r w:rsidR="008C3DD1">
        <w:rPr>
          <w:sz w:val="28"/>
          <w:szCs w:val="28"/>
        </w:rPr>
        <w:t>complaints filed</w:t>
      </w:r>
      <w:r w:rsidR="00B60A72">
        <w:rPr>
          <w:sz w:val="28"/>
          <w:szCs w:val="28"/>
        </w:rPr>
        <w:t xml:space="preserve"> against HDOT.</w:t>
      </w:r>
      <w:r w:rsidR="00E90433">
        <w:rPr>
          <w:sz w:val="28"/>
          <w:szCs w:val="28"/>
        </w:rPr>
        <w:t xml:space="preserve">  </w:t>
      </w:r>
    </w:p>
    <w:p w:rsidR="002B6C30" w:rsidRDefault="002B6C30">
      <w:pPr>
        <w:spacing w:line="360" w:lineRule="auto"/>
        <w:rPr>
          <w:sz w:val="28"/>
          <w:szCs w:val="28"/>
        </w:rPr>
      </w:pPr>
    </w:p>
    <w:p w:rsidR="00F80A8D" w:rsidRDefault="00F80A8D">
      <w:pPr>
        <w:pStyle w:val="BHLevel2"/>
        <w:spacing w:line="360" w:lineRule="auto"/>
        <w:rPr>
          <w:sz w:val="28"/>
          <w:szCs w:val="28"/>
        </w:rPr>
      </w:pPr>
      <w:bookmarkStart w:id="17" w:name="_Toc272221041"/>
      <w:r>
        <w:rPr>
          <w:sz w:val="28"/>
          <w:szCs w:val="28"/>
        </w:rPr>
        <w:t>Notice to Beneficiaries of Protection Under Title VI</w:t>
      </w:r>
      <w:bookmarkEnd w:id="17"/>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 xml:space="preserve">ecipients shall provide information to the public regarding their Title VI obligations and apprise members of the public of the protections </w:t>
      </w:r>
      <w:r>
        <w:rPr>
          <w:i/>
          <w:iCs/>
          <w:sz w:val="28"/>
        </w:rPr>
        <w:lastRenderedPageBreak/>
        <w:t>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 xml:space="preserve">Findings:  </w:t>
      </w:r>
      <w:r>
        <w:rPr>
          <w:sz w:val="28"/>
          <w:szCs w:val="28"/>
        </w:rPr>
        <w:t xml:space="preserve">During this Title VI Compliance Review of </w:t>
      </w:r>
      <w:r w:rsidR="00B60A72">
        <w:rPr>
          <w:sz w:val="28"/>
          <w:szCs w:val="28"/>
        </w:rPr>
        <w:t>HDOT</w:t>
      </w:r>
      <w:r w:rsidR="008C3DD1">
        <w:rPr>
          <w:sz w:val="28"/>
          <w:szCs w:val="28"/>
        </w:rPr>
        <w:t xml:space="preserve">, </w:t>
      </w:r>
      <w:r w:rsidRPr="00C7537A">
        <w:rPr>
          <w:sz w:val="28"/>
          <w:szCs w:val="28"/>
        </w:rPr>
        <w:t>deficiencies</w:t>
      </w:r>
      <w:r>
        <w:rPr>
          <w:sz w:val="28"/>
          <w:szCs w:val="28"/>
        </w:rPr>
        <w:t xml:space="preserve"> were found regarding </w:t>
      </w:r>
      <w:r w:rsidR="00B60A72">
        <w:rPr>
          <w:sz w:val="28"/>
          <w:szCs w:val="28"/>
        </w:rPr>
        <w:t>HDOT</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r w:rsidR="00DA2D01">
        <w:rPr>
          <w:sz w:val="28"/>
          <w:szCs w:val="28"/>
        </w:rPr>
        <w:t>Prior to the site visit</w:t>
      </w:r>
      <w:r w:rsidR="00135803">
        <w:rPr>
          <w:sz w:val="28"/>
          <w:szCs w:val="28"/>
        </w:rPr>
        <w:t>,</w:t>
      </w:r>
      <w:r w:rsidR="00DA2D01">
        <w:rPr>
          <w:sz w:val="28"/>
          <w:szCs w:val="28"/>
        </w:rPr>
        <w:t xml:space="preserve"> </w:t>
      </w:r>
      <w:r w:rsidR="00B60A72">
        <w:rPr>
          <w:sz w:val="28"/>
          <w:szCs w:val="28"/>
        </w:rPr>
        <w:t>HDOT</w:t>
      </w:r>
      <w:r>
        <w:rPr>
          <w:sz w:val="28"/>
          <w:szCs w:val="28"/>
        </w:rPr>
        <w:t xml:space="preserve"> submitted its</w:t>
      </w:r>
      <w:r w:rsidR="00DA2D01">
        <w:rPr>
          <w:sz w:val="28"/>
          <w:szCs w:val="28"/>
        </w:rPr>
        <w:t xml:space="preserve"> brochure</w:t>
      </w:r>
      <w:r>
        <w:rPr>
          <w:i/>
          <w:iCs/>
          <w:sz w:val="28"/>
          <w:szCs w:val="28"/>
        </w:rPr>
        <w:t xml:space="preserve"> </w:t>
      </w:r>
      <w:r w:rsidR="005807C5">
        <w:rPr>
          <w:i/>
          <w:iCs/>
          <w:sz w:val="28"/>
          <w:szCs w:val="28"/>
        </w:rPr>
        <w:t xml:space="preserve">YOU and HDOT: </w:t>
      </w:r>
      <w:proofErr w:type="gramStart"/>
      <w:r w:rsidR="00DA2D01">
        <w:rPr>
          <w:i/>
          <w:iCs/>
          <w:sz w:val="28"/>
          <w:szCs w:val="28"/>
        </w:rPr>
        <w:t>Your</w:t>
      </w:r>
      <w:proofErr w:type="gramEnd"/>
      <w:r w:rsidR="00DA2D01">
        <w:rPr>
          <w:i/>
          <w:iCs/>
          <w:sz w:val="28"/>
          <w:szCs w:val="28"/>
        </w:rPr>
        <w:t xml:space="preserve"> Rights Under Title VI </w:t>
      </w:r>
      <w:r w:rsidR="005807C5">
        <w:rPr>
          <w:i/>
          <w:iCs/>
          <w:sz w:val="28"/>
          <w:szCs w:val="28"/>
        </w:rPr>
        <w:t>of the Civil Rights Act of 1964</w:t>
      </w:r>
      <w:r w:rsidR="005807C5" w:rsidRPr="005807C5">
        <w:rPr>
          <w:iCs/>
          <w:sz w:val="28"/>
          <w:szCs w:val="28"/>
        </w:rPr>
        <w:t xml:space="preserve">, </w:t>
      </w:r>
      <w:r w:rsidR="005807C5">
        <w:rPr>
          <w:iCs/>
          <w:sz w:val="28"/>
          <w:szCs w:val="28"/>
        </w:rPr>
        <w:t>which included its</w:t>
      </w:r>
      <w:r w:rsidR="00DA2D01" w:rsidRPr="005807C5">
        <w:rPr>
          <w:iCs/>
          <w:sz w:val="28"/>
          <w:szCs w:val="28"/>
        </w:rPr>
        <w:t xml:space="preserve"> Complaint Procedure </w:t>
      </w:r>
      <w:r w:rsidR="005807C5">
        <w:rPr>
          <w:sz w:val="28"/>
          <w:szCs w:val="28"/>
        </w:rPr>
        <w:t xml:space="preserve">and </w:t>
      </w:r>
      <w:r w:rsidR="00DA2D01">
        <w:rPr>
          <w:sz w:val="28"/>
          <w:szCs w:val="28"/>
        </w:rPr>
        <w:t>Title VI Policy statement</w:t>
      </w:r>
      <w:r>
        <w:rPr>
          <w:sz w:val="28"/>
          <w:szCs w:val="28"/>
        </w:rPr>
        <w:t xml:space="preserve">.  </w:t>
      </w:r>
      <w:r w:rsidR="00B60A72">
        <w:rPr>
          <w:sz w:val="28"/>
          <w:szCs w:val="28"/>
        </w:rPr>
        <w:t>HDOT</w:t>
      </w:r>
      <w:r>
        <w:rPr>
          <w:sz w:val="28"/>
          <w:szCs w:val="28"/>
        </w:rPr>
        <w:t xml:space="preserve">’s Title VI Program Policy, Title VI Complaint Form and Title VI Policy Statement were </w:t>
      </w:r>
      <w:r w:rsidR="00E434D0">
        <w:rPr>
          <w:sz w:val="28"/>
          <w:szCs w:val="28"/>
        </w:rPr>
        <w:t xml:space="preserve">also </w:t>
      </w:r>
      <w:r>
        <w:rPr>
          <w:sz w:val="28"/>
          <w:szCs w:val="28"/>
        </w:rPr>
        <w:t xml:space="preserve">included on its website.  </w:t>
      </w:r>
      <w:r w:rsidR="00B60A72">
        <w:rPr>
          <w:sz w:val="28"/>
          <w:szCs w:val="28"/>
        </w:rPr>
        <w:t>HDOT</w:t>
      </w:r>
      <w:r>
        <w:rPr>
          <w:sz w:val="28"/>
          <w:szCs w:val="28"/>
        </w:rPr>
        <w:t>’s Title VI Policy Statement</w:t>
      </w:r>
      <w:r w:rsidR="00085F3E">
        <w:rPr>
          <w:sz w:val="28"/>
          <w:szCs w:val="28"/>
        </w:rPr>
        <w:t xml:space="preserve"> follows</w:t>
      </w:r>
      <w:r>
        <w:rPr>
          <w:sz w:val="28"/>
          <w:szCs w:val="28"/>
        </w:rPr>
        <w:t>:</w:t>
      </w:r>
      <w:r>
        <w:rPr>
          <w:sz w:val="28"/>
          <w:szCs w:val="28"/>
          <w:u w:val="single"/>
        </w:rPr>
        <w:t xml:space="preserve"> </w:t>
      </w:r>
      <w:r>
        <w:rPr>
          <w:sz w:val="28"/>
          <w:szCs w:val="28"/>
        </w:rPr>
        <w:t xml:space="preserve"> </w:t>
      </w:r>
    </w:p>
    <w:p w:rsidR="00085F3E" w:rsidRDefault="00085F3E" w:rsidP="00523022">
      <w:pPr>
        <w:spacing w:line="360" w:lineRule="auto"/>
        <w:rPr>
          <w:sz w:val="28"/>
          <w:szCs w:val="28"/>
        </w:rPr>
      </w:pPr>
    </w:p>
    <w:p w:rsidR="005807C5" w:rsidRPr="00E03A36" w:rsidRDefault="005807C5" w:rsidP="005807C5">
      <w:pPr>
        <w:autoSpaceDE w:val="0"/>
        <w:autoSpaceDN w:val="0"/>
        <w:adjustRightInd w:val="0"/>
        <w:jc w:val="center"/>
        <w:rPr>
          <w:b/>
          <w:bCs/>
          <w:i/>
          <w:sz w:val="28"/>
          <w:szCs w:val="22"/>
        </w:rPr>
      </w:pPr>
      <w:r w:rsidRPr="00E03A36">
        <w:rPr>
          <w:b/>
          <w:bCs/>
          <w:i/>
          <w:sz w:val="28"/>
          <w:szCs w:val="22"/>
        </w:rPr>
        <w:t>TITLE VI POLICY</w:t>
      </w:r>
    </w:p>
    <w:p w:rsidR="005807C5" w:rsidRPr="00E03A36" w:rsidRDefault="005807C5" w:rsidP="005807C5">
      <w:pPr>
        <w:autoSpaceDE w:val="0"/>
        <w:autoSpaceDN w:val="0"/>
        <w:adjustRightInd w:val="0"/>
        <w:jc w:val="center"/>
        <w:rPr>
          <w:i/>
          <w:sz w:val="28"/>
          <w:szCs w:val="28"/>
        </w:rPr>
      </w:pPr>
      <w:r w:rsidRPr="00E03A36">
        <w:rPr>
          <w:i/>
          <w:sz w:val="28"/>
          <w:szCs w:val="28"/>
        </w:rPr>
        <w:t>It is HDOT policy for all recipients of</w:t>
      </w:r>
    </w:p>
    <w:p w:rsidR="005807C5" w:rsidRPr="00E03A36" w:rsidRDefault="005807C5" w:rsidP="005807C5">
      <w:pPr>
        <w:autoSpaceDE w:val="0"/>
        <w:autoSpaceDN w:val="0"/>
        <w:adjustRightInd w:val="0"/>
        <w:jc w:val="center"/>
        <w:rPr>
          <w:i/>
          <w:sz w:val="28"/>
          <w:szCs w:val="28"/>
        </w:rPr>
      </w:pPr>
      <w:r w:rsidRPr="00E03A36">
        <w:rPr>
          <w:i/>
          <w:sz w:val="28"/>
          <w:szCs w:val="28"/>
        </w:rPr>
        <w:t>Federal funds, including HDOT divisions,</w:t>
      </w:r>
    </w:p>
    <w:p w:rsidR="005807C5" w:rsidRPr="00E03A36" w:rsidRDefault="005807C5" w:rsidP="005807C5">
      <w:pPr>
        <w:autoSpaceDE w:val="0"/>
        <w:autoSpaceDN w:val="0"/>
        <w:adjustRightInd w:val="0"/>
        <w:jc w:val="center"/>
        <w:rPr>
          <w:i/>
          <w:sz w:val="28"/>
          <w:szCs w:val="28"/>
        </w:rPr>
      </w:pPr>
      <w:r w:rsidRPr="00E03A36">
        <w:rPr>
          <w:i/>
          <w:sz w:val="28"/>
          <w:szCs w:val="28"/>
        </w:rPr>
        <w:t>Metropolitan Planning Organizations</w:t>
      </w:r>
    </w:p>
    <w:p w:rsidR="005807C5" w:rsidRPr="00E03A36" w:rsidRDefault="005807C5" w:rsidP="005807C5">
      <w:pPr>
        <w:autoSpaceDE w:val="0"/>
        <w:autoSpaceDN w:val="0"/>
        <w:adjustRightInd w:val="0"/>
        <w:jc w:val="center"/>
        <w:rPr>
          <w:i/>
          <w:sz w:val="28"/>
          <w:szCs w:val="28"/>
        </w:rPr>
      </w:pPr>
      <w:r w:rsidRPr="00E03A36">
        <w:rPr>
          <w:i/>
          <w:sz w:val="28"/>
          <w:szCs w:val="28"/>
        </w:rPr>
        <w:t>(MPO’s), and subrecipients to ensure that</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they</w:t>
      </w:r>
      <w:proofErr w:type="gramEnd"/>
      <w:r w:rsidRPr="00E03A36">
        <w:rPr>
          <w:i/>
          <w:sz w:val="28"/>
          <w:szCs w:val="28"/>
        </w:rPr>
        <w:t xml:space="preserve"> are in compliance with Title VI of the</w:t>
      </w:r>
    </w:p>
    <w:p w:rsidR="005807C5" w:rsidRPr="00E03A36" w:rsidRDefault="005807C5" w:rsidP="005807C5">
      <w:pPr>
        <w:autoSpaceDE w:val="0"/>
        <w:autoSpaceDN w:val="0"/>
        <w:adjustRightInd w:val="0"/>
        <w:jc w:val="center"/>
        <w:rPr>
          <w:i/>
          <w:sz w:val="28"/>
          <w:szCs w:val="28"/>
        </w:rPr>
      </w:pPr>
      <w:r w:rsidRPr="00E03A36">
        <w:rPr>
          <w:i/>
          <w:sz w:val="28"/>
          <w:szCs w:val="28"/>
        </w:rPr>
        <w:t>Civil Rights Act of 1964 and all related</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statutes</w:t>
      </w:r>
      <w:proofErr w:type="gramEnd"/>
      <w:r w:rsidRPr="00E03A36">
        <w:rPr>
          <w:i/>
          <w:sz w:val="28"/>
          <w:szCs w:val="28"/>
        </w:rPr>
        <w:t>, regulations, and directives in all</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programs</w:t>
      </w:r>
      <w:proofErr w:type="gramEnd"/>
      <w:r w:rsidRPr="00E03A36">
        <w:rPr>
          <w:i/>
          <w:sz w:val="28"/>
          <w:szCs w:val="28"/>
        </w:rPr>
        <w:t xml:space="preserve"> and activities. No person in the</w:t>
      </w:r>
    </w:p>
    <w:p w:rsidR="005807C5" w:rsidRPr="00E03A36" w:rsidRDefault="005807C5" w:rsidP="005807C5">
      <w:pPr>
        <w:autoSpaceDE w:val="0"/>
        <w:autoSpaceDN w:val="0"/>
        <w:adjustRightInd w:val="0"/>
        <w:jc w:val="center"/>
        <w:rPr>
          <w:i/>
          <w:sz w:val="28"/>
          <w:szCs w:val="28"/>
        </w:rPr>
      </w:pPr>
      <w:r w:rsidRPr="00E03A36">
        <w:rPr>
          <w:i/>
          <w:sz w:val="28"/>
          <w:szCs w:val="28"/>
        </w:rPr>
        <w:t>United States shall, on the grounds of</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race</w:t>
      </w:r>
      <w:proofErr w:type="gramEnd"/>
      <w:r w:rsidRPr="00E03A36">
        <w:rPr>
          <w:i/>
          <w:sz w:val="28"/>
          <w:szCs w:val="28"/>
        </w:rPr>
        <w:t>, color, national origin, or sex be</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excluded</w:t>
      </w:r>
      <w:proofErr w:type="gramEnd"/>
      <w:r w:rsidRPr="00E03A36">
        <w:rPr>
          <w:i/>
          <w:sz w:val="28"/>
          <w:szCs w:val="28"/>
        </w:rPr>
        <w:t xml:space="preserve"> from participation in, be denied</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the</w:t>
      </w:r>
      <w:proofErr w:type="gramEnd"/>
      <w:r w:rsidRPr="00E03A36">
        <w:rPr>
          <w:i/>
          <w:sz w:val="28"/>
          <w:szCs w:val="28"/>
        </w:rPr>
        <w:t xml:space="preserve"> benefits of, or be otherwise subjected</w:t>
      </w:r>
    </w:p>
    <w:p w:rsidR="005807C5" w:rsidRPr="00E03A36" w:rsidRDefault="005807C5" w:rsidP="005807C5">
      <w:pPr>
        <w:autoSpaceDE w:val="0"/>
        <w:autoSpaceDN w:val="0"/>
        <w:adjustRightInd w:val="0"/>
        <w:jc w:val="center"/>
        <w:rPr>
          <w:i/>
          <w:sz w:val="28"/>
          <w:szCs w:val="28"/>
        </w:rPr>
      </w:pPr>
      <w:proofErr w:type="gramStart"/>
      <w:r w:rsidRPr="00E03A36">
        <w:rPr>
          <w:i/>
          <w:sz w:val="28"/>
          <w:szCs w:val="28"/>
        </w:rPr>
        <w:t>to</w:t>
      </w:r>
      <w:proofErr w:type="gramEnd"/>
      <w:r w:rsidRPr="00E03A36">
        <w:rPr>
          <w:i/>
          <w:sz w:val="28"/>
          <w:szCs w:val="28"/>
        </w:rPr>
        <w:t xml:space="preserve"> discrimination under any HDOT</w:t>
      </w:r>
    </w:p>
    <w:p w:rsidR="005807C5" w:rsidRPr="00E03A36" w:rsidRDefault="005807C5" w:rsidP="005807C5">
      <w:pPr>
        <w:autoSpaceDE w:val="0"/>
        <w:autoSpaceDN w:val="0"/>
        <w:adjustRightInd w:val="0"/>
        <w:ind w:left="720" w:right="630"/>
        <w:jc w:val="center"/>
        <w:rPr>
          <w:i/>
          <w:sz w:val="28"/>
          <w:szCs w:val="28"/>
        </w:rPr>
      </w:pPr>
      <w:proofErr w:type="gramStart"/>
      <w:r w:rsidRPr="00E03A36">
        <w:rPr>
          <w:i/>
          <w:sz w:val="28"/>
          <w:szCs w:val="28"/>
        </w:rPr>
        <w:t>program</w:t>
      </w:r>
      <w:proofErr w:type="gramEnd"/>
      <w:r w:rsidRPr="00E03A36">
        <w:rPr>
          <w:i/>
          <w:sz w:val="28"/>
          <w:szCs w:val="28"/>
        </w:rPr>
        <w:t>, policy, or activity.</w:t>
      </w:r>
    </w:p>
    <w:p w:rsidR="005807C5" w:rsidRDefault="005807C5" w:rsidP="00523022">
      <w:pPr>
        <w:spacing w:line="360" w:lineRule="auto"/>
        <w:rPr>
          <w:sz w:val="28"/>
          <w:szCs w:val="28"/>
        </w:rPr>
      </w:pPr>
    </w:p>
    <w:p w:rsidR="00085F3E" w:rsidRDefault="00A61832" w:rsidP="007C38C5">
      <w:pPr>
        <w:spacing w:line="360" w:lineRule="auto"/>
      </w:pPr>
      <w:r>
        <w:rPr>
          <w:sz w:val="28"/>
          <w:szCs w:val="28"/>
        </w:rPr>
        <w:t xml:space="preserve">In the policy brochure, HDOT had a listing of entities that were the Authority for compliance and </w:t>
      </w:r>
      <w:proofErr w:type="gramStart"/>
      <w:r>
        <w:rPr>
          <w:sz w:val="28"/>
          <w:szCs w:val="28"/>
        </w:rPr>
        <w:t>enforcement,</w:t>
      </w:r>
      <w:proofErr w:type="gramEnd"/>
      <w:r>
        <w:rPr>
          <w:sz w:val="28"/>
          <w:szCs w:val="28"/>
        </w:rPr>
        <w:t xml:space="preserve"> however, it did not mention as an authority FTA Circular 4702.1A</w:t>
      </w:r>
      <w:r w:rsidR="009A3C70">
        <w:rPr>
          <w:sz w:val="28"/>
          <w:szCs w:val="28"/>
        </w:rPr>
        <w:t xml:space="preserve"> guidelines</w:t>
      </w:r>
      <w:r>
        <w:rPr>
          <w:sz w:val="28"/>
          <w:szCs w:val="28"/>
        </w:rPr>
        <w:t xml:space="preserve">.  </w:t>
      </w:r>
      <w:r w:rsidR="00085F3E">
        <w:rPr>
          <w:sz w:val="28"/>
          <w:szCs w:val="28"/>
        </w:rPr>
        <w:t xml:space="preserve">As noted below, the Policy Statement </w:t>
      </w:r>
      <w:r>
        <w:rPr>
          <w:sz w:val="28"/>
          <w:szCs w:val="28"/>
        </w:rPr>
        <w:t xml:space="preserve">brochure </w:t>
      </w:r>
      <w:r w:rsidR="00085F3E">
        <w:rPr>
          <w:sz w:val="28"/>
          <w:szCs w:val="28"/>
        </w:rPr>
        <w:lastRenderedPageBreak/>
        <w:t xml:space="preserve">did not </w:t>
      </w:r>
      <w:r w:rsidR="003A78A3">
        <w:rPr>
          <w:sz w:val="28"/>
          <w:szCs w:val="28"/>
        </w:rPr>
        <w:t>describe</w:t>
      </w:r>
      <w:r w:rsidR="00085F3E">
        <w:rPr>
          <w:sz w:val="28"/>
          <w:szCs w:val="28"/>
        </w:rPr>
        <w:t xml:space="preserve"> how members of the public could obtain additional information</w:t>
      </w:r>
      <w:r w:rsidR="003A78A3">
        <w:rPr>
          <w:sz w:val="28"/>
          <w:szCs w:val="28"/>
        </w:rPr>
        <w:t xml:space="preserve"> on </w:t>
      </w:r>
      <w:r w:rsidR="00B60A72">
        <w:rPr>
          <w:sz w:val="28"/>
          <w:szCs w:val="28"/>
        </w:rPr>
        <w:t>HDOT</w:t>
      </w:r>
      <w:r w:rsidR="003A78A3">
        <w:rPr>
          <w:sz w:val="28"/>
          <w:szCs w:val="28"/>
        </w:rPr>
        <w:t>’s Title VI obligations</w:t>
      </w:r>
      <w:r w:rsidR="007331D7">
        <w:rPr>
          <w:sz w:val="28"/>
          <w:szCs w:val="28"/>
        </w:rPr>
        <w:t xml:space="preserve">.  </w:t>
      </w:r>
    </w:p>
    <w:p w:rsidR="00085F3E" w:rsidRDefault="00085F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498"/>
        <w:gridCol w:w="2808"/>
      </w:tblGrid>
      <w:tr w:rsidR="00F80A8D" w:rsidTr="00C7537A">
        <w:trPr>
          <w:tblHeader/>
        </w:trPr>
        <w:tc>
          <w:tcPr>
            <w:tcW w:w="6498" w:type="dxa"/>
          </w:tcPr>
          <w:p w:rsidR="00F80A8D" w:rsidRDefault="00F80A8D">
            <w:pPr>
              <w:rPr>
                <w:b/>
                <w:bCs/>
                <w:sz w:val="24"/>
                <w:szCs w:val="28"/>
              </w:rPr>
            </w:pPr>
            <w:r>
              <w:rPr>
                <w:b/>
                <w:bCs/>
                <w:sz w:val="28"/>
                <w:szCs w:val="28"/>
              </w:rPr>
              <w:br w:type="page"/>
            </w:r>
            <w:r>
              <w:rPr>
                <w:b/>
                <w:bCs/>
                <w:sz w:val="24"/>
                <w:szCs w:val="28"/>
              </w:rPr>
              <w:t>Elements Required in Title VI Noti</w:t>
            </w:r>
            <w:r w:rsidR="00015085">
              <w:rPr>
                <w:b/>
                <w:bCs/>
                <w:sz w:val="24"/>
                <w:szCs w:val="28"/>
              </w:rPr>
              <w:t>ce to Beneficiaries</w:t>
            </w:r>
          </w:p>
          <w:p w:rsidR="00F80A8D" w:rsidRDefault="00F80A8D">
            <w:pPr>
              <w:rPr>
                <w:b/>
                <w:bCs/>
                <w:sz w:val="22"/>
                <w:szCs w:val="28"/>
              </w:rPr>
            </w:pPr>
            <w:r>
              <w:rPr>
                <w:b/>
                <w:bCs/>
                <w:sz w:val="22"/>
                <w:szCs w:val="28"/>
              </w:rPr>
              <w:t>(Per FTA Circular 4702.1A Chapter IV Section 5.a)</w:t>
            </w:r>
          </w:p>
        </w:tc>
        <w:tc>
          <w:tcPr>
            <w:tcW w:w="2808" w:type="dxa"/>
          </w:tcPr>
          <w:p w:rsidR="00F80A8D" w:rsidRDefault="00F80A8D" w:rsidP="00C7537A">
            <w:pPr>
              <w:jc w:val="center"/>
              <w:rPr>
                <w:b/>
                <w:bCs/>
                <w:sz w:val="24"/>
                <w:szCs w:val="28"/>
              </w:rPr>
            </w:pPr>
            <w:r>
              <w:rPr>
                <w:b/>
                <w:bCs/>
                <w:sz w:val="24"/>
                <w:szCs w:val="28"/>
              </w:rPr>
              <w:t xml:space="preserve">Included in </w:t>
            </w:r>
            <w:r w:rsidR="00B60A72">
              <w:rPr>
                <w:b/>
                <w:bCs/>
                <w:sz w:val="24"/>
                <w:szCs w:val="28"/>
              </w:rPr>
              <w:t>HDOT</w:t>
            </w:r>
            <w:r>
              <w:rPr>
                <w:b/>
                <w:bCs/>
                <w:sz w:val="24"/>
                <w:szCs w:val="28"/>
              </w:rPr>
              <w:t xml:space="preserve"> Policy Statement?</w:t>
            </w:r>
          </w:p>
        </w:tc>
      </w:tr>
      <w:tr w:rsidR="00F80A8D" w:rsidTr="00C7537A">
        <w:tc>
          <w:tcPr>
            <w:tcW w:w="6498" w:type="dxa"/>
          </w:tcPr>
          <w:p w:rsidR="00F80A8D" w:rsidRDefault="00F80A8D">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F80A8D" w:rsidRPr="00B95DAC" w:rsidRDefault="00523022">
            <w:pPr>
              <w:jc w:val="center"/>
              <w:rPr>
                <w:sz w:val="22"/>
                <w:szCs w:val="28"/>
              </w:rPr>
            </w:pPr>
            <w:r>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F80A8D" w:rsidRPr="00B95DAC" w:rsidRDefault="00523022">
            <w:pPr>
              <w:jc w:val="center"/>
              <w:rPr>
                <w:sz w:val="22"/>
                <w:szCs w:val="28"/>
              </w:rPr>
            </w:pPr>
            <w:r>
              <w:rPr>
                <w:sz w:val="22"/>
                <w:szCs w:val="28"/>
              </w:rPr>
              <w:t>No</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80A8D" w:rsidRPr="00B95DAC" w:rsidRDefault="00523022">
            <w:pPr>
              <w:jc w:val="center"/>
              <w:rPr>
                <w:sz w:val="22"/>
                <w:szCs w:val="28"/>
              </w:rPr>
            </w:pPr>
            <w:r>
              <w:rPr>
                <w:sz w:val="22"/>
                <w:szCs w:val="28"/>
              </w:rPr>
              <w:t>Yes</w:t>
            </w:r>
          </w:p>
        </w:tc>
      </w:tr>
    </w:tbl>
    <w:p w:rsidR="00F80A8D" w:rsidRDefault="00F80A8D">
      <w:pPr>
        <w:ind w:left="360"/>
        <w:rPr>
          <w:sz w:val="28"/>
          <w:szCs w:val="28"/>
        </w:rPr>
      </w:pPr>
    </w:p>
    <w:p w:rsidR="00F80A8D" w:rsidRDefault="00F80A8D">
      <w:pPr>
        <w:spacing w:line="360" w:lineRule="auto"/>
        <w:rPr>
          <w:sz w:val="28"/>
          <w:szCs w:val="28"/>
        </w:rPr>
      </w:pPr>
      <w:r w:rsidRPr="00015085">
        <w:rPr>
          <w:sz w:val="28"/>
          <w:szCs w:val="28"/>
        </w:rPr>
        <w:t xml:space="preserve">At the time of the Compliance Review site visit, the Policy had </w:t>
      </w:r>
      <w:r w:rsidR="00664E30" w:rsidRPr="00015085">
        <w:rPr>
          <w:sz w:val="28"/>
          <w:szCs w:val="28"/>
        </w:rPr>
        <w:t xml:space="preserve">not </w:t>
      </w:r>
      <w:r w:rsidRPr="00015085">
        <w:rPr>
          <w:sz w:val="28"/>
          <w:szCs w:val="28"/>
        </w:rPr>
        <w:t xml:space="preserve">been disseminated to the public.  </w:t>
      </w:r>
      <w:r w:rsidR="00664E30" w:rsidRPr="00015085">
        <w:rPr>
          <w:sz w:val="28"/>
          <w:szCs w:val="28"/>
        </w:rPr>
        <w:t xml:space="preserve">HDOT indicated that </w:t>
      </w:r>
      <w:r w:rsidR="00015085">
        <w:rPr>
          <w:sz w:val="28"/>
          <w:szCs w:val="28"/>
        </w:rPr>
        <w:t>it</w:t>
      </w:r>
      <w:r w:rsidR="00664E30" w:rsidRPr="00015085">
        <w:rPr>
          <w:sz w:val="28"/>
          <w:szCs w:val="28"/>
        </w:rPr>
        <w:t xml:space="preserve"> had discussions with </w:t>
      </w:r>
      <w:r w:rsidR="00E03A36">
        <w:rPr>
          <w:sz w:val="28"/>
          <w:szCs w:val="28"/>
        </w:rPr>
        <w:t>its</w:t>
      </w:r>
      <w:r w:rsidR="00664E30" w:rsidRPr="00015085">
        <w:rPr>
          <w:sz w:val="28"/>
          <w:szCs w:val="28"/>
        </w:rPr>
        <w:t xml:space="preserve"> subrecipients after the </w:t>
      </w:r>
      <w:r w:rsidR="00A61832" w:rsidRPr="00015085">
        <w:rPr>
          <w:sz w:val="28"/>
          <w:szCs w:val="28"/>
        </w:rPr>
        <w:t xml:space="preserve">2008 </w:t>
      </w:r>
      <w:r w:rsidR="00664E30" w:rsidRPr="00015085">
        <w:rPr>
          <w:sz w:val="28"/>
          <w:szCs w:val="28"/>
        </w:rPr>
        <w:t>S</w:t>
      </w:r>
      <w:r w:rsidR="00015085">
        <w:rPr>
          <w:sz w:val="28"/>
          <w:szCs w:val="28"/>
        </w:rPr>
        <w:t xml:space="preserve">tate </w:t>
      </w:r>
      <w:r w:rsidR="00664E30" w:rsidRPr="00015085">
        <w:rPr>
          <w:sz w:val="28"/>
          <w:szCs w:val="28"/>
        </w:rPr>
        <w:t>M</w:t>
      </w:r>
      <w:r w:rsidR="00015085">
        <w:rPr>
          <w:sz w:val="28"/>
          <w:szCs w:val="28"/>
        </w:rPr>
        <w:t xml:space="preserve">anagement </w:t>
      </w:r>
      <w:r w:rsidR="00664E30" w:rsidRPr="00015085">
        <w:rPr>
          <w:sz w:val="28"/>
          <w:szCs w:val="28"/>
        </w:rPr>
        <w:t>R</w:t>
      </w:r>
      <w:r w:rsidR="00015085">
        <w:rPr>
          <w:sz w:val="28"/>
          <w:szCs w:val="28"/>
        </w:rPr>
        <w:t>eview (SMR)</w:t>
      </w:r>
      <w:r w:rsidR="00664E30" w:rsidRPr="00015085">
        <w:rPr>
          <w:sz w:val="28"/>
          <w:szCs w:val="28"/>
        </w:rPr>
        <w:t xml:space="preserve"> to determine where to put the notice other than the website</w:t>
      </w:r>
      <w:r w:rsidR="00015085">
        <w:rPr>
          <w:sz w:val="28"/>
          <w:szCs w:val="28"/>
        </w:rPr>
        <w:t>, but</w:t>
      </w:r>
      <w:r w:rsidR="00A61832" w:rsidRPr="00015085">
        <w:rPr>
          <w:sz w:val="28"/>
          <w:szCs w:val="28"/>
        </w:rPr>
        <w:t xml:space="preserve"> no final determination was made at the time of the site visit</w:t>
      </w:r>
      <w:r w:rsidR="00664E30" w:rsidRPr="00015085">
        <w:rPr>
          <w:sz w:val="28"/>
          <w:szCs w:val="28"/>
        </w:rPr>
        <w:t xml:space="preserve">. </w:t>
      </w:r>
    </w:p>
    <w:p w:rsidR="003A78A3" w:rsidRDefault="003A78A3">
      <w:pPr>
        <w:spacing w:line="360" w:lineRule="auto"/>
        <w:rPr>
          <w:sz w:val="28"/>
          <w:szCs w:val="28"/>
        </w:rPr>
      </w:pPr>
    </w:p>
    <w:p w:rsidR="00085F3E" w:rsidRDefault="00015085" w:rsidP="00AD0841">
      <w:pPr>
        <w:spacing w:line="360" w:lineRule="auto"/>
        <w:rPr>
          <w:bCs/>
          <w:sz w:val="28"/>
          <w:szCs w:val="28"/>
        </w:rPr>
      </w:pPr>
      <w:r w:rsidRPr="00015085">
        <w:rPr>
          <w:bCs/>
          <w:sz w:val="28"/>
          <w:szCs w:val="28"/>
        </w:rPr>
        <w:t xml:space="preserve">Following the site visit, </w:t>
      </w:r>
      <w:r>
        <w:rPr>
          <w:bCs/>
          <w:sz w:val="28"/>
          <w:szCs w:val="28"/>
        </w:rPr>
        <w:t>HDOT provided a revised Notice to Beneficiaries that contained all the required elements</w:t>
      </w:r>
      <w:r w:rsidR="00430E1C">
        <w:rPr>
          <w:bCs/>
          <w:sz w:val="28"/>
          <w:szCs w:val="28"/>
        </w:rPr>
        <w:t xml:space="preserve">. </w:t>
      </w:r>
      <w:r>
        <w:rPr>
          <w:bCs/>
          <w:sz w:val="28"/>
          <w:szCs w:val="28"/>
        </w:rPr>
        <w:t xml:space="preserve"> HDOT indicated that it was disseminating the Notice to Beneficiaries to its counties at the next quarterly meeting.</w:t>
      </w:r>
    </w:p>
    <w:p w:rsidR="00015085" w:rsidRDefault="00015085" w:rsidP="00AD0841">
      <w:pPr>
        <w:spacing w:line="360" w:lineRule="auto"/>
        <w:rPr>
          <w:bCs/>
          <w:sz w:val="28"/>
          <w:szCs w:val="28"/>
        </w:rPr>
      </w:pPr>
    </w:p>
    <w:p w:rsidR="00015085" w:rsidRPr="00015085" w:rsidRDefault="00015085" w:rsidP="00AD0841">
      <w:pPr>
        <w:spacing w:line="360" w:lineRule="auto"/>
        <w:rPr>
          <w:bCs/>
          <w:sz w:val="28"/>
          <w:szCs w:val="28"/>
        </w:rPr>
      </w:pPr>
      <w:r>
        <w:rPr>
          <w:bCs/>
          <w:sz w:val="28"/>
          <w:szCs w:val="28"/>
        </w:rPr>
        <w:t>The deficiencies in this area are now closed.</w:t>
      </w:r>
    </w:p>
    <w:p w:rsidR="00085F3E" w:rsidRPr="00523022" w:rsidRDefault="00085F3E" w:rsidP="00AD0841">
      <w:pPr>
        <w:spacing w:line="360" w:lineRule="auto"/>
        <w:rPr>
          <w:bCs/>
          <w:sz w:val="28"/>
          <w:szCs w:val="28"/>
          <w:highlight w:val="yellow"/>
        </w:rPr>
      </w:pPr>
    </w:p>
    <w:p w:rsidR="00F80A8D" w:rsidRDefault="00F80A8D">
      <w:pPr>
        <w:pStyle w:val="BHLevel2"/>
        <w:spacing w:line="360" w:lineRule="auto"/>
        <w:rPr>
          <w:sz w:val="28"/>
          <w:szCs w:val="28"/>
        </w:rPr>
      </w:pPr>
      <w:bookmarkStart w:id="18" w:name="_Toc272221042"/>
      <w:r>
        <w:rPr>
          <w:sz w:val="28"/>
          <w:szCs w:val="28"/>
        </w:rPr>
        <w:t>Annual Title VI Certification and Assurance</w:t>
      </w:r>
      <w:bookmarkEnd w:id="18"/>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color w:val="0000FF"/>
          <w:sz w:val="28"/>
          <w:szCs w:val="28"/>
        </w:rPr>
      </w:pPr>
      <w:r>
        <w:rPr>
          <w:b/>
          <w:sz w:val="28"/>
          <w:szCs w:val="28"/>
        </w:rPr>
        <w:lastRenderedPageBreak/>
        <w:t>Findings:</w:t>
      </w:r>
      <w:r>
        <w:rPr>
          <w:sz w:val="28"/>
          <w:szCs w:val="28"/>
        </w:rPr>
        <w:t xml:space="preserve"> During this Title VI Compliance Review of </w:t>
      </w:r>
      <w:r w:rsidR="00B60A72">
        <w:rPr>
          <w:sz w:val="28"/>
          <w:szCs w:val="28"/>
        </w:rPr>
        <w:t>HDOT</w:t>
      </w:r>
      <w:r>
        <w:rPr>
          <w:sz w:val="28"/>
          <w:szCs w:val="28"/>
        </w:rPr>
        <w:t xml:space="preserve">, no deficiencies were found regarding </w:t>
      </w:r>
      <w:r w:rsidR="00B60A72">
        <w:rPr>
          <w:sz w:val="28"/>
          <w:szCs w:val="28"/>
        </w:rPr>
        <w:t>HDOT</w:t>
      </w:r>
      <w:r>
        <w:rPr>
          <w:sz w:val="28"/>
          <w:szCs w:val="28"/>
        </w:rPr>
        <w:t xml:space="preserve">’s compliance with FTA requirements for Annual Title VI Certification and Assurance.  The FTA Civil Rights Assurance is incorporated in the Annual Certifications and Assurances submitted annually to FTA through the Transportation Electronic Award and Management (TEAM) system.  </w:t>
      </w:r>
      <w:r w:rsidR="00B60A72">
        <w:rPr>
          <w:sz w:val="28"/>
          <w:szCs w:val="28"/>
        </w:rPr>
        <w:t>HDOT</w:t>
      </w:r>
      <w:r w:rsidR="00541B4B">
        <w:rPr>
          <w:sz w:val="28"/>
          <w:szCs w:val="28"/>
        </w:rPr>
        <w:t xml:space="preserve"> executed its </w:t>
      </w:r>
      <w:r w:rsidR="00541B4B" w:rsidRPr="00AF7BCD">
        <w:rPr>
          <w:sz w:val="28"/>
          <w:szCs w:val="28"/>
        </w:rPr>
        <w:t>FY 2010</w:t>
      </w:r>
      <w:r>
        <w:rPr>
          <w:sz w:val="28"/>
          <w:szCs w:val="28"/>
        </w:rPr>
        <w:t xml:space="preserve"> Annual Certifications and A</w:t>
      </w:r>
      <w:r w:rsidR="00541B4B">
        <w:rPr>
          <w:sz w:val="28"/>
          <w:szCs w:val="28"/>
        </w:rPr>
        <w:t xml:space="preserve">ssurances in TEAM on </w:t>
      </w:r>
      <w:r w:rsidR="00541B4B" w:rsidRPr="00634B82">
        <w:rPr>
          <w:sz w:val="28"/>
          <w:szCs w:val="28"/>
        </w:rPr>
        <w:t xml:space="preserve">November </w:t>
      </w:r>
      <w:r w:rsidR="00D46449" w:rsidRPr="00634B82">
        <w:rPr>
          <w:sz w:val="28"/>
          <w:szCs w:val="28"/>
        </w:rPr>
        <w:t>25</w:t>
      </w:r>
      <w:r w:rsidR="00541B4B" w:rsidRPr="00634B82">
        <w:rPr>
          <w:sz w:val="28"/>
          <w:szCs w:val="28"/>
        </w:rPr>
        <w:t>, 2009</w:t>
      </w:r>
      <w:r>
        <w:rPr>
          <w:sz w:val="28"/>
          <w:szCs w:val="28"/>
        </w:rPr>
        <w:t xml:space="preserve">.  </w:t>
      </w:r>
      <w:r w:rsidR="00B60A72">
        <w:rPr>
          <w:sz w:val="28"/>
          <w:szCs w:val="28"/>
        </w:rPr>
        <w:t>HDOT</w:t>
      </w:r>
      <w:r>
        <w:rPr>
          <w:sz w:val="28"/>
          <w:szCs w:val="28"/>
        </w:rPr>
        <w:t xml:space="preserve"> checked as applicable, </w:t>
      </w:r>
      <w:r>
        <w:rPr>
          <w:i/>
          <w:iCs/>
          <w:sz w:val="28"/>
          <w:szCs w:val="28"/>
        </w:rPr>
        <w:t>01 Assurances Required For Each Applicant</w:t>
      </w:r>
      <w:r>
        <w:rPr>
          <w:sz w:val="28"/>
          <w:szCs w:val="28"/>
        </w:rPr>
        <w:t xml:space="preserve">.  This is the category where the nondiscrimination assurance is located. </w:t>
      </w:r>
      <w:r w:rsidR="00A60F6D">
        <w:rPr>
          <w:sz w:val="28"/>
          <w:szCs w:val="28"/>
        </w:rPr>
        <w:t xml:space="preserve"> It was noted that the hard copy file of the Annual Certifications and Assurances was dated November 12, 2009.</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9" w:name="_Toc272221043"/>
      <w:r>
        <w:rPr>
          <w:sz w:val="28"/>
          <w:szCs w:val="28"/>
        </w:rPr>
        <w:t>Environmental Justice Analysis of Construction Projects</w:t>
      </w:r>
      <w:bookmarkEnd w:id="19"/>
    </w:p>
    <w:p w:rsidR="00F80A8D" w:rsidRDefault="00F80A8D">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C378C2" w:rsidRDefault="00F80A8D">
      <w:pPr>
        <w:spacing w:line="360" w:lineRule="auto"/>
        <w:rPr>
          <w:sz w:val="28"/>
          <w:szCs w:val="28"/>
        </w:rPr>
      </w:pPr>
      <w:r>
        <w:rPr>
          <w:b/>
          <w:sz w:val="28"/>
          <w:szCs w:val="28"/>
        </w:rPr>
        <w:t>Findings:</w:t>
      </w:r>
      <w:r>
        <w:rPr>
          <w:sz w:val="28"/>
          <w:szCs w:val="28"/>
        </w:rPr>
        <w:t xml:space="preserve"> During this Title VI Compliance Review of </w:t>
      </w:r>
      <w:r w:rsidR="00B60A72">
        <w:rPr>
          <w:sz w:val="28"/>
          <w:szCs w:val="28"/>
        </w:rPr>
        <w:t>HDOT</w:t>
      </w:r>
      <w:r>
        <w:rPr>
          <w:sz w:val="28"/>
          <w:szCs w:val="28"/>
        </w:rPr>
        <w:t xml:space="preserve">, </w:t>
      </w:r>
      <w:r w:rsidR="00913B7A">
        <w:rPr>
          <w:sz w:val="28"/>
          <w:szCs w:val="28"/>
        </w:rPr>
        <w:t>deficiencies were found</w:t>
      </w:r>
      <w:r w:rsidR="003A78A3">
        <w:rPr>
          <w:sz w:val="28"/>
          <w:szCs w:val="28"/>
        </w:rPr>
        <w:t xml:space="preserve"> </w:t>
      </w:r>
      <w:r>
        <w:rPr>
          <w:sz w:val="28"/>
          <w:szCs w:val="28"/>
        </w:rPr>
        <w:t xml:space="preserve">regarding </w:t>
      </w:r>
      <w:r w:rsidR="00B60A72">
        <w:rPr>
          <w:sz w:val="28"/>
          <w:szCs w:val="28"/>
        </w:rPr>
        <w:t>HDOT</w:t>
      </w:r>
      <w:r>
        <w:rPr>
          <w:sz w:val="28"/>
          <w:szCs w:val="28"/>
        </w:rPr>
        <w:t xml:space="preserve">’s compliance with FTA guidance for Environmental Justice (EJ) Analyses of Construction Projects.  </w:t>
      </w:r>
      <w:r w:rsidR="00622C18">
        <w:rPr>
          <w:sz w:val="28"/>
          <w:szCs w:val="28"/>
        </w:rPr>
        <w:t xml:space="preserve">  </w:t>
      </w:r>
      <w:r w:rsidR="008330FB">
        <w:rPr>
          <w:sz w:val="28"/>
          <w:szCs w:val="28"/>
        </w:rPr>
        <w:t>HDOT did not provide documentation that it had been integrating environmental justice analyses in its FTA-funded construction projects.</w:t>
      </w:r>
    </w:p>
    <w:p w:rsidR="00C378C2" w:rsidRDefault="008330FB">
      <w:pPr>
        <w:spacing w:line="360" w:lineRule="auto"/>
        <w:rPr>
          <w:sz w:val="28"/>
          <w:szCs w:val="28"/>
        </w:rPr>
      </w:pPr>
      <w:r>
        <w:rPr>
          <w:sz w:val="28"/>
          <w:szCs w:val="28"/>
        </w:rPr>
        <w:t xml:space="preserve"> </w:t>
      </w:r>
    </w:p>
    <w:p w:rsidR="002235F3" w:rsidRDefault="008330FB">
      <w:pPr>
        <w:spacing w:line="360" w:lineRule="auto"/>
        <w:rPr>
          <w:sz w:val="28"/>
          <w:szCs w:val="28"/>
        </w:rPr>
      </w:pPr>
      <w:r>
        <w:rPr>
          <w:sz w:val="28"/>
          <w:szCs w:val="28"/>
        </w:rPr>
        <w:t xml:space="preserve">Prior to the site visit, </w:t>
      </w:r>
      <w:r w:rsidR="006D4F26">
        <w:rPr>
          <w:sz w:val="28"/>
          <w:szCs w:val="28"/>
        </w:rPr>
        <w:t xml:space="preserve">HDOT </w:t>
      </w:r>
      <w:r w:rsidR="00FD68FC">
        <w:rPr>
          <w:sz w:val="28"/>
          <w:szCs w:val="28"/>
        </w:rPr>
        <w:t xml:space="preserve">provided </w:t>
      </w:r>
      <w:r>
        <w:rPr>
          <w:sz w:val="28"/>
          <w:szCs w:val="28"/>
        </w:rPr>
        <w:t>E</w:t>
      </w:r>
      <w:r w:rsidR="00FD68FC">
        <w:rPr>
          <w:sz w:val="28"/>
          <w:szCs w:val="28"/>
        </w:rPr>
        <w:t xml:space="preserve">nvironmental </w:t>
      </w:r>
      <w:r>
        <w:rPr>
          <w:sz w:val="28"/>
          <w:szCs w:val="28"/>
        </w:rPr>
        <w:t xml:space="preserve">Assessment (EA) </w:t>
      </w:r>
      <w:r w:rsidR="00FD68FC">
        <w:rPr>
          <w:sz w:val="28"/>
          <w:szCs w:val="28"/>
        </w:rPr>
        <w:t xml:space="preserve">documents for </w:t>
      </w:r>
      <w:r>
        <w:rPr>
          <w:sz w:val="28"/>
          <w:szCs w:val="28"/>
        </w:rPr>
        <w:t xml:space="preserve">two </w:t>
      </w:r>
      <w:r w:rsidR="00FD68FC">
        <w:rPr>
          <w:sz w:val="28"/>
          <w:szCs w:val="28"/>
        </w:rPr>
        <w:t>FTA</w:t>
      </w:r>
      <w:r>
        <w:rPr>
          <w:sz w:val="28"/>
          <w:szCs w:val="28"/>
        </w:rPr>
        <w:t>-funded</w:t>
      </w:r>
      <w:r w:rsidR="00FD68FC">
        <w:rPr>
          <w:sz w:val="28"/>
          <w:szCs w:val="28"/>
        </w:rPr>
        <w:t xml:space="preserve"> </w:t>
      </w:r>
      <w:r>
        <w:rPr>
          <w:sz w:val="28"/>
          <w:szCs w:val="28"/>
        </w:rPr>
        <w:t xml:space="preserve">Section 5309 </w:t>
      </w:r>
      <w:r w:rsidR="00FD68FC">
        <w:rPr>
          <w:sz w:val="28"/>
          <w:szCs w:val="28"/>
        </w:rPr>
        <w:t xml:space="preserve">projects: the EA for the </w:t>
      </w:r>
      <w:proofErr w:type="spellStart"/>
      <w:r w:rsidR="00FD68FC">
        <w:rPr>
          <w:sz w:val="28"/>
          <w:szCs w:val="28"/>
        </w:rPr>
        <w:t>Lahaina</w:t>
      </w:r>
      <w:proofErr w:type="spellEnd"/>
      <w:r w:rsidR="00FD68FC">
        <w:rPr>
          <w:sz w:val="28"/>
          <w:szCs w:val="28"/>
        </w:rPr>
        <w:t xml:space="preserve"> </w:t>
      </w:r>
      <w:r w:rsidR="00FD68FC">
        <w:rPr>
          <w:sz w:val="28"/>
          <w:szCs w:val="28"/>
        </w:rPr>
        <w:lastRenderedPageBreak/>
        <w:t xml:space="preserve">Small Boat Harbor Comfort Station Improvements and the EA for the </w:t>
      </w:r>
      <w:proofErr w:type="spellStart"/>
      <w:r w:rsidR="00FD68FC">
        <w:rPr>
          <w:sz w:val="28"/>
          <w:szCs w:val="28"/>
        </w:rPr>
        <w:t>Manele</w:t>
      </w:r>
      <w:proofErr w:type="spellEnd"/>
      <w:r w:rsidR="00FD68FC">
        <w:rPr>
          <w:sz w:val="28"/>
          <w:szCs w:val="28"/>
        </w:rPr>
        <w:t xml:space="preserve"> Small Boat Harbor Ferry System Improvements</w:t>
      </w:r>
      <w:r w:rsidR="002235F3">
        <w:rPr>
          <w:sz w:val="28"/>
          <w:szCs w:val="28"/>
        </w:rPr>
        <w:t>.</w:t>
      </w:r>
      <w:r w:rsidR="00C378C2">
        <w:rPr>
          <w:sz w:val="28"/>
          <w:szCs w:val="28"/>
        </w:rPr>
        <w:t xml:space="preserve">  </w:t>
      </w:r>
      <w:r w:rsidR="00FD68FC" w:rsidRPr="00852FA1">
        <w:rPr>
          <w:sz w:val="28"/>
          <w:szCs w:val="28"/>
        </w:rPr>
        <w:t xml:space="preserve">Analyses for both of these projects were completed in 2006, prior to the period of study of this Compliance Review.  While both of these Analyses were completed prior to the issuance of FTA Circular 4702.1A, </w:t>
      </w:r>
      <w:r w:rsidR="002235F3" w:rsidRPr="00852FA1">
        <w:rPr>
          <w:sz w:val="28"/>
          <w:szCs w:val="28"/>
        </w:rPr>
        <w:t xml:space="preserve">it is important to note that the EA that was performed did not meet the requirements for Title VI.  </w:t>
      </w:r>
      <w:r w:rsidR="00852FA1">
        <w:rPr>
          <w:sz w:val="28"/>
          <w:szCs w:val="28"/>
        </w:rPr>
        <w:t xml:space="preserve">There was no consideration of the minority and low income population in the areas; and no </w:t>
      </w:r>
      <w:r w:rsidR="009A3C70">
        <w:rPr>
          <w:sz w:val="28"/>
          <w:szCs w:val="28"/>
        </w:rPr>
        <w:t xml:space="preserve">discussion in the EA about </w:t>
      </w:r>
      <w:r w:rsidR="00852FA1">
        <w:rPr>
          <w:sz w:val="28"/>
          <w:szCs w:val="28"/>
        </w:rPr>
        <w:t xml:space="preserve">adverse affects </w:t>
      </w:r>
      <w:r w:rsidR="009A3C70">
        <w:rPr>
          <w:sz w:val="28"/>
          <w:szCs w:val="28"/>
        </w:rPr>
        <w:t xml:space="preserve">on </w:t>
      </w:r>
      <w:r w:rsidR="00852FA1">
        <w:rPr>
          <w:sz w:val="28"/>
          <w:szCs w:val="28"/>
        </w:rPr>
        <w:t>minority and low income populations, as recommended by FTA.</w:t>
      </w:r>
    </w:p>
    <w:p w:rsidR="00C378C2" w:rsidRDefault="00C378C2">
      <w:pPr>
        <w:spacing w:line="360" w:lineRule="auto"/>
        <w:rPr>
          <w:sz w:val="28"/>
          <w:szCs w:val="28"/>
        </w:rPr>
      </w:pPr>
    </w:p>
    <w:p w:rsidR="00C378C2" w:rsidRDefault="00430E1C" w:rsidP="00C378C2">
      <w:pPr>
        <w:spacing w:line="360" w:lineRule="auto"/>
        <w:rPr>
          <w:sz w:val="28"/>
          <w:szCs w:val="28"/>
        </w:rPr>
      </w:pPr>
      <w:r>
        <w:rPr>
          <w:sz w:val="28"/>
          <w:szCs w:val="28"/>
        </w:rPr>
        <w:t>P</w:t>
      </w:r>
      <w:r w:rsidR="00C378C2" w:rsidRPr="00C378C2">
        <w:rPr>
          <w:sz w:val="28"/>
          <w:szCs w:val="28"/>
        </w:rPr>
        <w:t xml:space="preserve">rior to the site visit, </w:t>
      </w:r>
      <w:r>
        <w:rPr>
          <w:sz w:val="28"/>
          <w:szCs w:val="28"/>
        </w:rPr>
        <w:t>in response to the request for</w:t>
      </w:r>
      <w:r w:rsidRPr="00430E1C">
        <w:rPr>
          <w:rFonts w:ascii="Arial" w:hAnsi="Arial" w:cs="Arial"/>
          <w:sz w:val="22"/>
          <w:szCs w:val="22"/>
        </w:rPr>
        <w:t xml:space="preserve"> </w:t>
      </w:r>
      <w:r>
        <w:rPr>
          <w:rFonts w:ascii="Arial" w:hAnsi="Arial" w:cs="Arial"/>
          <w:sz w:val="22"/>
          <w:szCs w:val="22"/>
        </w:rPr>
        <w:t>c</w:t>
      </w:r>
      <w:r w:rsidRPr="00430E1C">
        <w:rPr>
          <w:sz w:val="28"/>
          <w:szCs w:val="28"/>
        </w:rPr>
        <w:t>opies of any environmental justice assessments conducted for construction projects during the past three years</w:t>
      </w:r>
      <w:r>
        <w:rPr>
          <w:sz w:val="28"/>
          <w:szCs w:val="28"/>
        </w:rPr>
        <w:t xml:space="preserve">, </w:t>
      </w:r>
      <w:r w:rsidR="00C378C2" w:rsidRPr="00C378C2">
        <w:rPr>
          <w:sz w:val="28"/>
          <w:szCs w:val="28"/>
        </w:rPr>
        <w:t>HDOT indicated the following in its submittal to the Review team:</w:t>
      </w:r>
    </w:p>
    <w:p w:rsidR="00430E1C" w:rsidRPr="00C378C2" w:rsidRDefault="00430E1C" w:rsidP="00C378C2">
      <w:pPr>
        <w:spacing w:line="360" w:lineRule="auto"/>
        <w:rPr>
          <w:sz w:val="28"/>
          <w:szCs w:val="28"/>
        </w:rPr>
      </w:pPr>
    </w:p>
    <w:p w:rsidR="00C378C2" w:rsidRPr="00C378C2" w:rsidRDefault="00C378C2" w:rsidP="00C378C2">
      <w:pPr>
        <w:autoSpaceDE w:val="0"/>
        <w:autoSpaceDN w:val="0"/>
        <w:adjustRightInd w:val="0"/>
        <w:ind w:left="360" w:right="450"/>
        <w:jc w:val="both"/>
        <w:rPr>
          <w:i/>
          <w:sz w:val="28"/>
          <w:szCs w:val="28"/>
        </w:rPr>
      </w:pPr>
      <w:r w:rsidRPr="00C378C2">
        <w:rPr>
          <w:i/>
          <w:sz w:val="28"/>
          <w:szCs w:val="28"/>
        </w:rPr>
        <w:t>All three County Transit Agencies; Kauai, Hawaii, Maui were asked this question and answered in the negative. Bus stop construction, improvement, transit center construction, base yard improvements, construction within the last three years did not require a NEPA or Hawaii EIS law environmental document.</w:t>
      </w:r>
    </w:p>
    <w:p w:rsidR="00C378C2" w:rsidRPr="00852FA1" w:rsidRDefault="00C378C2">
      <w:pPr>
        <w:spacing w:line="360" w:lineRule="auto"/>
        <w:rPr>
          <w:sz w:val="28"/>
          <w:szCs w:val="28"/>
        </w:rPr>
      </w:pPr>
    </w:p>
    <w:p w:rsidR="002235F3" w:rsidRPr="00852FA1" w:rsidRDefault="002235F3">
      <w:pPr>
        <w:spacing w:line="360" w:lineRule="auto"/>
        <w:rPr>
          <w:sz w:val="28"/>
          <w:szCs w:val="28"/>
        </w:rPr>
      </w:pPr>
    </w:p>
    <w:p w:rsidR="006D4F26" w:rsidRDefault="00E03A36">
      <w:pPr>
        <w:spacing w:line="360" w:lineRule="auto"/>
        <w:rPr>
          <w:sz w:val="28"/>
          <w:szCs w:val="28"/>
        </w:rPr>
      </w:pPr>
      <w:r>
        <w:rPr>
          <w:sz w:val="28"/>
          <w:szCs w:val="28"/>
        </w:rPr>
        <w:t>The Review team identified</w:t>
      </w:r>
      <w:r w:rsidR="00852FA1">
        <w:rPr>
          <w:sz w:val="28"/>
          <w:szCs w:val="28"/>
        </w:rPr>
        <w:t xml:space="preserve"> a</w:t>
      </w:r>
      <w:r w:rsidR="00FD68FC" w:rsidRPr="00852FA1">
        <w:rPr>
          <w:sz w:val="28"/>
          <w:szCs w:val="28"/>
        </w:rPr>
        <w:t xml:space="preserve"> </w:t>
      </w:r>
      <w:r w:rsidR="002235F3" w:rsidRPr="00852FA1">
        <w:rPr>
          <w:sz w:val="28"/>
          <w:szCs w:val="28"/>
        </w:rPr>
        <w:t xml:space="preserve">construction </w:t>
      </w:r>
      <w:r w:rsidR="00852FA1">
        <w:rPr>
          <w:sz w:val="28"/>
          <w:szCs w:val="28"/>
        </w:rPr>
        <w:t>project</w:t>
      </w:r>
      <w:r w:rsidR="00FD68FC" w:rsidRPr="00852FA1">
        <w:rPr>
          <w:sz w:val="28"/>
          <w:szCs w:val="28"/>
        </w:rPr>
        <w:t xml:space="preserve"> reported in TEAM </w:t>
      </w:r>
      <w:r w:rsidR="002235F3" w:rsidRPr="00852FA1">
        <w:rPr>
          <w:sz w:val="28"/>
          <w:szCs w:val="28"/>
        </w:rPr>
        <w:t>that did not contain the appropriate construction analysis as required by the Circular</w:t>
      </w:r>
      <w:r w:rsidR="00FD68FC" w:rsidRPr="00852FA1">
        <w:rPr>
          <w:sz w:val="28"/>
          <w:szCs w:val="28"/>
        </w:rPr>
        <w:t>.</w:t>
      </w:r>
      <w:r w:rsidR="00852FA1">
        <w:rPr>
          <w:sz w:val="28"/>
          <w:szCs w:val="28"/>
        </w:rPr>
        <w:t xml:space="preserve">  Kauai County constructed a new bus storage and maintenance facilit</w:t>
      </w:r>
      <w:r>
        <w:rPr>
          <w:sz w:val="28"/>
          <w:szCs w:val="28"/>
        </w:rPr>
        <w:t>y</w:t>
      </w:r>
      <w:r w:rsidR="00852FA1">
        <w:rPr>
          <w:sz w:val="28"/>
          <w:szCs w:val="28"/>
        </w:rPr>
        <w:t xml:space="preserve"> using 5309 funds.  HDOT requested a Categorical Exclusion </w:t>
      </w:r>
      <w:r w:rsidR="006F00F4">
        <w:rPr>
          <w:sz w:val="28"/>
          <w:szCs w:val="28"/>
        </w:rPr>
        <w:t xml:space="preserve">(CE) </w:t>
      </w:r>
      <w:r w:rsidR="00852FA1">
        <w:rPr>
          <w:sz w:val="28"/>
          <w:szCs w:val="28"/>
        </w:rPr>
        <w:t>under 23 CFR 771.117 (d</w:t>
      </w:r>
      <w:proofErr w:type="gramStart"/>
      <w:r w:rsidR="00852FA1">
        <w:rPr>
          <w:sz w:val="28"/>
          <w:szCs w:val="28"/>
        </w:rPr>
        <w:t>)(</w:t>
      </w:r>
      <w:proofErr w:type="gramEnd"/>
      <w:r w:rsidR="00852FA1">
        <w:rPr>
          <w:sz w:val="28"/>
          <w:szCs w:val="28"/>
        </w:rPr>
        <w:t xml:space="preserve">8), however, there was no documentation </w:t>
      </w:r>
      <w:r w:rsidR="006F00F4">
        <w:rPr>
          <w:sz w:val="28"/>
          <w:szCs w:val="28"/>
        </w:rPr>
        <w:t xml:space="preserve">that the FTA’s standard CE checklist was completed or submitted.  </w:t>
      </w:r>
    </w:p>
    <w:p w:rsidR="006D4F26" w:rsidRDefault="006D4F26">
      <w:pPr>
        <w:spacing w:line="360" w:lineRule="auto"/>
        <w:rPr>
          <w:sz w:val="28"/>
          <w:szCs w:val="28"/>
        </w:rPr>
      </w:pPr>
    </w:p>
    <w:p w:rsidR="00931BC1" w:rsidRDefault="00B60A72" w:rsidP="00D73550">
      <w:pPr>
        <w:spacing w:line="360" w:lineRule="auto"/>
        <w:rPr>
          <w:sz w:val="28"/>
          <w:szCs w:val="28"/>
        </w:rPr>
      </w:pPr>
      <w:r w:rsidRPr="00430E1C">
        <w:rPr>
          <w:sz w:val="28"/>
          <w:szCs w:val="28"/>
        </w:rPr>
        <w:lastRenderedPageBreak/>
        <w:t>HDOT</w:t>
      </w:r>
      <w:r w:rsidR="00931BC1" w:rsidRPr="00430E1C">
        <w:rPr>
          <w:sz w:val="28"/>
          <w:szCs w:val="28"/>
        </w:rPr>
        <w:t xml:space="preserve"> </w:t>
      </w:r>
      <w:r w:rsidR="00430E1C">
        <w:rPr>
          <w:sz w:val="28"/>
          <w:szCs w:val="28"/>
        </w:rPr>
        <w:t>was</w:t>
      </w:r>
      <w:r w:rsidR="00931BC1" w:rsidRPr="00430E1C">
        <w:rPr>
          <w:sz w:val="28"/>
          <w:szCs w:val="28"/>
        </w:rPr>
        <w:t xml:space="preserve"> advised that the current requirements for an EJ analysis have been revised with the issuance of FTA Circular 4702.1A.  These requirements are noted below:</w:t>
      </w:r>
      <w:r w:rsidR="00931BC1">
        <w:rPr>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478"/>
      </w:tblGrid>
      <w:tr w:rsidR="00931BC1" w:rsidTr="00931BC1">
        <w:trPr>
          <w:tblHeader/>
          <w:jc w:val="center"/>
        </w:trPr>
        <w:tc>
          <w:tcPr>
            <w:tcW w:w="8478" w:type="dxa"/>
          </w:tcPr>
          <w:p w:rsidR="00931BC1" w:rsidRPr="00B6298D" w:rsidRDefault="00931BC1" w:rsidP="005E03C5">
            <w:pPr>
              <w:rPr>
                <w:b/>
                <w:bCs/>
                <w:sz w:val="24"/>
                <w:szCs w:val="24"/>
              </w:rPr>
            </w:pPr>
            <w:r>
              <w:rPr>
                <w:b/>
                <w:bCs/>
                <w:sz w:val="28"/>
                <w:szCs w:val="28"/>
              </w:rPr>
              <w:br w:type="page"/>
            </w:r>
            <w:r w:rsidRPr="00B6298D">
              <w:rPr>
                <w:b/>
                <w:bCs/>
                <w:sz w:val="24"/>
                <w:szCs w:val="24"/>
              </w:rPr>
              <w:t>Elements Required in Environmental Justice Analysis of Construction Projects</w:t>
            </w:r>
          </w:p>
          <w:p w:rsidR="00931BC1" w:rsidRDefault="00931BC1" w:rsidP="005E03C5">
            <w:pPr>
              <w:rPr>
                <w:b/>
                <w:bCs/>
                <w:sz w:val="22"/>
                <w:szCs w:val="28"/>
              </w:rPr>
            </w:pPr>
            <w:r w:rsidRPr="00B6298D">
              <w:rPr>
                <w:b/>
                <w:bCs/>
                <w:sz w:val="24"/>
                <w:szCs w:val="24"/>
              </w:rPr>
              <w:t>(Per FTA Circular 4702.1A Chapter IV, 8a-f)</w:t>
            </w:r>
          </w:p>
        </w:tc>
      </w:tr>
      <w:tr w:rsidR="00931BC1" w:rsidTr="00931BC1">
        <w:trPr>
          <w:jc w:val="center"/>
        </w:trPr>
        <w:tc>
          <w:tcPr>
            <w:tcW w:w="8478" w:type="dxa"/>
          </w:tcPr>
          <w:p w:rsidR="00931BC1" w:rsidRPr="00B6298D" w:rsidRDefault="00931BC1" w:rsidP="0064099D">
            <w:pPr>
              <w:numPr>
                <w:ilvl w:val="0"/>
                <w:numId w:val="20"/>
              </w:numPr>
            </w:pPr>
            <w:r w:rsidRPr="00B6298D">
              <w:t>A description of the low-income and minority population within the study area affected by the project, and a discussion of the method used to identify this population</w:t>
            </w:r>
          </w:p>
        </w:tc>
      </w:tr>
      <w:tr w:rsidR="00931BC1" w:rsidTr="00931BC1">
        <w:trPr>
          <w:trHeight w:val="845"/>
          <w:jc w:val="center"/>
        </w:trPr>
        <w:tc>
          <w:tcPr>
            <w:tcW w:w="8478" w:type="dxa"/>
          </w:tcPr>
          <w:p w:rsidR="00931BC1" w:rsidRPr="00B6298D" w:rsidRDefault="00931BC1" w:rsidP="002235F3">
            <w:pPr>
              <w:pStyle w:val="Outlinea"/>
              <w:numPr>
                <w:ilvl w:val="0"/>
                <w:numId w:val="20"/>
              </w:numPr>
              <w:spacing w:after="0"/>
              <w:rPr>
                <w:sz w:val="20"/>
              </w:rPr>
            </w:pPr>
            <w:r w:rsidRPr="00B6298D">
              <w:rPr>
                <w:sz w:val="20"/>
              </w:rPr>
              <w:t>A discussion of all adverse effects of the project both during and after construction that would affect the identified minority and low-income population.</w:t>
            </w:r>
          </w:p>
        </w:tc>
      </w:tr>
      <w:tr w:rsidR="00931BC1" w:rsidTr="00931BC1">
        <w:trPr>
          <w:jc w:val="center"/>
        </w:trPr>
        <w:tc>
          <w:tcPr>
            <w:tcW w:w="8478" w:type="dxa"/>
          </w:tcPr>
          <w:p w:rsidR="00931BC1" w:rsidRPr="00B6298D" w:rsidRDefault="00931BC1" w:rsidP="0064099D">
            <w:pPr>
              <w:numPr>
                <w:ilvl w:val="0"/>
                <w:numId w:val="20"/>
              </w:numPr>
            </w:pPr>
            <w:r w:rsidRPr="00B6298D">
              <w:t>A discussion of all positive effects that would affect the identified minority and low-income population, such as an improvement in transit service, mobility, or accessibility.</w:t>
            </w:r>
          </w:p>
        </w:tc>
      </w:tr>
      <w:tr w:rsidR="00931BC1" w:rsidTr="00931BC1">
        <w:trPr>
          <w:jc w:val="center"/>
        </w:trPr>
        <w:tc>
          <w:tcPr>
            <w:tcW w:w="8478" w:type="dxa"/>
          </w:tcPr>
          <w:p w:rsidR="00931BC1" w:rsidRPr="00B6298D" w:rsidRDefault="00931BC1" w:rsidP="0064099D">
            <w:pPr>
              <w:numPr>
                <w:ilvl w:val="0"/>
                <w:numId w:val="20"/>
              </w:numPr>
            </w:pPr>
            <w:r w:rsidRPr="00B6298D">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931BC1" w:rsidTr="00931BC1">
        <w:trPr>
          <w:jc w:val="center"/>
        </w:trPr>
        <w:tc>
          <w:tcPr>
            <w:tcW w:w="8478" w:type="dxa"/>
          </w:tcPr>
          <w:p w:rsidR="00931BC1" w:rsidRPr="00B6298D" w:rsidRDefault="00931BC1" w:rsidP="0064099D">
            <w:pPr>
              <w:numPr>
                <w:ilvl w:val="0"/>
                <w:numId w:val="20"/>
              </w:numPr>
            </w:pPr>
            <w:r w:rsidRPr="00B6298D">
              <w:t>A discussion of the remaining effects, if any, and why further mitigation is not proposed.</w:t>
            </w:r>
          </w:p>
        </w:tc>
      </w:tr>
      <w:tr w:rsidR="00931BC1" w:rsidTr="00931BC1">
        <w:trPr>
          <w:jc w:val="center"/>
        </w:trPr>
        <w:tc>
          <w:tcPr>
            <w:tcW w:w="8478" w:type="dxa"/>
          </w:tcPr>
          <w:p w:rsidR="00931BC1" w:rsidRPr="00B6298D" w:rsidRDefault="00931BC1" w:rsidP="0064099D">
            <w:pPr>
              <w:numPr>
                <w:ilvl w:val="0"/>
                <w:numId w:val="20"/>
              </w:numPr>
            </w:pPr>
            <w:r w:rsidRPr="00B6298D">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F80A8D" w:rsidRDefault="00F80A8D">
      <w:pPr>
        <w:spacing w:line="360" w:lineRule="auto"/>
        <w:rPr>
          <w:sz w:val="28"/>
          <w:szCs w:val="28"/>
        </w:rPr>
      </w:pPr>
    </w:p>
    <w:p w:rsidR="009F04DF" w:rsidRDefault="00430E1C">
      <w:pPr>
        <w:spacing w:line="360" w:lineRule="auto"/>
        <w:rPr>
          <w:sz w:val="28"/>
          <w:szCs w:val="28"/>
        </w:rPr>
      </w:pPr>
      <w:r w:rsidRPr="00430E1C">
        <w:rPr>
          <w:bCs/>
          <w:sz w:val="28"/>
          <w:szCs w:val="28"/>
        </w:rPr>
        <w:t xml:space="preserve">Following the site visit, </w:t>
      </w:r>
      <w:r>
        <w:rPr>
          <w:bCs/>
          <w:sz w:val="28"/>
          <w:szCs w:val="28"/>
        </w:rPr>
        <w:t>HDOT developed and disseminated to its counties guidance on how to comply with the</w:t>
      </w:r>
      <w:r w:rsidR="00B6298D">
        <w:rPr>
          <w:bCs/>
          <w:sz w:val="28"/>
          <w:szCs w:val="28"/>
        </w:rPr>
        <w:t xml:space="preserve"> requirement to conduct </w:t>
      </w:r>
      <w:r w:rsidR="00B6298D">
        <w:rPr>
          <w:sz w:val="28"/>
          <w:szCs w:val="28"/>
        </w:rPr>
        <w:t>environmental justice analyses for its FTA-funded construction projects. The HDOT Office of Civil Rights conducted a workshop for HDOT department staff, consultants, and subrecipients on the EJ requirements.</w:t>
      </w:r>
    </w:p>
    <w:p w:rsidR="00B6298D" w:rsidRDefault="00B6298D">
      <w:pPr>
        <w:spacing w:line="360" w:lineRule="auto"/>
        <w:rPr>
          <w:sz w:val="28"/>
          <w:szCs w:val="28"/>
        </w:rPr>
      </w:pPr>
    </w:p>
    <w:p w:rsidR="00B6298D" w:rsidRPr="00430E1C" w:rsidRDefault="00B6298D">
      <w:pPr>
        <w:spacing w:line="360" w:lineRule="auto"/>
        <w:rPr>
          <w:sz w:val="28"/>
          <w:szCs w:val="28"/>
        </w:rPr>
      </w:pPr>
      <w:r>
        <w:rPr>
          <w:sz w:val="28"/>
          <w:szCs w:val="28"/>
        </w:rPr>
        <w:t>The deficiencies in this area are now closed.</w:t>
      </w:r>
    </w:p>
    <w:p w:rsidR="006060FA" w:rsidRDefault="006060FA">
      <w:pPr>
        <w:spacing w:line="360" w:lineRule="auto"/>
        <w:rPr>
          <w:sz w:val="28"/>
          <w:szCs w:val="28"/>
        </w:rPr>
      </w:pPr>
    </w:p>
    <w:p w:rsidR="00F80A8D" w:rsidRDefault="00F80A8D">
      <w:pPr>
        <w:pStyle w:val="BHLevel2"/>
        <w:spacing w:line="360" w:lineRule="auto"/>
        <w:rPr>
          <w:sz w:val="28"/>
          <w:szCs w:val="28"/>
        </w:rPr>
      </w:pPr>
      <w:bookmarkStart w:id="20" w:name="_Toc272221044"/>
      <w:r>
        <w:rPr>
          <w:sz w:val="28"/>
          <w:szCs w:val="28"/>
        </w:rPr>
        <w:t>Submit Title VI Program</w:t>
      </w:r>
      <w:bookmarkEnd w:id="20"/>
    </w:p>
    <w:p w:rsidR="00F80A8D" w:rsidRDefault="00F80A8D">
      <w:pPr>
        <w:rPr>
          <w:i/>
          <w:iCs/>
          <w:sz w:val="28"/>
          <w:szCs w:val="28"/>
        </w:rPr>
      </w:pPr>
      <w:r>
        <w:rPr>
          <w:b/>
          <w:sz w:val="28"/>
          <w:szCs w:val="28"/>
        </w:rPr>
        <w:t xml:space="preserve">Requirement:  </w:t>
      </w:r>
      <w:r>
        <w:rPr>
          <w:i/>
          <w:iCs/>
          <w:sz w:val="28"/>
          <w:szCs w:val="28"/>
        </w:rPr>
        <w:t xml:space="preserve">FTA recipients serving large urbanized areas are required to document their compliance with the general reporting requirements by </w:t>
      </w:r>
      <w:r>
        <w:rPr>
          <w:i/>
          <w:iCs/>
          <w:sz w:val="28"/>
          <w:szCs w:val="28"/>
        </w:rPr>
        <w:lastRenderedPageBreak/>
        <w:t>submitting a Title VI Program to FTA’s Regional Civil Rights Officer once every three years.</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B60A72">
        <w:rPr>
          <w:sz w:val="28"/>
          <w:szCs w:val="28"/>
        </w:rPr>
        <w:t>HDOT</w:t>
      </w:r>
      <w:r>
        <w:rPr>
          <w:sz w:val="28"/>
          <w:szCs w:val="28"/>
        </w:rPr>
        <w:t xml:space="preserve">, deficiencies were found regarding </w:t>
      </w:r>
      <w:r w:rsidR="00B60A72">
        <w:rPr>
          <w:sz w:val="28"/>
          <w:szCs w:val="28"/>
        </w:rPr>
        <w:t>HDOT</w:t>
      </w:r>
      <w:r>
        <w:rPr>
          <w:sz w:val="28"/>
          <w:szCs w:val="28"/>
        </w:rPr>
        <w:t xml:space="preserve">’s compliance with FTA requirements to Submit Title VI Program.  </w:t>
      </w:r>
      <w:r w:rsidR="00B60A72">
        <w:rPr>
          <w:sz w:val="28"/>
          <w:szCs w:val="28"/>
        </w:rPr>
        <w:t>HDOT</w:t>
      </w:r>
      <w:r>
        <w:rPr>
          <w:sz w:val="28"/>
          <w:szCs w:val="28"/>
        </w:rPr>
        <w:t xml:space="preserve"> </w:t>
      </w:r>
      <w:r w:rsidR="00F97516">
        <w:rPr>
          <w:sz w:val="28"/>
          <w:szCs w:val="28"/>
        </w:rPr>
        <w:t>submitted a</w:t>
      </w:r>
      <w:r w:rsidR="009371C0">
        <w:rPr>
          <w:sz w:val="28"/>
          <w:szCs w:val="28"/>
        </w:rPr>
        <w:t xml:space="preserve"> </w:t>
      </w:r>
      <w:r w:rsidRPr="009371C0">
        <w:rPr>
          <w:i/>
          <w:sz w:val="28"/>
          <w:szCs w:val="28"/>
        </w:rPr>
        <w:t xml:space="preserve">Title VI </w:t>
      </w:r>
      <w:r w:rsidR="009371C0" w:rsidRPr="009371C0">
        <w:rPr>
          <w:i/>
          <w:sz w:val="28"/>
          <w:szCs w:val="28"/>
        </w:rPr>
        <w:t>Civil Program</w:t>
      </w:r>
      <w:r w:rsidR="006439E4">
        <w:rPr>
          <w:i/>
          <w:sz w:val="28"/>
          <w:szCs w:val="28"/>
        </w:rPr>
        <w:t xml:space="preserve"> Plan</w:t>
      </w:r>
      <w:r w:rsidR="009371C0" w:rsidRPr="009371C0">
        <w:rPr>
          <w:i/>
          <w:sz w:val="28"/>
          <w:szCs w:val="28"/>
        </w:rPr>
        <w:t xml:space="preserve">, </w:t>
      </w:r>
      <w:r w:rsidR="006439E4" w:rsidRPr="006439E4">
        <w:rPr>
          <w:sz w:val="28"/>
          <w:szCs w:val="28"/>
        </w:rPr>
        <w:t>dated</w:t>
      </w:r>
      <w:r w:rsidR="006439E4">
        <w:rPr>
          <w:sz w:val="28"/>
          <w:szCs w:val="28"/>
        </w:rPr>
        <w:t xml:space="preserve"> January 18, 2009</w:t>
      </w:r>
      <w:r w:rsidR="00F33500">
        <w:rPr>
          <w:sz w:val="28"/>
          <w:szCs w:val="28"/>
        </w:rPr>
        <w:t>.</w:t>
      </w:r>
      <w:r>
        <w:rPr>
          <w:sz w:val="28"/>
          <w:szCs w:val="28"/>
        </w:rPr>
        <w:t xml:space="preserve">  </w:t>
      </w:r>
      <w:r w:rsidR="007E3CBB">
        <w:rPr>
          <w:sz w:val="28"/>
          <w:szCs w:val="28"/>
        </w:rPr>
        <w:t xml:space="preserve">Upon review of the document, </w:t>
      </w:r>
      <w:r>
        <w:rPr>
          <w:sz w:val="28"/>
          <w:szCs w:val="28"/>
        </w:rPr>
        <w:t xml:space="preserve">it was determined the Title VI Program submittal </w:t>
      </w:r>
      <w:r w:rsidR="00577C32">
        <w:rPr>
          <w:sz w:val="28"/>
          <w:szCs w:val="28"/>
        </w:rPr>
        <w:t xml:space="preserve">did </w:t>
      </w:r>
      <w:r w:rsidR="007E3CBB">
        <w:rPr>
          <w:sz w:val="28"/>
          <w:szCs w:val="28"/>
        </w:rPr>
        <w:t xml:space="preserve">not </w:t>
      </w:r>
      <w:r>
        <w:rPr>
          <w:sz w:val="28"/>
          <w:szCs w:val="28"/>
        </w:rPr>
        <w:t xml:space="preserve">contain all the elements required by the Circular.  </w:t>
      </w:r>
      <w:r w:rsidR="00D7762B">
        <w:rPr>
          <w:sz w:val="28"/>
          <w:szCs w:val="28"/>
        </w:rPr>
        <w:t>At the site visit, HDOT management confirmed that the Title VI Program that was submitted</w:t>
      </w:r>
      <w:r w:rsidR="00B6298D">
        <w:rPr>
          <w:sz w:val="28"/>
          <w:szCs w:val="28"/>
        </w:rPr>
        <w:t xml:space="preserve"> to FTA</w:t>
      </w:r>
      <w:r w:rsidR="00D7762B">
        <w:rPr>
          <w:sz w:val="28"/>
          <w:szCs w:val="28"/>
        </w:rPr>
        <w:t xml:space="preserve"> was the FHWA Program Plan</w:t>
      </w:r>
      <w:r w:rsidR="00FD68FC">
        <w:rPr>
          <w:sz w:val="28"/>
          <w:szCs w:val="28"/>
        </w:rPr>
        <w:t xml:space="preserve">.  </w:t>
      </w:r>
      <w:r>
        <w:rPr>
          <w:sz w:val="28"/>
          <w:szCs w:val="28"/>
        </w:rPr>
        <w:t>The following table contains the elements required for a Title VI Program</w:t>
      </w:r>
      <w:r w:rsidR="00135803">
        <w:rPr>
          <w:sz w:val="28"/>
          <w:szCs w:val="28"/>
        </w:rPr>
        <w:t xml:space="preserve"> submittal</w:t>
      </w:r>
      <w:r>
        <w:rPr>
          <w:sz w:val="28"/>
          <w:szCs w:val="28"/>
        </w:rPr>
        <w:t xml:space="preserve"> and whether they were contained in the </w:t>
      </w:r>
      <w:r w:rsidR="00B60A72">
        <w:rPr>
          <w:sz w:val="28"/>
          <w:szCs w:val="28"/>
        </w:rPr>
        <w:t>HDOT</w:t>
      </w:r>
      <w:r>
        <w:rPr>
          <w:sz w:val="28"/>
          <w:szCs w:val="28"/>
        </w:rPr>
        <w:t xml:space="preserve"> </w:t>
      </w:r>
      <w:r w:rsidR="007E3CBB">
        <w:rPr>
          <w:sz w:val="28"/>
          <w:szCs w:val="28"/>
        </w:rPr>
        <w:t xml:space="preserve">Title VI Program </w:t>
      </w:r>
      <w:r>
        <w:rPr>
          <w:sz w:val="28"/>
          <w:szCs w:val="28"/>
        </w:rPr>
        <w:t>submittal:</w:t>
      </w:r>
    </w:p>
    <w:p w:rsidR="00F80A8D" w:rsidRDefault="00F80A8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8"/>
        <w:gridCol w:w="1818"/>
      </w:tblGrid>
      <w:tr w:rsidR="00F80A8D">
        <w:trPr>
          <w:cantSplit/>
          <w:tblHeader/>
        </w:trPr>
        <w:tc>
          <w:tcPr>
            <w:tcW w:w="9306" w:type="dxa"/>
            <w:gridSpan w:val="2"/>
          </w:tcPr>
          <w:p w:rsidR="00F80A8D" w:rsidRDefault="00F80A8D">
            <w:pPr>
              <w:jc w:val="center"/>
              <w:rPr>
                <w:b/>
                <w:sz w:val="22"/>
                <w:szCs w:val="28"/>
              </w:rPr>
            </w:pPr>
            <w:r>
              <w:rPr>
                <w:b/>
                <w:sz w:val="24"/>
                <w:szCs w:val="28"/>
              </w:rPr>
              <w:t>ELEMENTS REQUIRED FOR TITLE VI PROGRAM</w:t>
            </w:r>
          </w:p>
        </w:tc>
      </w:tr>
      <w:tr w:rsidR="00F80A8D">
        <w:trPr>
          <w:cantSplit/>
          <w:tblHeader/>
        </w:trPr>
        <w:tc>
          <w:tcPr>
            <w:tcW w:w="7488" w:type="dxa"/>
          </w:tcPr>
          <w:p w:rsidR="00F80A8D" w:rsidRDefault="00F80A8D">
            <w:pPr>
              <w:rPr>
                <w:b/>
                <w:iCs/>
                <w:caps/>
                <w:sz w:val="24"/>
                <w:szCs w:val="24"/>
              </w:rPr>
            </w:pPr>
            <w:r>
              <w:rPr>
                <w:b/>
                <w:iCs/>
                <w:caps/>
                <w:sz w:val="24"/>
                <w:szCs w:val="24"/>
              </w:rPr>
              <w:t xml:space="preserve">GENERAL REQUIREMENTS </w:t>
            </w:r>
          </w:p>
          <w:p w:rsidR="00F80A8D" w:rsidRDefault="00F80A8D">
            <w:r>
              <w:rPr>
                <w:b/>
                <w:bCs/>
                <w:sz w:val="24"/>
                <w:szCs w:val="28"/>
              </w:rPr>
              <w:t>(Per FTA C. 4702.1A, IV, 7. a. (1) – (5))</w:t>
            </w:r>
          </w:p>
        </w:tc>
        <w:tc>
          <w:tcPr>
            <w:tcW w:w="1818" w:type="dxa"/>
          </w:tcPr>
          <w:p w:rsidR="00F80A8D" w:rsidRDefault="00F80A8D">
            <w:pPr>
              <w:jc w:val="center"/>
              <w:rPr>
                <w:b/>
                <w:sz w:val="22"/>
                <w:szCs w:val="28"/>
              </w:rPr>
            </w:pPr>
            <w:r>
              <w:rPr>
                <w:b/>
                <w:sz w:val="22"/>
                <w:szCs w:val="28"/>
              </w:rPr>
              <w:t xml:space="preserve">In </w:t>
            </w:r>
            <w:r w:rsidR="00B60A72">
              <w:rPr>
                <w:b/>
                <w:sz w:val="22"/>
                <w:szCs w:val="28"/>
              </w:rPr>
              <w:t>HDOT</w:t>
            </w:r>
            <w:r>
              <w:rPr>
                <w:b/>
                <w:sz w:val="22"/>
                <w:szCs w:val="28"/>
              </w:rPr>
              <w:t xml:space="preserve"> Title VI Program Submittal?</w:t>
            </w:r>
          </w:p>
        </w:tc>
      </w:tr>
      <w:tr w:rsidR="00F80A8D" w:rsidTr="006439E4">
        <w:trPr>
          <w:cantSplit/>
        </w:trPr>
        <w:tc>
          <w:tcPr>
            <w:tcW w:w="7488" w:type="dxa"/>
          </w:tcPr>
          <w:p w:rsidR="00F80A8D" w:rsidRDefault="00F80A8D" w:rsidP="0064099D">
            <w:pPr>
              <w:numPr>
                <w:ilvl w:val="0"/>
                <w:numId w:val="14"/>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 procedures for tracking and investigating Title VI complaints.</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F80A8D" w:rsidP="0064099D">
            <w:pPr>
              <w:numPr>
                <w:ilvl w:val="0"/>
                <w:numId w:val="14"/>
              </w:numPr>
              <w:rPr>
                <w:sz w:val="22"/>
                <w:szCs w:val="28"/>
              </w:rPr>
            </w:pPr>
            <w:r>
              <w:t>A copy of the agency’s notice to the public that it complies with Title VI and instructions to the public on how to file a discrimination complaint.</w:t>
            </w:r>
          </w:p>
        </w:tc>
        <w:tc>
          <w:tcPr>
            <w:tcW w:w="1818" w:type="dxa"/>
            <w:vAlign w:val="center"/>
          </w:tcPr>
          <w:p w:rsidR="00F80A8D" w:rsidRDefault="006439E4" w:rsidP="006439E4">
            <w:pPr>
              <w:jc w:val="center"/>
              <w:rPr>
                <w:sz w:val="22"/>
                <w:szCs w:val="28"/>
              </w:rPr>
            </w:pPr>
            <w:r>
              <w:rPr>
                <w:sz w:val="22"/>
                <w:szCs w:val="28"/>
              </w:rPr>
              <w:t>Yes</w:t>
            </w:r>
          </w:p>
        </w:tc>
      </w:tr>
      <w:tr w:rsidR="00F80A8D" w:rsidTr="006439E4">
        <w:trPr>
          <w:cantSplit/>
        </w:trPr>
        <w:tc>
          <w:tcPr>
            <w:tcW w:w="7488" w:type="dxa"/>
          </w:tcPr>
          <w:p w:rsidR="00F80A8D" w:rsidRDefault="00F80A8D">
            <w:pPr>
              <w:rPr>
                <w:b/>
                <w:iCs/>
                <w:caps/>
                <w:sz w:val="24"/>
                <w:szCs w:val="24"/>
              </w:rPr>
            </w:pPr>
            <w:r>
              <w:rPr>
                <w:b/>
                <w:iCs/>
                <w:caps/>
                <w:sz w:val="24"/>
                <w:szCs w:val="24"/>
              </w:rPr>
              <w:t>pROGRAM SPECIFIC REQUIREMENTS</w:t>
            </w:r>
          </w:p>
          <w:p w:rsidR="00F80A8D" w:rsidRDefault="00F80A8D">
            <w:r>
              <w:rPr>
                <w:b/>
                <w:bCs/>
                <w:sz w:val="24"/>
                <w:szCs w:val="28"/>
              </w:rPr>
              <w:t>(Per FTA C. 4702.1A, V</w:t>
            </w:r>
            <w:r w:rsidR="006439E4">
              <w:rPr>
                <w:b/>
                <w:bCs/>
                <w:sz w:val="24"/>
                <w:szCs w:val="28"/>
              </w:rPr>
              <w:t>I</w:t>
            </w:r>
            <w:r>
              <w:rPr>
                <w:b/>
                <w:bCs/>
                <w:sz w:val="24"/>
                <w:szCs w:val="28"/>
              </w:rPr>
              <w:t xml:space="preserve">, </w:t>
            </w:r>
            <w:r w:rsidR="00DB472F">
              <w:rPr>
                <w:b/>
                <w:bCs/>
                <w:sz w:val="24"/>
                <w:szCs w:val="28"/>
              </w:rPr>
              <w:t>5</w:t>
            </w:r>
            <w:r>
              <w:rPr>
                <w:b/>
                <w:bCs/>
                <w:sz w:val="24"/>
                <w:szCs w:val="28"/>
              </w:rPr>
              <w:t>. a. (1) – (4))</w:t>
            </w:r>
          </w:p>
        </w:tc>
        <w:tc>
          <w:tcPr>
            <w:tcW w:w="1818" w:type="dxa"/>
            <w:shd w:val="clear" w:color="auto" w:fill="BFBFBF"/>
            <w:vAlign w:val="center"/>
          </w:tcPr>
          <w:p w:rsidR="00F80A8D" w:rsidRDefault="00F80A8D" w:rsidP="006439E4">
            <w:pPr>
              <w:jc w:val="center"/>
              <w:rPr>
                <w:sz w:val="22"/>
                <w:szCs w:val="28"/>
              </w:rPr>
            </w:pPr>
          </w:p>
        </w:tc>
      </w:tr>
      <w:tr w:rsidR="00F80A8D" w:rsidTr="006439E4">
        <w:trPr>
          <w:cantSplit/>
        </w:trPr>
        <w:tc>
          <w:tcPr>
            <w:tcW w:w="7488" w:type="dxa"/>
          </w:tcPr>
          <w:p w:rsidR="00F80A8D" w:rsidRDefault="006439E4" w:rsidP="0064099D">
            <w:pPr>
              <w:numPr>
                <w:ilvl w:val="0"/>
                <w:numId w:val="13"/>
              </w:numPr>
              <w:rPr>
                <w:sz w:val="22"/>
                <w:szCs w:val="28"/>
              </w:rPr>
            </w:pPr>
            <w:r w:rsidRPr="006439E4">
              <w:rPr>
                <w:kern w:val="32"/>
              </w:rPr>
              <w:t>A copy of the procedures used for certifying that the statewide planning</w:t>
            </w:r>
            <w:r>
              <w:rPr>
                <w:kern w:val="32"/>
              </w:rPr>
              <w:t xml:space="preserve"> process complies with Title VI</w:t>
            </w:r>
            <w:r w:rsidR="00F80A8D">
              <w:rPr>
                <w:kern w:val="32"/>
              </w:rPr>
              <w:t>.</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the procedures the agency uses to pass-through FTA financial assistance in a non-discriminatory manner.</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the procedures the agency uses to provide assistance to potential subrecipients applying for funding in a non-discriminatory manner.</w:t>
            </w:r>
          </w:p>
        </w:tc>
        <w:tc>
          <w:tcPr>
            <w:tcW w:w="1818" w:type="dxa"/>
            <w:vAlign w:val="center"/>
          </w:tcPr>
          <w:p w:rsidR="00F80A8D" w:rsidRDefault="006439E4" w:rsidP="006439E4">
            <w:pPr>
              <w:jc w:val="center"/>
              <w:rPr>
                <w:sz w:val="22"/>
                <w:szCs w:val="28"/>
              </w:rPr>
            </w:pPr>
            <w:r>
              <w:rPr>
                <w:sz w:val="22"/>
                <w:szCs w:val="28"/>
              </w:rPr>
              <w:t>No</w:t>
            </w:r>
          </w:p>
        </w:tc>
      </w:tr>
      <w:tr w:rsidR="00F80A8D" w:rsidTr="006439E4">
        <w:trPr>
          <w:cantSplit/>
        </w:trPr>
        <w:tc>
          <w:tcPr>
            <w:tcW w:w="7488" w:type="dxa"/>
          </w:tcPr>
          <w:p w:rsidR="00F80A8D" w:rsidRDefault="006439E4" w:rsidP="0064099D">
            <w:pPr>
              <w:numPr>
                <w:ilvl w:val="0"/>
                <w:numId w:val="13"/>
              </w:numPr>
              <w:rPr>
                <w:kern w:val="32"/>
              </w:rPr>
            </w:pPr>
            <w:r w:rsidRPr="006439E4">
              <w:rPr>
                <w:kern w:val="32"/>
              </w:rPr>
              <w:t>A description of how the agency monitors its subrecipients for compliance with Title VI and a summary of the results of this monitoring.</w:t>
            </w:r>
          </w:p>
        </w:tc>
        <w:tc>
          <w:tcPr>
            <w:tcW w:w="1818" w:type="dxa"/>
            <w:vAlign w:val="center"/>
          </w:tcPr>
          <w:p w:rsidR="00F80A8D" w:rsidRDefault="006439E4" w:rsidP="006439E4">
            <w:pPr>
              <w:jc w:val="center"/>
              <w:rPr>
                <w:sz w:val="22"/>
                <w:szCs w:val="28"/>
              </w:rPr>
            </w:pPr>
            <w:r>
              <w:rPr>
                <w:sz w:val="22"/>
                <w:szCs w:val="28"/>
              </w:rPr>
              <w:t>No</w:t>
            </w:r>
          </w:p>
        </w:tc>
      </w:tr>
    </w:tbl>
    <w:p w:rsidR="00F80A8D" w:rsidRDefault="00F80A8D">
      <w:pPr>
        <w:spacing w:line="360" w:lineRule="auto"/>
        <w:rPr>
          <w:sz w:val="28"/>
          <w:szCs w:val="28"/>
        </w:rPr>
      </w:pPr>
    </w:p>
    <w:p w:rsidR="007E3CBB" w:rsidRDefault="008D1286">
      <w:pPr>
        <w:spacing w:line="360" w:lineRule="auto"/>
        <w:rPr>
          <w:b/>
          <w:bCs/>
          <w:sz w:val="28"/>
          <w:szCs w:val="28"/>
        </w:rPr>
      </w:pPr>
      <w:r>
        <w:rPr>
          <w:sz w:val="28"/>
          <w:szCs w:val="28"/>
        </w:rPr>
        <w:t xml:space="preserve">As noted above, Title VI </w:t>
      </w:r>
      <w:r w:rsidR="007E3CBB">
        <w:rPr>
          <w:sz w:val="28"/>
          <w:szCs w:val="28"/>
        </w:rPr>
        <w:t>Program</w:t>
      </w:r>
      <w:r>
        <w:rPr>
          <w:sz w:val="28"/>
          <w:szCs w:val="28"/>
        </w:rPr>
        <w:t xml:space="preserve"> was missing </w:t>
      </w:r>
      <w:r w:rsidR="006439E4">
        <w:rPr>
          <w:sz w:val="28"/>
          <w:szCs w:val="28"/>
        </w:rPr>
        <w:t>most of the</w:t>
      </w:r>
      <w:r>
        <w:rPr>
          <w:sz w:val="28"/>
          <w:szCs w:val="28"/>
        </w:rPr>
        <w:t xml:space="preserve"> required elements.  </w:t>
      </w:r>
    </w:p>
    <w:p w:rsidR="007E3CBB" w:rsidRDefault="007E3CBB" w:rsidP="00B6298D">
      <w:pPr>
        <w:spacing w:line="360" w:lineRule="auto"/>
        <w:rPr>
          <w:sz w:val="28"/>
          <w:szCs w:val="28"/>
        </w:rPr>
      </w:pPr>
    </w:p>
    <w:p w:rsidR="00B6298D" w:rsidRDefault="00B6298D" w:rsidP="00B6298D">
      <w:pPr>
        <w:spacing w:line="360" w:lineRule="auto"/>
        <w:rPr>
          <w:sz w:val="28"/>
          <w:szCs w:val="28"/>
        </w:rPr>
      </w:pPr>
      <w:r>
        <w:rPr>
          <w:sz w:val="28"/>
          <w:szCs w:val="28"/>
        </w:rPr>
        <w:t xml:space="preserve">Following the site visit, HDOT provided a document </w:t>
      </w:r>
      <w:r w:rsidRPr="00426E48">
        <w:rPr>
          <w:i/>
          <w:sz w:val="28"/>
          <w:szCs w:val="28"/>
        </w:rPr>
        <w:t>entitled State of Hawaii Department of Transportation Title VI Program Report to the FTA (FTA 4702.1A IV.7)</w:t>
      </w:r>
      <w:r w:rsidR="00426E48">
        <w:rPr>
          <w:sz w:val="28"/>
          <w:szCs w:val="28"/>
        </w:rPr>
        <w:t xml:space="preserve"> that contained the required elements for a Title VI Program submittal to FTA.</w:t>
      </w:r>
    </w:p>
    <w:p w:rsidR="00426E48" w:rsidRDefault="00426E48" w:rsidP="00B6298D">
      <w:pPr>
        <w:spacing w:line="360" w:lineRule="auto"/>
        <w:rPr>
          <w:sz w:val="28"/>
          <w:szCs w:val="28"/>
        </w:rPr>
      </w:pPr>
    </w:p>
    <w:p w:rsidR="00426E48" w:rsidRDefault="00426E48" w:rsidP="00B6298D">
      <w:pPr>
        <w:spacing w:line="360" w:lineRule="auto"/>
        <w:rPr>
          <w:sz w:val="28"/>
          <w:szCs w:val="28"/>
        </w:rPr>
      </w:pPr>
      <w:r>
        <w:rPr>
          <w:sz w:val="28"/>
          <w:szCs w:val="28"/>
        </w:rPr>
        <w:t>The deficiencies in this area are now closed.</w:t>
      </w:r>
    </w:p>
    <w:p w:rsidR="00426E48" w:rsidRDefault="00426E48" w:rsidP="00B6298D">
      <w:pPr>
        <w:spacing w:line="360" w:lineRule="auto"/>
        <w:rPr>
          <w:sz w:val="28"/>
          <w:szCs w:val="28"/>
        </w:rPr>
      </w:pPr>
    </w:p>
    <w:p w:rsidR="00CB33F0" w:rsidRPr="00CB33F0" w:rsidRDefault="00CB33F0" w:rsidP="00CB33F0">
      <w:pPr>
        <w:pStyle w:val="BodyTextIndent2"/>
        <w:ind w:firstLine="0"/>
        <w:rPr>
          <w:b/>
          <w:sz w:val="28"/>
          <w:szCs w:val="28"/>
        </w:rPr>
      </w:pPr>
      <w:r w:rsidRPr="00CB33F0">
        <w:rPr>
          <w:b/>
          <w:sz w:val="28"/>
          <w:szCs w:val="28"/>
        </w:rPr>
        <w:t xml:space="preserve">FINDINGS OF THE PROGRAM-SPECIFIC REQUIREMENTS </w:t>
      </w:r>
      <w:r w:rsidR="00D35E99">
        <w:rPr>
          <w:b/>
          <w:sz w:val="28"/>
          <w:szCs w:val="28"/>
        </w:rPr>
        <w:t xml:space="preserve">AND GUIDELINES </w:t>
      </w:r>
      <w:r w:rsidRPr="00CB33F0">
        <w:rPr>
          <w:b/>
          <w:sz w:val="28"/>
          <w:szCs w:val="28"/>
        </w:rPr>
        <w:t xml:space="preserve">FOR STATE DEPARTMENTS OF TRANSPORTATION OR OTHER ADMINISTERING AGENCIES </w:t>
      </w:r>
    </w:p>
    <w:p w:rsidR="00CB33F0" w:rsidRPr="00CB33F0" w:rsidRDefault="00CB33F0" w:rsidP="00CB33F0">
      <w:pPr>
        <w:pStyle w:val="BodyTextIndent2"/>
        <w:rPr>
          <w:sz w:val="28"/>
          <w:szCs w:val="28"/>
        </w:rPr>
      </w:pPr>
    </w:p>
    <w:p w:rsidR="00F80A8D" w:rsidRPr="00CB33F0" w:rsidRDefault="00CB33F0" w:rsidP="00CB33F0">
      <w:pPr>
        <w:spacing w:line="360" w:lineRule="auto"/>
        <w:rPr>
          <w:sz w:val="28"/>
          <w:szCs w:val="28"/>
        </w:rPr>
      </w:pPr>
      <w:r w:rsidRPr="00CB33F0">
        <w:rPr>
          <w:sz w:val="28"/>
          <w:szCs w:val="28"/>
        </w:rPr>
        <w:t xml:space="preserve">This section covers program-specific </w:t>
      </w:r>
      <w:r w:rsidR="00D35E99">
        <w:rPr>
          <w:sz w:val="28"/>
          <w:szCs w:val="28"/>
        </w:rPr>
        <w:t xml:space="preserve">requirements and </w:t>
      </w:r>
      <w:r w:rsidRPr="00CB33F0">
        <w:rPr>
          <w:sz w:val="28"/>
          <w:szCs w:val="28"/>
        </w:rPr>
        <w:t>guide</w:t>
      </w:r>
      <w:r w:rsidR="00D35E99">
        <w:rPr>
          <w:sz w:val="28"/>
          <w:szCs w:val="28"/>
        </w:rPr>
        <w:t>lines</w:t>
      </w:r>
      <w:r w:rsidRPr="00CB33F0">
        <w:rPr>
          <w:sz w:val="28"/>
          <w:szCs w:val="28"/>
        </w:rPr>
        <w:t xml:space="preserve"> for State DOTs and </w:t>
      </w:r>
      <w:r w:rsidR="00D35E99">
        <w:rPr>
          <w:sz w:val="28"/>
          <w:szCs w:val="28"/>
        </w:rPr>
        <w:t>Other A</w:t>
      </w:r>
      <w:r w:rsidRPr="00CB33F0">
        <w:rPr>
          <w:sz w:val="28"/>
          <w:szCs w:val="28"/>
        </w:rPr>
        <w:t>dminist</w:t>
      </w:r>
      <w:r w:rsidR="00D35E99">
        <w:rPr>
          <w:sz w:val="28"/>
          <w:szCs w:val="28"/>
        </w:rPr>
        <w:t>er</w:t>
      </w:r>
      <w:r w:rsidRPr="00CB33F0">
        <w:rPr>
          <w:sz w:val="28"/>
          <w:szCs w:val="28"/>
        </w:rPr>
        <w:t xml:space="preserve">ing </w:t>
      </w:r>
      <w:r w:rsidR="00D35E99">
        <w:rPr>
          <w:sz w:val="28"/>
          <w:szCs w:val="28"/>
        </w:rPr>
        <w:t>A</w:t>
      </w:r>
      <w:r w:rsidRPr="00CB33F0">
        <w:rPr>
          <w:sz w:val="28"/>
          <w:szCs w:val="28"/>
        </w:rPr>
        <w:t>gencies, administ</w:t>
      </w:r>
      <w:r w:rsidR="00E03A36">
        <w:rPr>
          <w:sz w:val="28"/>
          <w:szCs w:val="28"/>
        </w:rPr>
        <w:t>e</w:t>
      </w:r>
      <w:r w:rsidRPr="00CB33F0">
        <w:rPr>
          <w:sz w:val="28"/>
          <w:szCs w:val="28"/>
        </w:rPr>
        <w:t>ring Elderly Individuals and Individuals with Disabilities, Rural and Small Urban Area, Job Access and Reverse Commute (JARC), and New Freedom funding programs, as well as designated recipients in large urbanized areas for JARC and New Freedom.</w:t>
      </w:r>
    </w:p>
    <w:p w:rsidR="00CB33F0" w:rsidRDefault="00CB33F0" w:rsidP="00CB33F0">
      <w:pPr>
        <w:pStyle w:val="BHLevel2"/>
        <w:rPr>
          <w:sz w:val="28"/>
          <w:szCs w:val="28"/>
        </w:rPr>
      </w:pPr>
      <w:bookmarkStart w:id="21" w:name="_Toc272221045"/>
      <w:r w:rsidRPr="00CB33F0">
        <w:rPr>
          <w:sz w:val="28"/>
          <w:szCs w:val="28"/>
        </w:rPr>
        <w:t>Statewide Planning Activities</w:t>
      </w:r>
      <w:bookmarkEnd w:id="21"/>
    </w:p>
    <w:p w:rsidR="00CB33F0" w:rsidRDefault="00CB33F0" w:rsidP="00CB33F0"/>
    <w:p w:rsidR="00CB33F0" w:rsidRPr="00CB33F0" w:rsidRDefault="00CB33F0" w:rsidP="007C3CA4">
      <w:pPr>
        <w:pStyle w:val="BodyTextIndent2"/>
        <w:ind w:firstLine="0"/>
        <w:rPr>
          <w:b/>
          <w:i/>
          <w:sz w:val="28"/>
          <w:szCs w:val="28"/>
        </w:rPr>
      </w:pPr>
      <w:r>
        <w:rPr>
          <w:b/>
          <w:sz w:val="28"/>
          <w:szCs w:val="28"/>
        </w:rPr>
        <w:t xml:space="preserve">Requirement: </w:t>
      </w:r>
      <w:r w:rsidRPr="00CB33F0">
        <w:rPr>
          <w:i/>
          <w:sz w:val="28"/>
          <w:szCs w:val="28"/>
        </w:rPr>
        <w:t xml:space="preserve">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low-income and minority populations or An analytical process that identifies the benefits and burdens of the State’s transportation system investments for </w:t>
      </w:r>
      <w:r w:rsidRPr="00CB33F0">
        <w:rPr>
          <w:i/>
          <w:sz w:val="28"/>
          <w:szCs w:val="28"/>
        </w:rPr>
        <w:lastRenderedPageBreak/>
        <w:t>different socioeconomic groups, identifying imbalances, and responding to the analyses produced.</w:t>
      </w:r>
      <w:r w:rsidRPr="00CB33F0">
        <w:rPr>
          <w:b/>
          <w:i/>
          <w:sz w:val="28"/>
          <w:szCs w:val="28"/>
        </w:rPr>
        <w:t xml:space="preserve"> </w:t>
      </w:r>
    </w:p>
    <w:p w:rsidR="00CB33F0" w:rsidRPr="00CB33F0" w:rsidRDefault="00CB33F0" w:rsidP="00CB33F0">
      <w:pPr>
        <w:pStyle w:val="BodyTextIndent2"/>
        <w:rPr>
          <w:b/>
          <w:sz w:val="28"/>
          <w:szCs w:val="28"/>
        </w:rPr>
      </w:pPr>
    </w:p>
    <w:p w:rsidR="00CB33F0" w:rsidRPr="007C3CA4" w:rsidRDefault="00CB33F0" w:rsidP="007C3CA4">
      <w:pPr>
        <w:spacing w:line="360" w:lineRule="auto"/>
        <w:rPr>
          <w:sz w:val="28"/>
          <w:szCs w:val="28"/>
        </w:rPr>
      </w:pPr>
      <w:r w:rsidRPr="007C3CA4">
        <w:rPr>
          <w:b/>
          <w:sz w:val="28"/>
          <w:szCs w:val="28"/>
        </w:rPr>
        <w:t>Findings</w:t>
      </w:r>
      <w:r w:rsidRPr="007C3CA4">
        <w:rPr>
          <w:sz w:val="28"/>
          <w:szCs w:val="28"/>
        </w:rPr>
        <w:t xml:space="preserve">: </w:t>
      </w:r>
      <w:r w:rsidRPr="00CB33F0">
        <w:rPr>
          <w:sz w:val="28"/>
          <w:szCs w:val="28"/>
        </w:rPr>
        <w:t xml:space="preserve">During this Title VI Compliance Review of </w:t>
      </w:r>
      <w:r w:rsidR="00B60A72">
        <w:rPr>
          <w:sz w:val="28"/>
          <w:szCs w:val="28"/>
        </w:rPr>
        <w:t>HDOT</w:t>
      </w:r>
      <w:r w:rsidRPr="005C0553">
        <w:rPr>
          <w:sz w:val="28"/>
          <w:szCs w:val="28"/>
        </w:rPr>
        <w:t>, deficiencies</w:t>
      </w:r>
      <w:r w:rsidRPr="00CB33F0">
        <w:rPr>
          <w:sz w:val="28"/>
          <w:szCs w:val="28"/>
        </w:rPr>
        <w:t xml:space="preserve"> were found regarding the FTA requirements for Statewide Planning Activities.</w:t>
      </w:r>
      <w:r w:rsidRPr="007C3CA4">
        <w:rPr>
          <w:sz w:val="28"/>
          <w:szCs w:val="28"/>
        </w:rPr>
        <w:t xml:space="preserve"> </w:t>
      </w:r>
      <w:r w:rsidR="007C3CA4">
        <w:rPr>
          <w:sz w:val="28"/>
          <w:szCs w:val="28"/>
        </w:rPr>
        <w:t xml:space="preserve"> The following table contains guidance for conducting Statewide Planning Activities and whether HDOT followed the guidance:</w:t>
      </w:r>
    </w:p>
    <w:p w:rsidR="00CB33F0" w:rsidRPr="00CB33F0" w:rsidRDefault="00CB33F0" w:rsidP="00CB33F0">
      <w:pPr>
        <w:pStyle w:val="BodyTextIndent2"/>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50"/>
      </w:tblGrid>
      <w:tr w:rsidR="00DB472F" w:rsidTr="007C3CA4">
        <w:trPr>
          <w:cantSplit/>
          <w:tblHeader/>
        </w:trPr>
        <w:tc>
          <w:tcPr>
            <w:tcW w:w="7938" w:type="dxa"/>
          </w:tcPr>
          <w:p w:rsidR="00DB472F" w:rsidRDefault="00DB472F" w:rsidP="00DB472F">
            <w:pPr>
              <w:rPr>
                <w:b/>
                <w:bCs/>
                <w:sz w:val="24"/>
                <w:szCs w:val="28"/>
              </w:rPr>
            </w:pPr>
            <w:r>
              <w:rPr>
                <w:b/>
                <w:sz w:val="24"/>
                <w:szCs w:val="28"/>
              </w:rPr>
              <w:t>GUIDANCE ON CONDUCTING STATEWIDE PLANNING</w:t>
            </w:r>
            <w:r>
              <w:rPr>
                <w:b/>
                <w:bCs/>
                <w:sz w:val="24"/>
                <w:szCs w:val="28"/>
              </w:rPr>
              <w:t xml:space="preserve"> </w:t>
            </w:r>
          </w:p>
          <w:p w:rsidR="00DB472F" w:rsidRDefault="00DB472F" w:rsidP="00DB472F">
            <w:r>
              <w:rPr>
                <w:b/>
                <w:bCs/>
                <w:sz w:val="24"/>
                <w:szCs w:val="28"/>
              </w:rPr>
              <w:t xml:space="preserve">(Per FTA C. 4702.1A, VI, </w:t>
            </w:r>
            <w:proofErr w:type="gramStart"/>
            <w:r>
              <w:rPr>
                <w:b/>
                <w:bCs/>
                <w:sz w:val="24"/>
                <w:szCs w:val="28"/>
              </w:rPr>
              <w:t>1</w:t>
            </w:r>
            <w:proofErr w:type="gramEnd"/>
            <w:r>
              <w:rPr>
                <w:b/>
                <w:bCs/>
                <w:sz w:val="24"/>
                <w:szCs w:val="28"/>
              </w:rPr>
              <w:t>. a. – c.)</w:t>
            </w:r>
          </w:p>
        </w:tc>
        <w:tc>
          <w:tcPr>
            <w:tcW w:w="1350" w:type="dxa"/>
          </w:tcPr>
          <w:p w:rsidR="00DB472F" w:rsidRDefault="00DB472F" w:rsidP="00DB472F">
            <w:pPr>
              <w:jc w:val="center"/>
              <w:rPr>
                <w:b/>
                <w:sz w:val="22"/>
                <w:szCs w:val="28"/>
              </w:rPr>
            </w:pPr>
            <w:r>
              <w:rPr>
                <w:b/>
                <w:sz w:val="22"/>
                <w:szCs w:val="28"/>
              </w:rPr>
              <w:t>In HDOT Submittal?</w:t>
            </w:r>
          </w:p>
        </w:tc>
      </w:tr>
      <w:tr w:rsidR="00DB472F" w:rsidTr="007C3CA4">
        <w:trPr>
          <w:cantSplit/>
        </w:trPr>
        <w:tc>
          <w:tcPr>
            <w:tcW w:w="7938" w:type="dxa"/>
          </w:tcPr>
          <w:p w:rsidR="00DB472F" w:rsidRPr="00DB472F" w:rsidRDefault="00DB472F" w:rsidP="0064099D">
            <w:pPr>
              <w:numPr>
                <w:ilvl w:val="0"/>
                <w:numId w:val="14"/>
              </w:numPr>
            </w:pPr>
            <w:r w:rsidRPr="008A38CC">
              <w:t xml:space="preserve">A demographic profile of the State that includes identification of the locations of socioeconomic groups, including low-income and minority populations as covered by the Executive Order on Environmental Justice and Title VI. </w:t>
            </w:r>
          </w:p>
        </w:tc>
        <w:tc>
          <w:tcPr>
            <w:tcW w:w="1350" w:type="dxa"/>
            <w:vAlign w:val="center"/>
          </w:tcPr>
          <w:p w:rsidR="00DB472F" w:rsidRDefault="00426E48" w:rsidP="0064099D">
            <w:pPr>
              <w:jc w:val="center"/>
              <w:rPr>
                <w:sz w:val="22"/>
                <w:szCs w:val="28"/>
              </w:rPr>
            </w:pPr>
            <w:r>
              <w:rPr>
                <w:sz w:val="22"/>
                <w:szCs w:val="28"/>
              </w:rPr>
              <w:t>Yes</w:t>
            </w:r>
          </w:p>
        </w:tc>
      </w:tr>
      <w:tr w:rsidR="00DB472F" w:rsidTr="007C3CA4">
        <w:trPr>
          <w:cantSplit/>
        </w:trPr>
        <w:tc>
          <w:tcPr>
            <w:tcW w:w="7938" w:type="dxa"/>
          </w:tcPr>
          <w:p w:rsidR="00DB472F" w:rsidRDefault="00DB472F" w:rsidP="0064099D">
            <w:pPr>
              <w:numPr>
                <w:ilvl w:val="0"/>
                <w:numId w:val="14"/>
              </w:numPr>
              <w:rPr>
                <w:sz w:val="22"/>
                <w:szCs w:val="28"/>
              </w:rPr>
            </w:pPr>
            <w:r w:rsidRPr="008A38CC">
              <w:t>A statewide transportation planning process that identifies the needs of low-income and minority populations.</w:t>
            </w:r>
          </w:p>
        </w:tc>
        <w:tc>
          <w:tcPr>
            <w:tcW w:w="1350" w:type="dxa"/>
            <w:vAlign w:val="center"/>
          </w:tcPr>
          <w:p w:rsidR="00DB472F" w:rsidRDefault="00E00DB7" w:rsidP="0064099D">
            <w:pPr>
              <w:jc w:val="center"/>
              <w:rPr>
                <w:sz w:val="22"/>
                <w:szCs w:val="28"/>
              </w:rPr>
            </w:pPr>
            <w:r>
              <w:rPr>
                <w:sz w:val="22"/>
                <w:szCs w:val="28"/>
              </w:rPr>
              <w:t>No</w:t>
            </w:r>
          </w:p>
        </w:tc>
      </w:tr>
      <w:tr w:rsidR="00DB472F" w:rsidTr="007C3CA4">
        <w:trPr>
          <w:cantSplit/>
        </w:trPr>
        <w:tc>
          <w:tcPr>
            <w:tcW w:w="7938" w:type="dxa"/>
          </w:tcPr>
          <w:p w:rsidR="00DB472F" w:rsidRDefault="00DB472F" w:rsidP="0064099D">
            <w:pPr>
              <w:numPr>
                <w:ilvl w:val="0"/>
                <w:numId w:val="14"/>
              </w:numPr>
              <w:rPr>
                <w:sz w:val="22"/>
                <w:szCs w:val="28"/>
              </w:rPr>
            </w:pPr>
            <w:r w:rsidRPr="008A38CC">
              <w:t>An analytical process that identifies the benefits and burdens of the State’s transportation system investments for different socioeconomic groups, identifying imbalances, and responding to the analyses produced.</w:t>
            </w:r>
          </w:p>
        </w:tc>
        <w:tc>
          <w:tcPr>
            <w:tcW w:w="1350" w:type="dxa"/>
            <w:vAlign w:val="center"/>
          </w:tcPr>
          <w:p w:rsidR="00DB472F" w:rsidRDefault="00E00DB7" w:rsidP="0064099D">
            <w:pPr>
              <w:jc w:val="center"/>
              <w:rPr>
                <w:sz w:val="22"/>
                <w:szCs w:val="28"/>
              </w:rPr>
            </w:pPr>
            <w:r>
              <w:rPr>
                <w:sz w:val="22"/>
                <w:szCs w:val="28"/>
              </w:rPr>
              <w:t>No</w:t>
            </w:r>
          </w:p>
        </w:tc>
      </w:tr>
    </w:tbl>
    <w:p w:rsidR="00426E48" w:rsidRDefault="00426E48" w:rsidP="007C3CA4">
      <w:pPr>
        <w:pStyle w:val="BodyTextIndent2"/>
        <w:ind w:firstLine="0"/>
        <w:rPr>
          <w:sz w:val="28"/>
          <w:szCs w:val="28"/>
        </w:rPr>
      </w:pPr>
    </w:p>
    <w:p w:rsidR="00CB33F0" w:rsidRPr="00426E48" w:rsidRDefault="00426E48" w:rsidP="00426E48">
      <w:pPr>
        <w:pStyle w:val="BodyTextIndent2"/>
        <w:spacing w:line="360" w:lineRule="auto"/>
        <w:ind w:firstLine="0"/>
        <w:rPr>
          <w:sz w:val="28"/>
          <w:szCs w:val="28"/>
        </w:rPr>
      </w:pPr>
      <w:r>
        <w:rPr>
          <w:sz w:val="28"/>
          <w:szCs w:val="28"/>
        </w:rPr>
        <w:t>During the Review, HDOT did not provide any</w:t>
      </w:r>
      <w:r w:rsidR="00CB33F0" w:rsidRPr="00426E48">
        <w:rPr>
          <w:sz w:val="28"/>
          <w:szCs w:val="28"/>
        </w:rPr>
        <w:t xml:space="preserve"> documentation </w:t>
      </w:r>
      <w:r>
        <w:rPr>
          <w:sz w:val="28"/>
          <w:szCs w:val="28"/>
        </w:rPr>
        <w:t>that it had a</w:t>
      </w:r>
      <w:r w:rsidR="008323A2">
        <w:rPr>
          <w:sz w:val="28"/>
          <w:szCs w:val="28"/>
        </w:rPr>
        <w:t>n</w:t>
      </w:r>
      <w:r w:rsidR="00CB33F0" w:rsidRPr="00426E48">
        <w:rPr>
          <w:sz w:val="28"/>
          <w:szCs w:val="28"/>
        </w:rPr>
        <w:t xml:space="preserve"> analytical basis in place for certifying compliance with Title VI. There was:</w:t>
      </w:r>
    </w:p>
    <w:p w:rsidR="00CB33F0" w:rsidRPr="00426E48" w:rsidRDefault="00CB33F0" w:rsidP="007C3CA4">
      <w:pPr>
        <w:pStyle w:val="BodyTextIndent2"/>
        <w:ind w:firstLine="0"/>
        <w:rPr>
          <w:sz w:val="28"/>
          <w:szCs w:val="28"/>
        </w:rPr>
      </w:pPr>
    </w:p>
    <w:p w:rsidR="00CB33F0" w:rsidRPr="00426E48" w:rsidRDefault="00CB33F0" w:rsidP="0064099D">
      <w:pPr>
        <w:pStyle w:val="BodyTextIndent2"/>
        <w:numPr>
          <w:ilvl w:val="0"/>
          <w:numId w:val="34"/>
        </w:numPr>
        <w:rPr>
          <w:sz w:val="28"/>
          <w:szCs w:val="28"/>
        </w:rPr>
      </w:pPr>
      <w:r w:rsidRPr="00426E48">
        <w:rPr>
          <w:sz w:val="28"/>
          <w:szCs w:val="28"/>
        </w:rPr>
        <w:t>No identification of the transportation needs of low-income and minority populations.</w:t>
      </w:r>
    </w:p>
    <w:p w:rsidR="00CB33F0" w:rsidRPr="00CB33F0" w:rsidRDefault="00CB33F0" w:rsidP="00CB33F0">
      <w:pPr>
        <w:pStyle w:val="BodyTextIndent2"/>
        <w:rPr>
          <w:sz w:val="28"/>
          <w:szCs w:val="28"/>
          <w:highlight w:val="yellow"/>
        </w:rPr>
      </w:pPr>
    </w:p>
    <w:p w:rsidR="00CB33F0" w:rsidRPr="00426E48" w:rsidRDefault="00CB33F0" w:rsidP="0064099D">
      <w:pPr>
        <w:pStyle w:val="BodyTextIndent2"/>
        <w:numPr>
          <w:ilvl w:val="0"/>
          <w:numId w:val="34"/>
        </w:numPr>
        <w:rPr>
          <w:sz w:val="28"/>
          <w:szCs w:val="28"/>
        </w:rPr>
      </w:pPr>
      <w:r w:rsidRPr="00426E48">
        <w:rPr>
          <w:sz w:val="28"/>
          <w:szCs w:val="28"/>
        </w:rPr>
        <w:t>No process that identifies benefits and burdens of the State’s transportation system investments for different socioeconomic groups</w:t>
      </w:r>
      <w:r w:rsidR="008323A2">
        <w:rPr>
          <w:sz w:val="28"/>
          <w:szCs w:val="28"/>
        </w:rPr>
        <w:t>.</w:t>
      </w:r>
    </w:p>
    <w:p w:rsidR="00CB33F0" w:rsidRPr="00CB33F0" w:rsidRDefault="00CB33F0" w:rsidP="00CB33F0">
      <w:pPr>
        <w:pStyle w:val="BodyTextIndent2"/>
        <w:rPr>
          <w:sz w:val="28"/>
          <w:szCs w:val="28"/>
        </w:rPr>
      </w:pPr>
    </w:p>
    <w:p w:rsidR="00CB33F0" w:rsidRDefault="00CB33F0" w:rsidP="00CB33F0">
      <w:pPr>
        <w:pStyle w:val="ListContinue2"/>
        <w:spacing w:after="0" w:line="360" w:lineRule="auto"/>
        <w:ind w:left="0"/>
        <w:rPr>
          <w:sz w:val="28"/>
          <w:szCs w:val="28"/>
        </w:rPr>
      </w:pPr>
      <w:r w:rsidRPr="00CB33F0">
        <w:rPr>
          <w:b/>
          <w:bCs/>
          <w:sz w:val="28"/>
          <w:szCs w:val="28"/>
        </w:rPr>
        <w:t>Corrective Actions and Schedules</w:t>
      </w:r>
      <w:r w:rsidRPr="00CB33F0">
        <w:rPr>
          <w:bCs/>
          <w:sz w:val="28"/>
          <w:szCs w:val="28"/>
        </w:rPr>
        <w:t xml:space="preserve">: Within </w:t>
      </w:r>
      <w:r w:rsidR="002566B9">
        <w:rPr>
          <w:bCs/>
          <w:sz w:val="28"/>
          <w:szCs w:val="28"/>
        </w:rPr>
        <w:t>9</w:t>
      </w:r>
      <w:r w:rsidRPr="00CB33F0">
        <w:rPr>
          <w:bCs/>
          <w:sz w:val="28"/>
          <w:szCs w:val="28"/>
        </w:rPr>
        <w:t xml:space="preserve">0 days, </w:t>
      </w:r>
      <w:r w:rsidR="002566B9" w:rsidRPr="002566B9">
        <w:rPr>
          <w:sz w:val="28"/>
          <w:szCs w:val="28"/>
        </w:rPr>
        <w:t xml:space="preserve">HDOT must submit </w:t>
      </w:r>
      <w:r w:rsidR="00E03A36">
        <w:rPr>
          <w:sz w:val="28"/>
          <w:szCs w:val="28"/>
        </w:rPr>
        <w:t xml:space="preserve">to </w:t>
      </w:r>
      <w:r w:rsidR="00DE71F1" w:rsidRPr="00C00537">
        <w:rPr>
          <w:sz w:val="28"/>
          <w:szCs w:val="28"/>
        </w:rPr>
        <w:t xml:space="preserve">the FTA </w:t>
      </w:r>
      <w:r w:rsidR="00DE71F1">
        <w:rPr>
          <w:sz w:val="28"/>
          <w:szCs w:val="28"/>
        </w:rPr>
        <w:t>Equal Opportunity Specialist in FTA’s Headquarters Office of Civil Rights</w:t>
      </w:r>
      <w:r w:rsidR="002566B9" w:rsidRPr="002566B9">
        <w:rPr>
          <w:sz w:val="28"/>
          <w:szCs w:val="28"/>
        </w:rPr>
        <w:t xml:space="preserve"> documentation that it has an analytical basis in place for certifying compliance of its FTA-funded programs with Title VI.</w:t>
      </w:r>
    </w:p>
    <w:p w:rsidR="00E03A36" w:rsidRPr="002566B9" w:rsidRDefault="00E03A36" w:rsidP="00CB33F0">
      <w:pPr>
        <w:pStyle w:val="ListContinue2"/>
        <w:spacing w:after="0" w:line="360" w:lineRule="auto"/>
        <w:ind w:left="0"/>
        <w:rPr>
          <w:bCs/>
          <w:sz w:val="28"/>
          <w:szCs w:val="28"/>
        </w:rPr>
      </w:pPr>
    </w:p>
    <w:p w:rsidR="00F80A8D" w:rsidRDefault="00CB33F0" w:rsidP="00CB33F0">
      <w:pPr>
        <w:pStyle w:val="BHLevel2"/>
        <w:rPr>
          <w:sz w:val="28"/>
          <w:szCs w:val="28"/>
        </w:rPr>
      </w:pPr>
      <w:bookmarkStart w:id="22" w:name="_Toc272221046"/>
      <w:r w:rsidRPr="00CB33F0">
        <w:rPr>
          <w:sz w:val="28"/>
          <w:szCs w:val="28"/>
        </w:rPr>
        <w:lastRenderedPageBreak/>
        <w:t>Program Administration</w:t>
      </w:r>
      <w:bookmarkEnd w:id="22"/>
    </w:p>
    <w:p w:rsidR="00F80A8D" w:rsidRDefault="00F80A8D">
      <w:pPr>
        <w:pStyle w:val="BodyTextIndent2"/>
        <w:ind w:firstLine="0"/>
        <w:rPr>
          <w:i/>
          <w:iCs/>
          <w:sz w:val="28"/>
        </w:rPr>
      </w:pPr>
      <w:r>
        <w:rPr>
          <w:b/>
          <w:sz w:val="28"/>
          <w:szCs w:val="28"/>
        </w:rPr>
        <w:t xml:space="preserve">Requirement:  </w:t>
      </w:r>
      <w:r w:rsidR="00CB33F0" w:rsidRPr="00CB33F0">
        <w:rPr>
          <w:bCs/>
          <w:i/>
          <w:iCs/>
          <w:sz w:val="28"/>
          <w:szCs w:val="28"/>
        </w:rPr>
        <w:t>State DOT recipients should document that they pass through Federal Transit Administration (FTA) 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r>
        <w:rPr>
          <w:i/>
          <w:iCs/>
          <w:sz w:val="28"/>
        </w:rPr>
        <w:t>.</w:t>
      </w:r>
    </w:p>
    <w:p w:rsidR="00F80A8D" w:rsidRDefault="00F80A8D">
      <w:pPr>
        <w:spacing w:line="360" w:lineRule="auto"/>
        <w:rPr>
          <w:b/>
          <w:sz w:val="28"/>
          <w:szCs w:val="28"/>
        </w:rPr>
      </w:pPr>
    </w:p>
    <w:p w:rsidR="000F1C0E" w:rsidRDefault="00F80A8D" w:rsidP="000F1C0E">
      <w:pPr>
        <w:spacing w:line="360" w:lineRule="auto"/>
        <w:rPr>
          <w:sz w:val="24"/>
          <w:szCs w:val="24"/>
        </w:rPr>
      </w:pPr>
      <w:r>
        <w:rPr>
          <w:b/>
          <w:sz w:val="28"/>
          <w:szCs w:val="28"/>
        </w:rPr>
        <w:t>Findings:</w:t>
      </w:r>
      <w:r>
        <w:rPr>
          <w:sz w:val="28"/>
          <w:szCs w:val="28"/>
        </w:rPr>
        <w:t xml:space="preserve"> </w:t>
      </w:r>
      <w:r w:rsidR="00CB33F0" w:rsidRPr="00CB33F0">
        <w:rPr>
          <w:sz w:val="28"/>
          <w:szCs w:val="28"/>
        </w:rPr>
        <w:t xml:space="preserve">During this Title VI Compliance Review of </w:t>
      </w:r>
      <w:r w:rsidR="007C3CA4">
        <w:rPr>
          <w:sz w:val="28"/>
          <w:szCs w:val="28"/>
        </w:rPr>
        <w:t>H</w:t>
      </w:r>
      <w:r w:rsidR="00CB33F0" w:rsidRPr="00CB33F0">
        <w:rPr>
          <w:sz w:val="28"/>
          <w:szCs w:val="28"/>
        </w:rPr>
        <w:t xml:space="preserve">DOT, </w:t>
      </w:r>
      <w:r w:rsidR="00CB33F0" w:rsidRPr="0080784D">
        <w:rPr>
          <w:sz w:val="28"/>
          <w:szCs w:val="28"/>
        </w:rPr>
        <w:t>deficiencies</w:t>
      </w:r>
      <w:r w:rsidR="00CB33F0" w:rsidRPr="00CB33F0">
        <w:rPr>
          <w:sz w:val="28"/>
          <w:szCs w:val="28"/>
        </w:rPr>
        <w:t xml:space="preserve"> were found regarding </w:t>
      </w:r>
      <w:r w:rsidR="007C3CA4">
        <w:rPr>
          <w:sz w:val="28"/>
          <w:szCs w:val="28"/>
        </w:rPr>
        <w:t>H</w:t>
      </w:r>
      <w:r w:rsidR="00CB33F0" w:rsidRPr="00CB33F0">
        <w:rPr>
          <w:sz w:val="28"/>
          <w:szCs w:val="28"/>
        </w:rPr>
        <w:t xml:space="preserve">DOT’s compliance with FTA requirements for Program Administration. </w:t>
      </w:r>
      <w:r w:rsidR="000F1C0E" w:rsidRPr="000F1C0E">
        <w:rPr>
          <w:sz w:val="28"/>
          <w:szCs w:val="28"/>
        </w:rPr>
        <w:t>There was no documentation that HDOT had performed the program administration activities, such as documenting equitable distribution, a record of requests for funding, or assisting potential subrecipients who might serve minority and low-income populations, as described in the Circular.</w:t>
      </w:r>
    </w:p>
    <w:p w:rsidR="00F80A8D" w:rsidRDefault="00407122" w:rsidP="00CB33F0">
      <w:pPr>
        <w:spacing w:line="360" w:lineRule="auto"/>
        <w:rPr>
          <w:sz w:val="28"/>
          <w:szCs w:val="28"/>
        </w:rPr>
      </w:pPr>
      <w:r>
        <w:rPr>
          <w:sz w:val="28"/>
          <w:szCs w:val="28"/>
        </w:rPr>
        <w:t xml:space="preserve">During the Review, HDOT provided a document entitled </w:t>
      </w:r>
      <w:r w:rsidRPr="00407122">
        <w:rPr>
          <w:i/>
          <w:sz w:val="28"/>
          <w:szCs w:val="28"/>
        </w:rPr>
        <w:t xml:space="preserve">State of Hawaii State Management </w:t>
      </w:r>
      <w:r>
        <w:rPr>
          <w:i/>
          <w:sz w:val="28"/>
          <w:szCs w:val="28"/>
        </w:rPr>
        <w:t>P</w:t>
      </w:r>
      <w:r w:rsidRPr="00407122">
        <w:rPr>
          <w:i/>
          <w:sz w:val="28"/>
          <w:szCs w:val="28"/>
        </w:rPr>
        <w:t xml:space="preserve">lan For the Administration of Federal Transit Grants </w:t>
      </w:r>
      <w:r w:rsidRPr="00407122">
        <w:rPr>
          <w:bCs/>
          <w:i/>
          <w:sz w:val="28"/>
          <w:szCs w:val="28"/>
        </w:rPr>
        <w:t>49 U.S.C. Sections (§) 5310, 5311, 5316 and 5317</w:t>
      </w:r>
      <w:r>
        <w:rPr>
          <w:sz w:val="28"/>
          <w:szCs w:val="28"/>
        </w:rPr>
        <w:t>, dated May 15, 2009, that described HDOT</w:t>
      </w:r>
      <w:r w:rsidR="008323A2">
        <w:rPr>
          <w:sz w:val="28"/>
          <w:szCs w:val="28"/>
        </w:rPr>
        <w:t>’s</w:t>
      </w:r>
      <w:r>
        <w:rPr>
          <w:sz w:val="28"/>
          <w:szCs w:val="28"/>
        </w:rPr>
        <w:t xml:space="preserve"> process for passing through FTA funds. </w:t>
      </w:r>
      <w:r w:rsidR="007C3CA4">
        <w:rPr>
          <w:sz w:val="28"/>
          <w:szCs w:val="28"/>
        </w:rPr>
        <w:t xml:space="preserve">The following table contains </w:t>
      </w:r>
      <w:r w:rsidR="003B5DDA">
        <w:rPr>
          <w:sz w:val="28"/>
          <w:szCs w:val="28"/>
        </w:rPr>
        <w:t xml:space="preserve">Circular </w:t>
      </w:r>
      <w:r w:rsidR="00961EA5">
        <w:rPr>
          <w:sz w:val="28"/>
          <w:szCs w:val="28"/>
        </w:rPr>
        <w:t>requirements</w:t>
      </w:r>
      <w:r w:rsidR="007C3CA4">
        <w:rPr>
          <w:sz w:val="28"/>
          <w:szCs w:val="28"/>
        </w:rPr>
        <w:t xml:space="preserve"> for Program Administration and whether HDOT followed the </w:t>
      </w:r>
      <w:r w:rsidR="00961EA5">
        <w:rPr>
          <w:sz w:val="28"/>
          <w:szCs w:val="28"/>
        </w:rPr>
        <w:t>requirements</w:t>
      </w:r>
      <w:r>
        <w:rPr>
          <w:sz w:val="28"/>
          <w:szCs w:val="28"/>
        </w:rPr>
        <w:t xml:space="preserve">, either in the </w:t>
      </w:r>
      <w:r w:rsidRPr="00407122">
        <w:rPr>
          <w:i/>
          <w:sz w:val="28"/>
          <w:szCs w:val="28"/>
        </w:rPr>
        <w:t>State Management Plan</w:t>
      </w:r>
      <w:r>
        <w:rPr>
          <w:sz w:val="28"/>
          <w:szCs w:val="28"/>
        </w:rPr>
        <w:t xml:space="preserve"> or any other document</w:t>
      </w:r>
      <w:r w:rsidR="007C3CA4">
        <w:rPr>
          <w:sz w:val="28"/>
          <w:szCs w:val="28"/>
        </w:rPr>
        <w:t>:</w:t>
      </w:r>
    </w:p>
    <w:p w:rsidR="007C3CA4" w:rsidRDefault="007C3CA4" w:rsidP="007C3CA4">
      <w:pPr>
        <w:ind w:left="7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7C3CA4" w:rsidTr="0064099D">
        <w:trPr>
          <w:cantSplit/>
        </w:trPr>
        <w:tc>
          <w:tcPr>
            <w:tcW w:w="7938" w:type="dxa"/>
          </w:tcPr>
          <w:p w:rsidR="007C3CA4" w:rsidRDefault="007C3CA4" w:rsidP="0064099D">
            <w:pPr>
              <w:rPr>
                <w:b/>
                <w:iCs/>
                <w:caps/>
                <w:sz w:val="24"/>
                <w:szCs w:val="24"/>
              </w:rPr>
            </w:pPr>
            <w:r>
              <w:rPr>
                <w:b/>
                <w:iCs/>
                <w:caps/>
                <w:sz w:val="24"/>
                <w:szCs w:val="24"/>
              </w:rPr>
              <w:t>GUIDANCE ON PROGRAM ADMINISTRATION</w:t>
            </w:r>
          </w:p>
          <w:p w:rsidR="007C3CA4" w:rsidRDefault="007C3CA4" w:rsidP="0064099D">
            <w:r>
              <w:rPr>
                <w:b/>
                <w:bCs/>
                <w:sz w:val="24"/>
                <w:szCs w:val="28"/>
              </w:rPr>
              <w:t>(Per FTA C. 4702.1A, VI, 2. a. (1) – (5))</w:t>
            </w:r>
          </w:p>
        </w:tc>
        <w:tc>
          <w:tcPr>
            <w:tcW w:w="1368" w:type="dxa"/>
            <w:shd w:val="clear" w:color="auto" w:fill="auto"/>
          </w:tcPr>
          <w:p w:rsidR="007C3CA4" w:rsidRPr="00DB472F" w:rsidRDefault="007C3CA4" w:rsidP="003B5DDA">
            <w:pPr>
              <w:jc w:val="center"/>
              <w:rPr>
                <w:b/>
                <w:sz w:val="22"/>
                <w:szCs w:val="28"/>
              </w:rPr>
            </w:pPr>
            <w:r w:rsidRPr="00DB472F">
              <w:rPr>
                <w:b/>
                <w:sz w:val="22"/>
                <w:szCs w:val="28"/>
              </w:rPr>
              <w:t xml:space="preserve">In HDOT </w:t>
            </w:r>
            <w:r w:rsidR="003B5DDA">
              <w:rPr>
                <w:b/>
                <w:sz w:val="22"/>
                <w:szCs w:val="28"/>
              </w:rPr>
              <w:t>Process</w:t>
            </w:r>
            <w:r w:rsidRPr="00DB472F">
              <w:rPr>
                <w:b/>
                <w:sz w:val="22"/>
                <w:szCs w:val="28"/>
              </w:rPr>
              <w:t>?</w:t>
            </w:r>
          </w:p>
        </w:tc>
      </w:tr>
      <w:tr w:rsidR="007C3CA4" w:rsidTr="0064099D">
        <w:trPr>
          <w:cantSplit/>
        </w:trPr>
        <w:tc>
          <w:tcPr>
            <w:tcW w:w="7938" w:type="dxa"/>
          </w:tcPr>
          <w:p w:rsidR="007C3CA4" w:rsidRPr="007C3CA4" w:rsidRDefault="007C3CA4" w:rsidP="0064099D">
            <w:pPr>
              <w:numPr>
                <w:ilvl w:val="0"/>
                <w:numId w:val="14"/>
              </w:numPr>
            </w:pPr>
            <w:r w:rsidRPr="007C3CA4">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7C3CA4"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t>A description of the agency’s criteria for selecting transit providers to participate in any FTA grant program.</w:t>
            </w:r>
          </w:p>
        </w:tc>
        <w:tc>
          <w:tcPr>
            <w:tcW w:w="1368" w:type="dxa"/>
            <w:vAlign w:val="center"/>
          </w:tcPr>
          <w:p w:rsidR="007C3CA4" w:rsidRDefault="00407122" w:rsidP="0064099D">
            <w:pPr>
              <w:jc w:val="center"/>
              <w:rPr>
                <w:sz w:val="22"/>
                <w:szCs w:val="28"/>
              </w:rPr>
            </w:pPr>
            <w:r>
              <w:rPr>
                <w:sz w:val="22"/>
                <w:szCs w:val="28"/>
              </w:rPr>
              <w:t>Yes, in SMP</w:t>
            </w:r>
          </w:p>
        </w:tc>
      </w:tr>
      <w:tr w:rsidR="007C3CA4" w:rsidTr="0064099D">
        <w:trPr>
          <w:cantSplit/>
        </w:trPr>
        <w:tc>
          <w:tcPr>
            <w:tcW w:w="7938" w:type="dxa"/>
          </w:tcPr>
          <w:p w:rsidR="007C3CA4" w:rsidRPr="007C3CA4" w:rsidRDefault="007C3CA4" w:rsidP="0064099D">
            <w:pPr>
              <w:numPr>
                <w:ilvl w:val="0"/>
                <w:numId w:val="14"/>
              </w:numPr>
            </w:pPr>
            <w:r w:rsidRPr="007C3CA4">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596328"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lastRenderedPageBreak/>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7C3CA4" w:rsidRDefault="003B5DDA" w:rsidP="0064099D">
            <w:pPr>
              <w:jc w:val="center"/>
              <w:rPr>
                <w:sz w:val="22"/>
                <w:szCs w:val="28"/>
              </w:rPr>
            </w:pPr>
            <w:r>
              <w:rPr>
                <w:sz w:val="22"/>
                <w:szCs w:val="28"/>
              </w:rPr>
              <w:t>No</w:t>
            </w:r>
          </w:p>
        </w:tc>
      </w:tr>
      <w:tr w:rsidR="007C3CA4" w:rsidTr="0064099D">
        <w:trPr>
          <w:cantSplit/>
        </w:trPr>
        <w:tc>
          <w:tcPr>
            <w:tcW w:w="7938" w:type="dxa"/>
          </w:tcPr>
          <w:p w:rsidR="007C3CA4" w:rsidRPr="007C3CA4" w:rsidRDefault="007C3CA4" w:rsidP="0064099D">
            <w:pPr>
              <w:numPr>
                <w:ilvl w:val="0"/>
                <w:numId w:val="14"/>
              </w:numPr>
            </w:pPr>
            <w:r w:rsidRPr="007C3CA4">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7C3CA4" w:rsidRDefault="003B5DDA" w:rsidP="0064099D">
            <w:pPr>
              <w:jc w:val="center"/>
              <w:rPr>
                <w:sz w:val="22"/>
                <w:szCs w:val="28"/>
              </w:rPr>
            </w:pPr>
            <w:r>
              <w:rPr>
                <w:sz w:val="22"/>
                <w:szCs w:val="28"/>
              </w:rPr>
              <w:t>No</w:t>
            </w:r>
          </w:p>
        </w:tc>
      </w:tr>
    </w:tbl>
    <w:p w:rsidR="007C3CA4" w:rsidRDefault="007C3CA4" w:rsidP="007C3CA4">
      <w:pPr>
        <w:ind w:left="720"/>
        <w:rPr>
          <w:sz w:val="28"/>
          <w:szCs w:val="28"/>
        </w:rPr>
      </w:pPr>
    </w:p>
    <w:p w:rsidR="007C3CA4" w:rsidRDefault="007C3CA4" w:rsidP="007C3CA4">
      <w:pPr>
        <w:ind w:left="720"/>
        <w:rPr>
          <w:sz w:val="28"/>
          <w:szCs w:val="28"/>
        </w:rPr>
      </w:pPr>
    </w:p>
    <w:p w:rsidR="00A2623C" w:rsidRDefault="00407122" w:rsidP="00961EA5">
      <w:pPr>
        <w:spacing w:line="360" w:lineRule="auto"/>
        <w:rPr>
          <w:sz w:val="28"/>
          <w:szCs w:val="28"/>
        </w:rPr>
      </w:pPr>
      <w:r>
        <w:rPr>
          <w:sz w:val="28"/>
          <w:szCs w:val="28"/>
        </w:rPr>
        <w:t xml:space="preserve">During the Review, it was determined that </w:t>
      </w:r>
      <w:r w:rsidR="00A2623C">
        <w:rPr>
          <w:sz w:val="28"/>
          <w:szCs w:val="28"/>
        </w:rPr>
        <w:t>HDOT requested the following information in its Section 5310 application:</w:t>
      </w:r>
    </w:p>
    <w:p w:rsidR="00A2623C" w:rsidRDefault="00A2623C" w:rsidP="007C3CA4">
      <w:pPr>
        <w:ind w:left="720"/>
        <w:rPr>
          <w:sz w:val="28"/>
          <w:szCs w:val="28"/>
        </w:rPr>
      </w:pPr>
    </w:p>
    <w:p w:rsidR="00A2623C" w:rsidRDefault="003E2498" w:rsidP="00A2623C">
      <w:pPr>
        <w:ind w:left="720"/>
        <w:jc w:val="both"/>
        <w:rPr>
          <w:sz w:val="28"/>
          <w:szCs w:val="28"/>
        </w:rPr>
      </w:pPr>
      <w:r>
        <w:rPr>
          <w:noProof/>
          <w:sz w:val="28"/>
          <w:szCs w:val="28"/>
        </w:rPr>
        <w:drawing>
          <wp:inline distT="0" distB="0" distL="0" distR="0">
            <wp:extent cx="57721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72150" cy="1019175"/>
                    </a:xfrm>
                    <a:prstGeom prst="rect">
                      <a:avLst/>
                    </a:prstGeom>
                    <a:noFill/>
                    <a:ln w="9525">
                      <a:noFill/>
                      <a:miter lim="800000"/>
                      <a:headEnd/>
                      <a:tailEnd/>
                    </a:ln>
                  </pic:spPr>
                </pic:pic>
              </a:graphicData>
            </a:graphic>
          </wp:inline>
        </w:drawing>
      </w:r>
    </w:p>
    <w:p w:rsidR="00A2623C" w:rsidRDefault="00A2623C" w:rsidP="007C3CA4">
      <w:pPr>
        <w:ind w:left="720"/>
        <w:rPr>
          <w:sz w:val="28"/>
          <w:szCs w:val="28"/>
        </w:rPr>
      </w:pPr>
    </w:p>
    <w:p w:rsidR="00A2623C" w:rsidRDefault="00A2623C" w:rsidP="007C3CA4">
      <w:pPr>
        <w:ind w:left="720"/>
        <w:rPr>
          <w:sz w:val="28"/>
          <w:szCs w:val="28"/>
        </w:rPr>
      </w:pPr>
    </w:p>
    <w:p w:rsidR="00A2623C" w:rsidRDefault="00A2623C" w:rsidP="00A550A9">
      <w:pPr>
        <w:spacing w:line="360" w:lineRule="auto"/>
        <w:rPr>
          <w:b/>
          <w:bCs/>
          <w:sz w:val="28"/>
          <w:szCs w:val="28"/>
        </w:rPr>
      </w:pPr>
    </w:p>
    <w:p w:rsidR="00A2623C" w:rsidRDefault="003E2498" w:rsidP="00A550A9">
      <w:pPr>
        <w:spacing w:line="360" w:lineRule="auto"/>
        <w:rPr>
          <w:b/>
          <w:bCs/>
          <w:sz w:val="28"/>
          <w:szCs w:val="28"/>
        </w:rPr>
      </w:pPr>
      <w:r>
        <w:rPr>
          <w:b/>
          <w:bCs/>
          <w:noProof/>
          <w:sz w:val="28"/>
          <w:szCs w:val="28"/>
        </w:rPr>
        <w:drawing>
          <wp:inline distT="0" distB="0" distL="0" distR="0">
            <wp:extent cx="5772150" cy="3000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72150" cy="3000375"/>
                    </a:xfrm>
                    <a:prstGeom prst="rect">
                      <a:avLst/>
                    </a:prstGeom>
                    <a:noFill/>
                    <a:ln w="9525">
                      <a:noFill/>
                      <a:miter lim="800000"/>
                      <a:headEnd/>
                      <a:tailEnd/>
                    </a:ln>
                  </pic:spPr>
                </pic:pic>
              </a:graphicData>
            </a:graphic>
          </wp:inline>
        </w:drawing>
      </w:r>
    </w:p>
    <w:p w:rsidR="00A2623C" w:rsidRDefault="00A2623C" w:rsidP="00A550A9">
      <w:pPr>
        <w:spacing w:line="360" w:lineRule="auto"/>
        <w:rPr>
          <w:b/>
          <w:bCs/>
          <w:sz w:val="28"/>
          <w:szCs w:val="28"/>
        </w:rPr>
      </w:pPr>
    </w:p>
    <w:p w:rsidR="00A2623C" w:rsidRPr="00407122" w:rsidRDefault="00407122" w:rsidP="00A550A9">
      <w:pPr>
        <w:spacing w:line="360" w:lineRule="auto"/>
        <w:rPr>
          <w:bCs/>
          <w:sz w:val="28"/>
          <w:szCs w:val="28"/>
        </w:rPr>
      </w:pPr>
      <w:r w:rsidRPr="00407122">
        <w:rPr>
          <w:bCs/>
          <w:sz w:val="28"/>
          <w:szCs w:val="28"/>
        </w:rPr>
        <w:lastRenderedPageBreak/>
        <w:t xml:space="preserve">HDOT </w:t>
      </w:r>
      <w:r>
        <w:rPr>
          <w:bCs/>
          <w:sz w:val="28"/>
          <w:szCs w:val="28"/>
        </w:rPr>
        <w:t>did not request the ethnicity information in any of its other applications. HDOT did request income information in its Section 5316 application. HDOT did not utilize the</w:t>
      </w:r>
      <w:r w:rsidR="00C657B3">
        <w:rPr>
          <w:bCs/>
          <w:sz w:val="28"/>
          <w:szCs w:val="28"/>
        </w:rPr>
        <w:t xml:space="preserve"> ethnicity</w:t>
      </w:r>
      <w:r>
        <w:rPr>
          <w:bCs/>
          <w:sz w:val="28"/>
          <w:szCs w:val="28"/>
        </w:rPr>
        <w:t xml:space="preserve"> information it requested above as part of its selection process nor did it utilize the information to </w:t>
      </w:r>
      <w:r w:rsidR="000670FA">
        <w:rPr>
          <w:bCs/>
          <w:sz w:val="28"/>
          <w:szCs w:val="28"/>
        </w:rPr>
        <w:t>ensure</w:t>
      </w:r>
      <w:r w:rsidR="000670FA" w:rsidRPr="000670FA">
        <w:rPr>
          <w:bCs/>
          <w:iCs/>
          <w:sz w:val="28"/>
          <w:szCs w:val="28"/>
        </w:rPr>
        <w:t xml:space="preserve"> that minority </w:t>
      </w:r>
      <w:r w:rsidR="000670FA">
        <w:rPr>
          <w:bCs/>
          <w:iCs/>
          <w:sz w:val="28"/>
          <w:szCs w:val="28"/>
        </w:rPr>
        <w:t xml:space="preserve">and low-income </w:t>
      </w:r>
      <w:r w:rsidR="000670FA" w:rsidRPr="000670FA">
        <w:rPr>
          <w:bCs/>
          <w:iCs/>
          <w:sz w:val="28"/>
          <w:szCs w:val="28"/>
        </w:rPr>
        <w:t xml:space="preserve">populations </w:t>
      </w:r>
      <w:r w:rsidR="000670FA">
        <w:rPr>
          <w:bCs/>
          <w:iCs/>
          <w:sz w:val="28"/>
          <w:szCs w:val="28"/>
        </w:rPr>
        <w:t>we</w:t>
      </w:r>
      <w:r w:rsidR="000670FA" w:rsidRPr="000670FA">
        <w:rPr>
          <w:bCs/>
          <w:iCs/>
          <w:sz w:val="28"/>
          <w:szCs w:val="28"/>
        </w:rPr>
        <w:t xml:space="preserve">re not being denied the benefits of or excluded from participation in </w:t>
      </w:r>
      <w:r w:rsidR="000670FA">
        <w:rPr>
          <w:bCs/>
          <w:iCs/>
          <w:sz w:val="28"/>
          <w:szCs w:val="28"/>
        </w:rPr>
        <w:t>FTA-funded</w:t>
      </w:r>
      <w:r w:rsidR="000670FA" w:rsidRPr="000670FA">
        <w:rPr>
          <w:bCs/>
          <w:iCs/>
          <w:sz w:val="28"/>
          <w:szCs w:val="28"/>
        </w:rPr>
        <w:t xml:space="preserve"> programs</w:t>
      </w:r>
      <w:r w:rsidR="000670FA">
        <w:rPr>
          <w:bCs/>
          <w:iCs/>
          <w:sz w:val="28"/>
          <w:szCs w:val="28"/>
        </w:rPr>
        <w:t xml:space="preserve"> as described in the Circular.</w:t>
      </w:r>
    </w:p>
    <w:p w:rsidR="00A2623C" w:rsidRDefault="00A2623C" w:rsidP="00A550A9">
      <w:pPr>
        <w:spacing w:line="360" w:lineRule="auto"/>
        <w:rPr>
          <w:b/>
          <w:bCs/>
          <w:sz w:val="28"/>
          <w:szCs w:val="28"/>
        </w:rPr>
      </w:pPr>
    </w:p>
    <w:p w:rsidR="00C657B3" w:rsidRDefault="00961EA5" w:rsidP="00C657B3">
      <w:pPr>
        <w:spacing w:line="360" w:lineRule="auto"/>
        <w:rPr>
          <w:bCs/>
          <w:sz w:val="28"/>
          <w:szCs w:val="28"/>
        </w:rPr>
      </w:pPr>
      <w:r w:rsidRPr="00961EA5">
        <w:rPr>
          <w:bCs/>
          <w:sz w:val="28"/>
          <w:szCs w:val="28"/>
        </w:rPr>
        <w:t>Following</w:t>
      </w:r>
      <w:r>
        <w:rPr>
          <w:bCs/>
          <w:sz w:val="28"/>
          <w:szCs w:val="28"/>
        </w:rPr>
        <w:t xml:space="preserve"> the site visit, HDOT provide</w:t>
      </w:r>
      <w:r w:rsidR="00E03A36">
        <w:rPr>
          <w:bCs/>
          <w:sz w:val="28"/>
          <w:szCs w:val="28"/>
        </w:rPr>
        <w:t>d</w:t>
      </w:r>
      <w:r>
        <w:rPr>
          <w:bCs/>
          <w:sz w:val="28"/>
          <w:szCs w:val="28"/>
        </w:rPr>
        <w:t xml:space="preserve"> procedures for documenting the equitable distribution of funds to agencies</w:t>
      </w:r>
      <w:r w:rsidR="006A2BC5">
        <w:rPr>
          <w:bCs/>
          <w:sz w:val="28"/>
          <w:szCs w:val="28"/>
        </w:rPr>
        <w:t xml:space="preserve"> that provide</w:t>
      </w:r>
      <w:r w:rsidR="00E03A36">
        <w:rPr>
          <w:bCs/>
          <w:sz w:val="28"/>
          <w:szCs w:val="28"/>
        </w:rPr>
        <w:t>d</w:t>
      </w:r>
      <w:r w:rsidR="006A2BC5">
        <w:rPr>
          <w:bCs/>
          <w:sz w:val="28"/>
          <w:szCs w:val="28"/>
        </w:rPr>
        <w:t xml:space="preserve"> assistance to minority and low-income communities. It provided form</w:t>
      </w:r>
      <w:r w:rsidR="00E03A36">
        <w:rPr>
          <w:bCs/>
          <w:sz w:val="28"/>
          <w:szCs w:val="28"/>
        </w:rPr>
        <w:t>s</w:t>
      </w:r>
      <w:r w:rsidR="006A2BC5">
        <w:rPr>
          <w:bCs/>
          <w:sz w:val="28"/>
          <w:szCs w:val="28"/>
        </w:rPr>
        <w:t xml:space="preserve"> that it will be using in subsequent applications and the form that would be the “record of requests” as required by the Circular.</w:t>
      </w:r>
    </w:p>
    <w:p w:rsidR="006A2BC5" w:rsidRDefault="006A2BC5" w:rsidP="00C657B3">
      <w:pPr>
        <w:spacing w:line="360" w:lineRule="auto"/>
        <w:rPr>
          <w:bCs/>
          <w:sz w:val="28"/>
          <w:szCs w:val="28"/>
        </w:rPr>
      </w:pPr>
    </w:p>
    <w:p w:rsidR="006A2BC5" w:rsidRPr="00961EA5" w:rsidRDefault="006A2BC5" w:rsidP="00C657B3">
      <w:pPr>
        <w:spacing w:line="360" w:lineRule="auto"/>
        <w:rPr>
          <w:sz w:val="28"/>
          <w:szCs w:val="28"/>
        </w:rPr>
      </w:pPr>
      <w:r>
        <w:rPr>
          <w:bCs/>
          <w:sz w:val="28"/>
          <w:szCs w:val="28"/>
        </w:rPr>
        <w:t>The deficiencies in this area are now closed.</w:t>
      </w:r>
    </w:p>
    <w:p w:rsidR="00A550A9" w:rsidRPr="00A550A9" w:rsidRDefault="00A550A9" w:rsidP="00A550A9">
      <w:pPr>
        <w:spacing w:line="360" w:lineRule="auto"/>
        <w:rPr>
          <w:sz w:val="28"/>
          <w:szCs w:val="28"/>
        </w:rPr>
      </w:pPr>
    </w:p>
    <w:p w:rsidR="00A550A9" w:rsidRPr="00064AF5" w:rsidRDefault="00A550A9" w:rsidP="00C657B3">
      <w:pPr>
        <w:ind w:left="720"/>
        <w:rPr>
          <w:sz w:val="28"/>
          <w:szCs w:val="28"/>
          <w:highlight w:val="yellow"/>
        </w:rPr>
      </w:pPr>
    </w:p>
    <w:p w:rsidR="00F80A8D" w:rsidRDefault="00A550A9">
      <w:pPr>
        <w:pStyle w:val="BHLevel2"/>
        <w:rPr>
          <w:sz w:val="28"/>
          <w:szCs w:val="28"/>
        </w:rPr>
      </w:pPr>
      <w:bookmarkStart w:id="23" w:name="_Toc272221047"/>
      <w:r w:rsidRPr="00A550A9">
        <w:rPr>
          <w:sz w:val="28"/>
          <w:szCs w:val="28"/>
        </w:rPr>
        <w:t>Providing Assistance to Subrecipients</w:t>
      </w:r>
      <w:bookmarkEnd w:id="23"/>
    </w:p>
    <w:p w:rsidR="00F80A8D" w:rsidRDefault="00F80A8D">
      <w:pPr>
        <w:pStyle w:val="BodyTextIndent2"/>
        <w:ind w:firstLine="0"/>
        <w:rPr>
          <w:i/>
          <w:iCs/>
        </w:rPr>
      </w:pPr>
      <w:r>
        <w:rPr>
          <w:b/>
          <w:sz w:val="28"/>
          <w:szCs w:val="28"/>
        </w:rPr>
        <w:t xml:space="preserve">Requirement: </w:t>
      </w:r>
      <w:r>
        <w:rPr>
          <w:sz w:val="28"/>
          <w:szCs w:val="28"/>
        </w:rPr>
        <w:t xml:space="preserve">  </w:t>
      </w:r>
      <w:r w:rsidR="00A550A9" w:rsidRPr="00A550A9">
        <w:rPr>
          <w:i/>
          <w:iCs/>
          <w:sz w:val="28"/>
          <w:szCs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r>
        <w:rPr>
          <w:i/>
          <w:iCs/>
          <w:sz w:val="28"/>
        </w:rPr>
        <w:t>.</w:t>
      </w:r>
    </w:p>
    <w:p w:rsidR="00F80A8D" w:rsidRDefault="00F80A8D">
      <w:pPr>
        <w:pStyle w:val="BodyTextIndent2"/>
        <w:tabs>
          <w:tab w:val="left" w:pos="6465"/>
        </w:tabs>
        <w:ind w:firstLine="0"/>
        <w:rPr>
          <w:i/>
          <w:iCs/>
        </w:rPr>
      </w:pPr>
      <w:r>
        <w:rPr>
          <w:i/>
          <w:iCs/>
        </w:rPr>
        <w:tab/>
      </w:r>
    </w:p>
    <w:p w:rsidR="00A550A9" w:rsidRDefault="00F80A8D" w:rsidP="00A550A9">
      <w:pPr>
        <w:spacing w:line="360" w:lineRule="auto"/>
        <w:rPr>
          <w:sz w:val="28"/>
          <w:szCs w:val="28"/>
        </w:rPr>
      </w:pPr>
      <w:r>
        <w:rPr>
          <w:b/>
          <w:sz w:val="28"/>
          <w:szCs w:val="28"/>
        </w:rPr>
        <w:t xml:space="preserve">Findings:  </w:t>
      </w:r>
      <w:r w:rsidR="00A550A9">
        <w:rPr>
          <w:sz w:val="28"/>
        </w:rPr>
        <w:t xml:space="preserve">During this Title VI Compliance Review of </w:t>
      </w:r>
      <w:r w:rsidR="00064AF5">
        <w:rPr>
          <w:sz w:val="28"/>
        </w:rPr>
        <w:t>HDOT</w:t>
      </w:r>
      <w:r w:rsidR="00A550A9" w:rsidRPr="0080784D">
        <w:rPr>
          <w:sz w:val="28"/>
        </w:rPr>
        <w:t xml:space="preserve">, </w:t>
      </w:r>
      <w:r w:rsidR="0080784D">
        <w:rPr>
          <w:sz w:val="28"/>
        </w:rPr>
        <w:t xml:space="preserve">no </w:t>
      </w:r>
      <w:r w:rsidR="00A550A9" w:rsidRPr="0080784D">
        <w:rPr>
          <w:sz w:val="28"/>
        </w:rPr>
        <w:t>deficiencies</w:t>
      </w:r>
      <w:r w:rsidR="00A550A9">
        <w:rPr>
          <w:sz w:val="28"/>
        </w:rPr>
        <w:t xml:space="preserve"> were found regarding </w:t>
      </w:r>
      <w:r w:rsidR="00064AF5">
        <w:rPr>
          <w:sz w:val="28"/>
        </w:rPr>
        <w:t>HDOT</w:t>
      </w:r>
      <w:r w:rsidR="00A550A9">
        <w:rPr>
          <w:sz w:val="28"/>
        </w:rPr>
        <w:t>’s compliance with FTA guidance for Providing Assistance to Subrecipients</w:t>
      </w:r>
      <w:r w:rsidR="00807EBC">
        <w:rPr>
          <w:sz w:val="28"/>
        </w:rPr>
        <w:t xml:space="preserve">.  </w:t>
      </w:r>
      <w:r w:rsidR="00807EBC">
        <w:rPr>
          <w:sz w:val="28"/>
          <w:szCs w:val="28"/>
        </w:rPr>
        <w:t>The following table contains guidance for Providing Assistance to Subrecipients and whether HDOT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lastRenderedPageBreak/>
              <w:t>GUIDANCE ON PROVIDING ASSISTANCE TO SUBRECIPIENTS</w:t>
            </w:r>
          </w:p>
          <w:p w:rsidR="00807EBC" w:rsidRDefault="00807EBC" w:rsidP="00807EBC">
            <w:r>
              <w:rPr>
                <w:b/>
                <w:bCs/>
                <w:sz w:val="24"/>
                <w:szCs w:val="28"/>
              </w:rPr>
              <w:t xml:space="preserve">(Per FTA C. 4702.1A, VI, </w:t>
            </w:r>
            <w:proofErr w:type="gramStart"/>
            <w:r>
              <w:rPr>
                <w:b/>
                <w:bCs/>
                <w:sz w:val="24"/>
                <w:szCs w:val="28"/>
              </w:rPr>
              <w:t>4</w:t>
            </w:r>
            <w:proofErr w:type="gramEnd"/>
            <w:r>
              <w:rPr>
                <w:b/>
                <w:bCs/>
                <w:sz w:val="24"/>
                <w:szCs w:val="28"/>
              </w:rPr>
              <w:t>. a. – c.)</w:t>
            </w:r>
          </w:p>
        </w:tc>
        <w:tc>
          <w:tcPr>
            <w:tcW w:w="1368" w:type="dxa"/>
            <w:shd w:val="clear" w:color="auto" w:fill="auto"/>
          </w:tcPr>
          <w:p w:rsidR="00807EBC" w:rsidRPr="00DB472F" w:rsidRDefault="00807EBC" w:rsidP="00BE43D8">
            <w:pPr>
              <w:jc w:val="center"/>
              <w:rPr>
                <w:b/>
                <w:sz w:val="22"/>
                <w:szCs w:val="28"/>
              </w:rPr>
            </w:pPr>
            <w:r w:rsidRPr="00DB472F">
              <w:rPr>
                <w:b/>
                <w:sz w:val="22"/>
                <w:szCs w:val="28"/>
              </w:rPr>
              <w:t xml:space="preserve">HDOT </w:t>
            </w:r>
          </w:p>
        </w:tc>
      </w:tr>
      <w:tr w:rsidR="00807EBC" w:rsidTr="0064099D">
        <w:trPr>
          <w:cantSplit/>
        </w:trPr>
        <w:tc>
          <w:tcPr>
            <w:tcW w:w="7938" w:type="dxa"/>
          </w:tcPr>
          <w:p w:rsidR="00807EBC" w:rsidRPr="007C3CA4" w:rsidRDefault="00807EBC" w:rsidP="0064099D">
            <w:pPr>
              <w:numPr>
                <w:ilvl w:val="0"/>
                <w:numId w:val="14"/>
              </w:numPr>
            </w:pPr>
            <w:r w:rsidRPr="00807EBC">
              <w:t>Sample notices to the public informing beneficiaries of their rights under Title VI and procedures on how to file a Title VI complaint.</w:t>
            </w:r>
          </w:p>
        </w:tc>
        <w:tc>
          <w:tcPr>
            <w:tcW w:w="1368" w:type="dxa"/>
            <w:vAlign w:val="center"/>
          </w:tcPr>
          <w:p w:rsidR="00807EBC" w:rsidRDefault="00BE43D8" w:rsidP="0064099D">
            <w:pPr>
              <w:jc w:val="center"/>
              <w:rPr>
                <w:sz w:val="22"/>
                <w:szCs w:val="28"/>
              </w:rPr>
            </w:pPr>
            <w:r>
              <w:rPr>
                <w:sz w:val="22"/>
                <w:szCs w:val="28"/>
              </w:rPr>
              <w:t>Yes</w:t>
            </w:r>
          </w:p>
        </w:tc>
      </w:tr>
      <w:tr w:rsidR="00807EBC" w:rsidTr="0064099D">
        <w:trPr>
          <w:cantSplit/>
        </w:trPr>
        <w:tc>
          <w:tcPr>
            <w:tcW w:w="7938" w:type="dxa"/>
          </w:tcPr>
          <w:p w:rsidR="00807EBC" w:rsidRPr="007C3CA4" w:rsidRDefault="00807EBC" w:rsidP="0064099D">
            <w:pPr>
              <w:numPr>
                <w:ilvl w:val="0"/>
                <w:numId w:val="14"/>
              </w:numPr>
            </w:pPr>
            <w:r w:rsidRPr="00807EBC">
              <w:t>Sample procedures for tracking and investigating Title VI complaints filed with a subrecipient.</w:t>
            </w:r>
          </w:p>
        </w:tc>
        <w:tc>
          <w:tcPr>
            <w:tcW w:w="1368" w:type="dxa"/>
            <w:vAlign w:val="center"/>
          </w:tcPr>
          <w:p w:rsidR="00807EBC" w:rsidRDefault="00BE43D8" w:rsidP="0064099D">
            <w:pPr>
              <w:jc w:val="center"/>
              <w:rPr>
                <w:sz w:val="22"/>
                <w:szCs w:val="28"/>
              </w:rPr>
            </w:pPr>
            <w:r>
              <w:rPr>
                <w:sz w:val="22"/>
                <w:szCs w:val="28"/>
              </w:rPr>
              <w:t>Yes</w:t>
            </w:r>
          </w:p>
        </w:tc>
      </w:tr>
      <w:tr w:rsidR="00807EBC" w:rsidTr="0064099D">
        <w:trPr>
          <w:cantSplit/>
        </w:trPr>
        <w:tc>
          <w:tcPr>
            <w:tcW w:w="7938" w:type="dxa"/>
          </w:tcPr>
          <w:p w:rsidR="00807EBC" w:rsidRPr="007C3CA4" w:rsidRDefault="00807EBC" w:rsidP="0064099D">
            <w:pPr>
              <w:numPr>
                <w:ilvl w:val="0"/>
                <w:numId w:val="14"/>
              </w:numPr>
            </w:pPr>
            <w:r w:rsidRPr="00807EBC">
              <w:t>Demographic information on the race, income, and English proficiency of residents served by the subrecipient. (This information will assist the subrecipient in assessing the level and quality of service it provides to communities within its service area and in assessing the need for language assistance.)</w:t>
            </w:r>
          </w:p>
        </w:tc>
        <w:tc>
          <w:tcPr>
            <w:tcW w:w="1368" w:type="dxa"/>
            <w:vAlign w:val="center"/>
          </w:tcPr>
          <w:p w:rsidR="00807EBC" w:rsidRDefault="00BE43D8" w:rsidP="0064099D">
            <w:pPr>
              <w:jc w:val="center"/>
              <w:rPr>
                <w:sz w:val="22"/>
                <w:szCs w:val="28"/>
              </w:rPr>
            </w:pPr>
            <w:r>
              <w:rPr>
                <w:sz w:val="22"/>
                <w:szCs w:val="28"/>
              </w:rPr>
              <w:t>Yes</w:t>
            </w:r>
          </w:p>
        </w:tc>
      </w:tr>
    </w:tbl>
    <w:p w:rsidR="006A2BC5" w:rsidRDefault="006A2BC5" w:rsidP="00A550A9">
      <w:pPr>
        <w:spacing w:line="360" w:lineRule="auto"/>
        <w:rPr>
          <w:sz w:val="28"/>
          <w:szCs w:val="28"/>
        </w:rPr>
      </w:pPr>
    </w:p>
    <w:p w:rsidR="00807EBC" w:rsidRDefault="008B49BE" w:rsidP="00A550A9">
      <w:pPr>
        <w:spacing w:line="360" w:lineRule="auto"/>
        <w:rPr>
          <w:sz w:val="28"/>
          <w:szCs w:val="28"/>
        </w:rPr>
      </w:pPr>
      <w:r w:rsidRPr="008B49BE">
        <w:rPr>
          <w:sz w:val="28"/>
          <w:szCs w:val="28"/>
        </w:rPr>
        <w:t xml:space="preserve">In the documents provided to the Review team prior to the site visit, HDOT </w:t>
      </w:r>
      <w:r>
        <w:rPr>
          <w:sz w:val="28"/>
          <w:szCs w:val="28"/>
        </w:rPr>
        <w:t xml:space="preserve">included </w:t>
      </w:r>
      <w:r w:rsidR="006A2BC5">
        <w:rPr>
          <w:sz w:val="28"/>
          <w:szCs w:val="28"/>
        </w:rPr>
        <w:t xml:space="preserve">the following information </w:t>
      </w:r>
      <w:r w:rsidRPr="008B49BE">
        <w:rPr>
          <w:sz w:val="28"/>
          <w:szCs w:val="28"/>
        </w:rPr>
        <w:t>under the section labeled “HDOT Assistance to Subrecipients”</w:t>
      </w:r>
      <w:r>
        <w:rPr>
          <w:sz w:val="28"/>
          <w:szCs w:val="28"/>
        </w:rPr>
        <w:t xml:space="preserve"> as follows</w:t>
      </w:r>
      <w:r w:rsidRPr="008B49BE">
        <w:rPr>
          <w:sz w:val="28"/>
          <w:szCs w:val="28"/>
        </w:rPr>
        <w:t>:</w:t>
      </w:r>
    </w:p>
    <w:p w:rsidR="008B49BE" w:rsidRPr="008B49BE" w:rsidRDefault="008B49BE" w:rsidP="00A550A9">
      <w:pPr>
        <w:spacing w:line="360" w:lineRule="auto"/>
        <w:rPr>
          <w:sz w:val="28"/>
          <w:szCs w:val="28"/>
        </w:rPr>
      </w:pPr>
    </w:p>
    <w:p w:rsidR="00F57221" w:rsidRPr="008B49BE" w:rsidRDefault="00F57221" w:rsidP="00E03A36">
      <w:pPr>
        <w:rPr>
          <w:i/>
          <w:sz w:val="28"/>
          <w:szCs w:val="28"/>
        </w:rPr>
      </w:pPr>
      <w:r w:rsidRPr="008B49BE">
        <w:rPr>
          <w:i/>
          <w:sz w:val="28"/>
          <w:szCs w:val="28"/>
        </w:rPr>
        <w:t xml:space="preserve">Subrecipients were given the following: sample notices to the public informing beneficiaries of their rights under Title VI and procedures on how to file a Title VI compliant; sample procedures for tracking and investigating Title VI complaints filed with a subrecipient; and demographic information on the race, income, and English proficiency of residents served by the subrecipient. </w:t>
      </w:r>
    </w:p>
    <w:p w:rsidR="00F57221" w:rsidRPr="008B49BE" w:rsidRDefault="00F57221" w:rsidP="00A550A9">
      <w:pPr>
        <w:spacing w:line="360" w:lineRule="auto"/>
        <w:rPr>
          <w:b/>
          <w:sz w:val="28"/>
          <w:szCs w:val="28"/>
        </w:rPr>
      </w:pPr>
    </w:p>
    <w:p w:rsidR="000658ED" w:rsidRPr="006A2BC5" w:rsidRDefault="006A2BC5" w:rsidP="00A550A9">
      <w:pPr>
        <w:spacing w:line="360" w:lineRule="auto"/>
        <w:rPr>
          <w:color w:val="FF0000"/>
          <w:sz w:val="28"/>
          <w:szCs w:val="28"/>
        </w:rPr>
      </w:pPr>
      <w:r>
        <w:rPr>
          <w:sz w:val="28"/>
          <w:szCs w:val="28"/>
        </w:rPr>
        <w:t xml:space="preserve">During the site visit, </w:t>
      </w:r>
      <w:r w:rsidR="0080784D" w:rsidRPr="006A2BC5">
        <w:rPr>
          <w:sz w:val="28"/>
          <w:szCs w:val="28"/>
        </w:rPr>
        <w:t xml:space="preserve">the Title VI Specialist confirmed that HDOT was </w:t>
      </w:r>
      <w:r>
        <w:rPr>
          <w:sz w:val="28"/>
          <w:szCs w:val="28"/>
        </w:rPr>
        <w:t xml:space="preserve">also </w:t>
      </w:r>
      <w:r w:rsidR="0080784D" w:rsidRPr="006A2BC5">
        <w:rPr>
          <w:sz w:val="28"/>
          <w:szCs w:val="28"/>
        </w:rPr>
        <w:t>providing</w:t>
      </w:r>
      <w:r>
        <w:rPr>
          <w:sz w:val="28"/>
          <w:szCs w:val="28"/>
        </w:rPr>
        <w:t xml:space="preserve"> additional</w:t>
      </w:r>
      <w:r w:rsidR="0080784D" w:rsidRPr="006A2BC5">
        <w:rPr>
          <w:sz w:val="28"/>
          <w:szCs w:val="28"/>
        </w:rPr>
        <w:t xml:space="preserve"> assistance to subrecipients.  Meetings were held to discuss Title VI issues, sample notices were given to subrecipients, subrecipients were tracking and reporting complaints, and there was sufficient demographic data</w:t>
      </w:r>
      <w:r w:rsidR="00420952">
        <w:rPr>
          <w:sz w:val="28"/>
          <w:szCs w:val="28"/>
        </w:rPr>
        <w:t xml:space="preserve"> provided</w:t>
      </w:r>
      <w:r w:rsidR="0080784D" w:rsidRPr="006A2BC5">
        <w:rPr>
          <w:sz w:val="28"/>
          <w:szCs w:val="28"/>
        </w:rPr>
        <w:t xml:space="preserve"> about the minority and LEP populations in the service area.</w:t>
      </w:r>
    </w:p>
    <w:p w:rsidR="000658ED" w:rsidRDefault="000658ED" w:rsidP="00A550A9">
      <w:pPr>
        <w:spacing w:line="360" w:lineRule="auto"/>
        <w:rPr>
          <w:sz w:val="28"/>
          <w:szCs w:val="28"/>
        </w:rPr>
      </w:pPr>
    </w:p>
    <w:p w:rsidR="00F80A8D" w:rsidRDefault="00A550A9">
      <w:pPr>
        <w:pStyle w:val="BHLevel2"/>
        <w:rPr>
          <w:sz w:val="28"/>
          <w:szCs w:val="28"/>
        </w:rPr>
      </w:pPr>
      <w:bookmarkStart w:id="24" w:name="_Toc272221048"/>
      <w:r w:rsidRPr="00A550A9">
        <w:rPr>
          <w:sz w:val="28"/>
          <w:szCs w:val="28"/>
        </w:rPr>
        <w:t>Monitoring Subrecipients</w:t>
      </w:r>
      <w:bookmarkEnd w:id="24"/>
    </w:p>
    <w:p w:rsidR="00F80A8D" w:rsidRDefault="00F80A8D">
      <w:pPr>
        <w:pStyle w:val="BodyTextIndent2"/>
        <w:ind w:firstLine="0"/>
        <w:rPr>
          <w:rFonts w:cs="Arial"/>
          <w:i/>
          <w:iCs/>
          <w:spacing w:val="4"/>
        </w:rPr>
      </w:pPr>
      <w:r>
        <w:rPr>
          <w:b/>
          <w:sz w:val="28"/>
          <w:szCs w:val="28"/>
        </w:rPr>
        <w:t xml:space="preserve">Requirement:  </w:t>
      </w:r>
      <w:r w:rsidR="00A550A9" w:rsidRPr="00A550A9">
        <w:rPr>
          <w:bCs/>
          <w:i/>
          <w:iCs/>
          <w:sz w:val="28"/>
          <w:szCs w:val="28"/>
        </w:rPr>
        <w:t>State DOTs or other State administering agencies should monitor their subrecipients for compliance with Title VI</w:t>
      </w:r>
      <w:r>
        <w:rPr>
          <w:rFonts w:cs="Arial"/>
          <w:bCs/>
          <w:i/>
          <w:iCs/>
          <w:spacing w:val="4"/>
          <w:sz w:val="28"/>
        </w:rPr>
        <w:t>.</w:t>
      </w:r>
    </w:p>
    <w:p w:rsidR="00F80A8D" w:rsidRDefault="00F80A8D">
      <w:pPr>
        <w:spacing w:line="360" w:lineRule="auto"/>
        <w:rPr>
          <w:sz w:val="28"/>
          <w:szCs w:val="28"/>
        </w:rPr>
      </w:pPr>
    </w:p>
    <w:p w:rsidR="00A550A9" w:rsidRDefault="00F80A8D" w:rsidP="00A550A9">
      <w:pPr>
        <w:spacing w:line="360" w:lineRule="auto"/>
        <w:rPr>
          <w:sz w:val="28"/>
          <w:szCs w:val="28"/>
        </w:rPr>
      </w:pPr>
      <w:r>
        <w:rPr>
          <w:b/>
          <w:sz w:val="28"/>
          <w:szCs w:val="28"/>
        </w:rPr>
        <w:t xml:space="preserve">Findings: </w:t>
      </w:r>
      <w:r w:rsidR="00B61D57">
        <w:rPr>
          <w:b/>
          <w:sz w:val="28"/>
          <w:szCs w:val="28"/>
        </w:rPr>
        <w:t xml:space="preserve"> </w:t>
      </w:r>
      <w:r w:rsidR="00A550A9">
        <w:rPr>
          <w:sz w:val="28"/>
          <w:szCs w:val="28"/>
        </w:rPr>
        <w:t xml:space="preserve">During this Title VI Compliance Review of </w:t>
      </w:r>
      <w:r w:rsidR="00064AF5">
        <w:rPr>
          <w:sz w:val="28"/>
          <w:szCs w:val="28"/>
        </w:rPr>
        <w:t>HDOT</w:t>
      </w:r>
      <w:r w:rsidR="00A550A9" w:rsidRPr="0080784D">
        <w:rPr>
          <w:sz w:val="28"/>
          <w:szCs w:val="28"/>
        </w:rPr>
        <w:t xml:space="preserve">, </w:t>
      </w:r>
      <w:r w:rsidR="0080784D">
        <w:rPr>
          <w:sz w:val="28"/>
          <w:szCs w:val="28"/>
        </w:rPr>
        <w:t xml:space="preserve">no </w:t>
      </w:r>
      <w:r w:rsidR="00A550A9" w:rsidRPr="0080784D">
        <w:rPr>
          <w:sz w:val="28"/>
          <w:szCs w:val="28"/>
        </w:rPr>
        <w:t>deficiencies</w:t>
      </w:r>
      <w:r w:rsidR="00A550A9">
        <w:rPr>
          <w:sz w:val="28"/>
          <w:szCs w:val="28"/>
        </w:rPr>
        <w:t xml:space="preserve"> were found regarding </w:t>
      </w:r>
      <w:r w:rsidR="00064AF5">
        <w:rPr>
          <w:sz w:val="28"/>
          <w:szCs w:val="28"/>
        </w:rPr>
        <w:t>HDOT</w:t>
      </w:r>
      <w:r w:rsidR="00A550A9">
        <w:rPr>
          <w:sz w:val="28"/>
          <w:szCs w:val="28"/>
        </w:rPr>
        <w:t xml:space="preserve">’s compliance with FTA requirements for </w:t>
      </w:r>
      <w:r w:rsidR="00A550A9">
        <w:rPr>
          <w:sz w:val="28"/>
          <w:szCs w:val="28"/>
        </w:rPr>
        <w:lastRenderedPageBreak/>
        <w:t xml:space="preserve">Monitoring Subrecipients.  </w:t>
      </w:r>
      <w:r w:rsidR="00807EBC">
        <w:rPr>
          <w:sz w:val="28"/>
          <w:szCs w:val="28"/>
        </w:rPr>
        <w:t>The following table contains guidance for Monitoring Subrecipients and whether HDOT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64099D">
            <w:r>
              <w:rPr>
                <w:b/>
                <w:bCs/>
                <w:sz w:val="24"/>
                <w:szCs w:val="28"/>
              </w:rPr>
              <w:t>(Per FTA C. 4702.1A, VI, 3. a. – b.)</w:t>
            </w:r>
          </w:p>
        </w:tc>
        <w:tc>
          <w:tcPr>
            <w:tcW w:w="1368" w:type="dxa"/>
            <w:shd w:val="clear" w:color="auto" w:fill="auto"/>
          </w:tcPr>
          <w:p w:rsidR="00807EBC" w:rsidRPr="00DB472F" w:rsidRDefault="00807EBC" w:rsidP="0080784D">
            <w:pPr>
              <w:jc w:val="center"/>
              <w:rPr>
                <w:b/>
                <w:sz w:val="22"/>
                <w:szCs w:val="28"/>
              </w:rPr>
            </w:pPr>
            <w:r w:rsidRPr="00DB472F">
              <w:rPr>
                <w:b/>
                <w:sz w:val="22"/>
                <w:szCs w:val="28"/>
              </w:rPr>
              <w:t xml:space="preserve">HDOT </w:t>
            </w:r>
          </w:p>
        </w:tc>
      </w:tr>
      <w:tr w:rsidR="00807EBC" w:rsidTr="0064099D">
        <w:trPr>
          <w:cantSplit/>
        </w:trPr>
        <w:tc>
          <w:tcPr>
            <w:tcW w:w="7938" w:type="dxa"/>
          </w:tcPr>
          <w:p w:rsidR="00807EBC" w:rsidRPr="007C3CA4" w:rsidRDefault="00807EBC" w:rsidP="0064099D">
            <w:pPr>
              <w:numPr>
                <w:ilvl w:val="0"/>
                <w:numId w:val="14"/>
              </w:numPr>
            </w:pPr>
            <w:r w:rsidRPr="00807EBC">
              <w:t>The agency should document its process for ensuring that all subrecipients are complying with the general reporting requirements of this circular.</w:t>
            </w:r>
          </w:p>
        </w:tc>
        <w:tc>
          <w:tcPr>
            <w:tcW w:w="1368" w:type="dxa"/>
            <w:vAlign w:val="center"/>
          </w:tcPr>
          <w:p w:rsidR="00807EBC" w:rsidRDefault="0080784D" w:rsidP="0064099D">
            <w:pPr>
              <w:jc w:val="center"/>
              <w:rPr>
                <w:sz w:val="22"/>
                <w:szCs w:val="28"/>
              </w:rPr>
            </w:pPr>
            <w:r>
              <w:rPr>
                <w:sz w:val="22"/>
                <w:szCs w:val="28"/>
              </w:rPr>
              <w:t>Yes</w:t>
            </w:r>
          </w:p>
        </w:tc>
      </w:tr>
      <w:tr w:rsidR="00807EBC" w:rsidTr="0064099D">
        <w:trPr>
          <w:cantSplit/>
        </w:trPr>
        <w:tc>
          <w:tcPr>
            <w:tcW w:w="7938" w:type="dxa"/>
          </w:tcPr>
          <w:p w:rsidR="00807EBC" w:rsidRPr="007C3CA4" w:rsidRDefault="00807EBC" w:rsidP="0064099D">
            <w:pPr>
              <w:numPr>
                <w:ilvl w:val="0"/>
                <w:numId w:val="14"/>
              </w:numPr>
            </w:pPr>
            <w:r w:rsidRPr="00807EBC">
              <w:t>At the request of FTA, in response to a complaint of discrimination, or as otherwise deemed necessary by the State DOT or administering agency, the agency should request that subrecipients who provide transportation services verify that their level and quality of service is provided on an equitable basis. Recipients should ask subrecipients to develop system-wide service standards and verify that service provided to predominantly minority and low-income communities meets these standards.</w:t>
            </w:r>
          </w:p>
        </w:tc>
        <w:tc>
          <w:tcPr>
            <w:tcW w:w="1368" w:type="dxa"/>
            <w:vAlign w:val="center"/>
          </w:tcPr>
          <w:p w:rsidR="00807EBC" w:rsidRDefault="0080784D" w:rsidP="0064099D">
            <w:pPr>
              <w:jc w:val="center"/>
              <w:rPr>
                <w:sz w:val="22"/>
                <w:szCs w:val="28"/>
              </w:rPr>
            </w:pPr>
            <w:r>
              <w:rPr>
                <w:sz w:val="22"/>
                <w:szCs w:val="28"/>
              </w:rPr>
              <w:t>Yes</w:t>
            </w:r>
          </w:p>
        </w:tc>
      </w:tr>
    </w:tbl>
    <w:p w:rsidR="00A550A9" w:rsidRDefault="00A550A9" w:rsidP="00A550A9">
      <w:pPr>
        <w:rPr>
          <w:sz w:val="28"/>
          <w:szCs w:val="28"/>
        </w:rPr>
      </w:pPr>
    </w:p>
    <w:p w:rsidR="00EC453A" w:rsidRPr="00BE43D8" w:rsidRDefault="0080784D" w:rsidP="00A550A9">
      <w:pPr>
        <w:spacing w:line="360" w:lineRule="auto"/>
        <w:rPr>
          <w:bCs/>
          <w:sz w:val="28"/>
          <w:szCs w:val="28"/>
        </w:rPr>
      </w:pPr>
      <w:r w:rsidRPr="00BE43D8">
        <w:rPr>
          <w:bCs/>
          <w:sz w:val="28"/>
          <w:szCs w:val="28"/>
        </w:rPr>
        <w:t xml:space="preserve">HDOT made site visits </w:t>
      </w:r>
      <w:r w:rsidR="006A2BC5" w:rsidRPr="00BE43D8">
        <w:rPr>
          <w:bCs/>
          <w:sz w:val="28"/>
          <w:szCs w:val="28"/>
        </w:rPr>
        <w:t xml:space="preserve">to its subrecipients </w:t>
      </w:r>
      <w:r w:rsidRPr="00BE43D8">
        <w:rPr>
          <w:bCs/>
          <w:sz w:val="28"/>
          <w:szCs w:val="28"/>
        </w:rPr>
        <w:t xml:space="preserve">in 2009 and 2010.  Prior to the site visit, subrecipients were given a </w:t>
      </w:r>
      <w:r w:rsidR="00EC453A" w:rsidRPr="00BE43D8">
        <w:rPr>
          <w:bCs/>
          <w:sz w:val="28"/>
          <w:szCs w:val="28"/>
        </w:rPr>
        <w:t>Title VI checklist to complete</w:t>
      </w:r>
      <w:r w:rsidR="006A2BC5">
        <w:rPr>
          <w:bCs/>
          <w:sz w:val="28"/>
          <w:szCs w:val="28"/>
        </w:rPr>
        <w:t>.</w:t>
      </w:r>
      <w:r w:rsidR="00EC453A" w:rsidRPr="00BE43D8">
        <w:rPr>
          <w:bCs/>
          <w:sz w:val="28"/>
          <w:szCs w:val="28"/>
        </w:rPr>
        <w:t xml:space="preserve"> </w:t>
      </w:r>
      <w:r w:rsidR="006A2BC5">
        <w:rPr>
          <w:bCs/>
          <w:sz w:val="28"/>
          <w:szCs w:val="28"/>
        </w:rPr>
        <w:t>A</w:t>
      </w:r>
      <w:r w:rsidR="00EC453A" w:rsidRPr="00BE43D8">
        <w:rPr>
          <w:bCs/>
          <w:sz w:val="28"/>
          <w:szCs w:val="28"/>
        </w:rPr>
        <w:t xml:space="preserve">t the site visit, HDOT staff reviewed the checklist and asked the subrecipients a number of questions related to the level and quality of service provided to end-users.  The output of the subrecipient site visits was presented to this Review team in a document entitled </w:t>
      </w:r>
      <w:r w:rsidR="00EC453A" w:rsidRPr="00BE43D8">
        <w:rPr>
          <w:bCs/>
          <w:i/>
          <w:sz w:val="28"/>
          <w:szCs w:val="28"/>
        </w:rPr>
        <w:t>Description of Subrecipient Monitoring</w:t>
      </w:r>
      <w:r w:rsidR="00EC453A" w:rsidRPr="00BE43D8">
        <w:rPr>
          <w:bCs/>
          <w:sz w:val="28"/>
          <w:szCs w:val="28"/>
        </w:rPr>
        <w:t xml:space="preserve">.  The monitoring that </w:t>
      </w:r>
      <w:r w:rsidR="001209DA">
        <w:rPr>
          <w:bCs/>
          <w:sz w:val="28"/>
          <w:szCs w:val="28"/>
        </w:rPr>
        <w:t>wa</w:t>
      </w:r>
      <w:r w:rsidR="00EC453A" w:rsidRPr="00BE43D8">
        <w:rPr>
          <w:bCs/>
          <w:sz w:val="28"/>
          <w:szCs w:val="28"/>
        </w:rPr>
        <w:t xml:space="preserve">s currently </w:t>
      </w:r>
      <w:r w:rsidR="001209DA">
        <w:rPr>
          <w:bCs/>
          <w:sz w:val="28"/>
          <w:szCs w:val="28"/>
        </w:rPr>
        <w:t>being performed</w:t>
      </w:r>
      <w:r w:rsidR="00EC453A" w:rsidRPr="00BE43D8">
        <w:rPr>
          <w:bCs/>
          <w:sz w:val="28"/>
          <w:szCs w:val="28"/>
        </w:rPr>
        <w:t xml:space="preserve"> </w:t>
      </w:r>
      <w:r w:rsidR="001209DA">
        <w:rPr>
          <w:bCs/>
          <w:sz w:val="28"/>
          <w:szCs w:val="28"/>
        </w:rPr>
        <w:t>wa</w:t>
      </w:r>
      <w:r w:rsidR="00EC453A" w:rsidRPr="00BE43D8">
        <w:rPr>
          <w:bCs/>
          <w:sz w:val="28"/>
          <w:szCs w:val="28"/>
        </w:rPr>
        <w:t>s sufficient to meet the requirements of the Circular.  HDOT indicated that</w:t>
      </w:r>
      <w:r w:rsidR="00420952">
        <w:rPr>
          <w:bCs/>
          <w:sz w:val="28"/>
          <w:szCs w:val="28"/>
        </w:rPr>
        <w:t xml:space="preserve"> it</w:t>
      </w:r>
      <w:r w:rsidR="00EC453A" w:rsidRPr="00BE43D8">
        <w:rPr>
          <w:bCs/>
          <w:sz w:val="28"/>
          <w:szCs w:val="28"/>
        </w:rPr>
        <w:t xml:space="preserve"> would expand the procedures </w:t>
      </w:r>
      <w:r w:rsidR="001209DA">
        <w:rPr>
          <w:bCs/>
          <w:sz w:val="28"/>
          <w:szCs w:val="28"/>
        </w:rPr>
        <w:t>in future</w:t>
      </w:r>
      <w:r w:rsidR="00EC453A" w:rsidRPr="00BE43D8">
        <w:rPr>
          <w:bCs/>
          <w:sz w:val="28"/>
          <w:szCs w:val="28"/>
        </w:rPr>
        <w:t xml:space="preserve"> </w:t>
      </w:r>
      <w:r w:rsidR="001209DA">
        <w:rPr>
          <w:bCs/>
          <w:sz w:val="28"/>
          <w:szCs w:val="28"/>
        </w:rPr>
        <w:t>annual</w:t>
      </w:r>
      <w:r w:rsidR="00EC453A" w:rsidRPr="00BE43D8">
        <w:rPr>
          <w:bCs/>
          <w:sz w:val="28"/>
          <w:szCs w:val="28"/>
        </w:rPr>
        <w:t xml:space="preserve"> site visits to all its subrecipients.</w:t>
      </w:r>
    </w:p>
    <w:p w:rsidR="003537F0" w:rsidRDefault="003537F0" w:rsidP="00A550A9">
      <w:pPr>
        <w:spacing w:line="360" w:lineRule="auto"/>
        <w:rPr>
          <w:sz w:val="28"/>
          <w:szCs w:val="28"/>
        </w:rPr>
      </w:pPr>
    </w:p>
    <w:p w:rsidR="00CB33F0" w:rsidRPr="00CB33F0" w:rsidRDefault="00CB33F0" w:rsidP="00CB33F0">
      <w:pPr>
        <w:pStyle w:val="BodyTextIndent2"/>
        <w:ind w:firstLine="0"/>
        <w:rPr>
          <w:sz w:val="28"/>
          <w:szCs w:val="28"/>
        </w:rPr>
      </w:pPr>
      <w:bookmarkStart w:id="25" w:name="_Toc453032740"/>
      <w:bookmarkStart w:id="26" w:name="_Toc106790255"/>
    </w:p>
    <w:p w:rsidR="00F80A8D" w:rsidRPr="009A52A0" w:rsidRDefault="00F80A8D" w:rsidP="009A52A0">
      <w:pPr>
        <w:pStyle w:val="BHLevel1"/>
        <w:numPr>
          <w:ilvl w:val="0"/>
          <w:numId w:val="0"/>
        </w:numPr>
        <w:spacing w:line="360" w:lineRule="auto"/>
        <w:ind w:left="-720" w:firstLine="720"/>
        <w:rPr>
          <w:sz w:val="28"/>
          <w:szCs w:val="28"/>
          <w:u w:val="none"/>
        </w:rPr>
      </w:pPr>
      <w:r>
        <w:rPr>
          <w:b w:val="0"/>
          <w:caps w:val="0"/>
          <w:sz w:val="28"/>
          <w:szCs w:val="28"/>
        </w:rPr>
        <w:br w:type="page"/>
      </w:r>
      <w:bookmarkStart w:id="27" w:name="_Toc272221049"/>
      <w:r w:rsidRPr="009A52A0">
        <w:rPr>
          <w:sz w:val="28"/>
          <w:szCs w:val="28"/>
          <w:u w:val="none"/>
        </w:rPr>
        <w:lastRenderedPageBreak/>
        <w:t>VII.</w:t>
      </w:r>
      <w:r w:rsidRPr="009A52A0">
        <w:rPr>
          <w:sz w:val="28"/>
          <w:szCs w:val="28"/>
          <w:u w:val="none"/>
        </w:rPr>
        <w:tab/>
      </w:r>
      <w:r w:rsidRPr="009A52A0">
        <w:rPr>
          <w:sz w:val="28"/>
          <w:szCs w:val="28"/>
        </w:rPr>
        <w:t>SUMMARY OF FINDINGS AND CORRECTIVE ACTIONS</w:t>
      </w:r>
      <w:bookmarkEnd w:id="25"/>
      <w:bookmarkEnd w:id="26"/>
      <w:bookmarkEnd w:id="27"/>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250"/>
        <w:gridCol w:w="2430"/>
        <w:gridCol w:w="1260"/>
        <w:gridCol w:w="1140"/>
      </w:tblGrid>
      <w:tr w:rsidR="00F80A8D">
        <w:trPr>
          <w:tblHeader/>
        </w:trPr>
        <w:tc>
          <w:tcPr>
            <w:tcW w:w="2430" w:type="dxa"/>
            <w:tcBorders>
              <w:top w:val="double" w:sz="6" w:space="0" w:color="auto"/>
              <w:bottom w:val="double" w:sz="6" w:space="0" w:color="auto"/>
            </w:tcBorders>
            <w:shd w:val="pct10" w:color="auto" w:fill="auto"/>
            <w:vAlign w:val="center"/>
          </w:tcPr>
          <w:p w:rsidR="00F80A8D" w:rsidRDefault="00F80A8D" w:rsidP="00703761">
            <w:pPr>
              <w:spacing w:before="60" w:after="60"/>
              <w:jc w:val="center"/>
              <w:rPr>
                <w:b/>
                <w:sz w:val="22"/>
              </w:rPr>
            </w:pPr>
            <w:r>
              <w:rPr>
                <w:b/>
                <w:sz w:val="22"/>
              </w:rPr>
              <w:t>Title VI Requirements For Transit Providers</w:t>
            </w:r>
            <w:r w:rsidR="00703761">
              <w:rPr>
                <w:b/>
                <w:sz w:val="22"/>
              </w:rPr>
              <w:t xml:space="preserve"> </w:t>
            </w:r>
          </w:p>
        </w:tc>
        <w:tc>
          <w:tcPr>
            <w:tcW w:w="108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Findings</w:t>
            </w:r>
          </w:p>
        </w:tc>
        <w:tc>
          <w:tcPr>
            <w:tcW w:w="225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Description of Deficiencies</w:t>
            </w:r>
          </w:p>
        </w:tc>
        <w:tc>
          <w:tcPr>
            <w:tcW w:w="2430" w:type="dxa"/>
            <w:tcBorders>
              <w:top w:val="double" w:sz="6" w:space="0" w:color="auto"/>
              <w:bottom w:val="double" w:sz="6" w:space="0" w:color="auto"/>
            </w:tcBorders>
            <w:shd w:val="pct10" w:color="auto" w:fill="auto"/>
            <w:vAlign w:val="center"/>
          </w:tcPr>
          <w:p w:rsidR="00F80A8D" w:rsidRDefault="00F80A8D">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Response Days/Date</w:t>
            </w:r>
          </w:p>
        </w:tc>
        <w:tc>
          <w:tcPr>
            <w:tcW w:w="114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Date Closed</w:t>
            </w:r>
          </w:p>
        </w:tc>
      </w:tr>
      <w:tr w:rsidR="00F80A8D">
        <w:tc>
          <w:tcPr>
            <w:tcW w:w="10590" w:type="dxa"/>
            <w:gridSpan w:val="6"/>
            <w:tcBorders>
              <w:top w:val="nil"/>
            </w:tcBorders>
          </w:tcPr>
          <w:p w:rsidR="00F80A8D" w:rsidRDefault="00F80A8D">
            <w:pPr>
              <w:jc w:val="center"/>
              <w:rPr>
                <w:b/>
                <w:sz w:val="24"/>
              </w:rPr>
            </w:pPr>
            <w:r>
              <w:rPr>
                <w:b/>
                <w:sz w:val="24"/>
              </w:rPr>
              <w:t xml:space="preserve">GENERAL </w:t>
            </w:r>
            <w:r w:rsidR="00C5043B">
              <w:rPr>
                <w:b/>
                <w:sz w:val="24"/>
              </w:rPr>
              <w:t xml:space="preserve">REPORTING </w:t>
            </w:r>
            <w:r>
              <w:rPr>
                <w:b/>
                <w:sz w:val="24"/>
              </w:rPr>
              <w:t>REQUIREMENTS</w:t>
            </w:r>
            <w:r w:rsidR="00703761">
              <w:rPr>
                <w:b/>
                <w:sz w:val="24"/>
              </w:rPr>
              <w:t xml:space="preserve"> – FTA C. 4702.1A. IV, 1-9</w:t>
            </w:r>
          </w:p>
        </w:tc>
      </w:tr>
      <w:tr w:rsidR="00F80A8D">
        <w:tc>
          <w:tcPr>
            <w:tcW w:w="2430" w:type="dxa"/>
            <w:tcBorders>
              <w:top w:val="nil"/>
            </w:tcBorders>
          </w:tcPr>
          <w:p w:rsidR="00703761" w:rsidRPr="00703761" w:rsidRDefault="00F80A8D" w:rsidP="00D46449">
            <w:pPr>
              <w:pStyle w:val="Header"/>
              <w:numPr>
                <w:ilvl w:val="0"/>
                <w:numId w:val="10"/>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F80A8D" w:rsidRDefault="002D7A56">
            <w:pPr>
              <w:jc w:val="center"/>
              <w:rPr>
                <w:sz w:val="24"/>
              </w:rPr>
            </w:pPr>
            <w:r>
              <w:rPr>
                <w:sz w:val="24"/>
              </w:rPr>
              <w:t>D</w:t>
            </w:r>
          </w:p>
        </w:tc>
        <w:tc>
          <w:tcPr>
            <w:tcW w:w="2250" w:type="dxa"/>
            <w:tcBorders>
              <w:top w:val="nil"/>
            </w:tcBorders>
          </w:tcPr>
          <w:p w:rsidR="00F80A8D" w:rsidRDefault="00E84124">
            <w:pPr>
              <w:ind w:left="45"/>
              <w:rPr>
                <w:sz w:val="24"/>
              </w:rPr>
            </w:pPr>
            <w:r w:rsidRPr="00E84124">
              <w:rPr>
                <w:sz w:val="24"/>
              </w:rPr>
              <w:t>Inadequate documentation of inclusive public participation</w:t>
            </w:r>
          </w:p>
        </w:tc>
        <w:tc>
          <w:tcPr>
            <w:tcW w:w="2430" w:type="dxa"/>
            <w:tcBorders>
              <w:top w:val="nil"/>
            </w:tcBorders>
          </w:tcPr>
          <w:p w:rsidR="00F80A8D" w:rsidRPr="00D96504" w:rsidRDefault="00D96504" w:rsidP="00404B66">
            <w:pPr>
              <w:pStyle w:val="Header"/>
              <w:tabs>
                <w:tab w:val="clear" w:pos="4320"/>
                <w:tab w:val="clear" w:pos="8640"/>
              </w:tabs>
              <w:ind w:left="45"/>
              <w:rPr>
                <w:sz w:val="24"/>
                <w:szCs w:val="24"/>
              </w:rPr>
            </w:pPr>
            <w:r w:rsidRPr="00D96504">
              <w:rPr>
                <w:sz w:val="24"/>
                <w:szCs w:val="24"/>
              </w:rPr>
              <w:t>HDOT must submit to the FTA Equal Opportunity Specialist in FTA’s Headquarters Office of Civil Rights documentation that it has procedures in place to fulfill the inclusive public participation requirements as described in FTA Circular 4702.1A for itself and its subrecipients.</w:t>
            </w:r>
          </w:p>
        </w:tc>
        <w:tc>
          <w:tcPr>
            <w:tcW w:w="1260" w:type="dxa"/>
            <w:tcBorders>
              <w:top w:val="nil"/>
            </w:tcBorders>
          </w:tcPr>
          <w:p w:rsidR="00F80A8D" w:rsidRDefault="00D96504">
            <w:pPr>
              <w:ind w:left="45"/>
              <w:jc w:val="center"/>
              <w:rPr>
                <w:sz w:val="24"/>
              </w:rPr>
            </w:pPr>
            <w:r>
              <w:rPr>
                <w:sz w:val="24"/>
              </w:rPr>
              <w:t>90 Days</w:t>
            </w:r>
          </w:p>
        </w:tc>
        <w:tc>
          <w:tcPr>
            <w:tcW w:w="1140" w:type="dxa"/>
            <w:tcBorders>
              <w:top w:val="nil"/>
            </w:tcBorders>
          </w:tcPr>
          <w:p w:rsidR="00F80A8D" w:rsidRDefault="00720906">
            <w:pPr>
              <w:jc w:val="center"/>
              <w:rPr>
                <w:sz w:val="24"/>
              </w:rPr>
            </w:pPr>
            <w:r w:rsidRPr="00720906">
              <w:rPr>
                <w:sz w:val="24"/>
                <w:szCs w:val="24"/>
              </w:rPr>
              <w:t>April 5, 2010</w:t>
            </w:r>
          </w:p>
        </w:tc>
      </w:tr>
      <w:tr w:rsidR="00F80A8D">
        <w:tc>
          <w:tcPr>
            <w:tcW w:w="2430" w:type="dxa"/>
          </w:tcPr>
          <w:p w:rsidR="00703761" w:rsidRDefault="00F80A8D" w:rsidP="00D46449">
            <w:pPr>
              <w:numPr>
                <w:ilvl w:val="0"/>
                <w:numId w:val="10"/>
              </w:numPr>
              <w:tabs>
                <w:tab w:val="clear" w:pos="720"/>
                <w:tab w:val="num" w:pos="420"/>
              </w:tabs>
              <w:ind w:left="420" w:hanging="420"/>
              <w:rPr>
                <w:sz w:val="24"/>
              </w:rPr>
            </w:pPr>
            <w:r>
              <w:rPr>
                <w:sz w:val="24"/>
              </w:rPr>
              <w:t>Language Access to LEP Persons</w:t>
            </w:r>
          </w:p>
        </w:tc>
        <w:tc>
          <w:tcPr>
            <w:tcW w:w="1080" w:type="dxa"/>
          </w:tcPr>
          <w:p w:rsidR="00F80A8D" w:rsidRDefault="002D7A56">
            <w:pPr>
              <w:jc w:val="center"/>
              <w:rPr>
                <w:sz w:val="24"/>
              </w:rPr>
            </w:pPr>
            <w:r>
              <w:rPr>
                <w:sz w:val="24"/>
              </w:rPr>
              <w:t>D</w:t>
            </w:r>
          </w:p>
        </w:tc>
        <w:tc>
          <w:tcPr>
            <w:tcW w:w="2250" w:type="dxa"/>
          </w:tcPr>
          <w:p w:rsidR="00F80A8D" w:rsidRDefault="00E84124" w:rsidP="00186683">
            <w:pPr>
              <w:ind w:left="45"/>
              <w:rPr>
                <w:sz w:val="24"/>
              </w:rPr>
            </w:pPr>
            <w:r w:rsidRPr="00E84124">
              <w:rPr>
                <w:sz w:val="24"/>
              </w:rPr>
              <w:t>Lacking four-factor assessment and complete language assistance plan for LEP persons</w:t>
            </w:r>
          </w:p>
        </w:tc>
        <w:tc>
          <w:tcPr>
            <w:tcW w:w="2430" w:type="dxa"/>
          </w:tcPr>
          <w:p w:rsidR="00F80A8D" w:rsidRPr="00186683" w:rsidRDefault="004D7B63" w:rsidP="004F6378">
            <w:pPr>
              <w:rPr>
                <w:sz w:val="24"/>
                <w:szCs w:val="24"/>
              </w:rPr>
            </w:pPr>
            <w:r w:rsidRPr="004D7B63">
              <w:rPr>
                <w:sz w:val="24"/>
                <w:szCs w:val="24"/>
              </w:rPr>
              <w:t xml:space="preserve">HDOT must submit to the FTA Equal Opportunity Specialist in FTA’s Headquarters Office of Civil Rights a Language Access Plan that meets the requirements of </w:t>
            </w:r>
            <w:r w:rsidRPr="004D7B63">
              <w:rPr>
                <w:i/>
                <w:sz w:val="24"/>
                <w:szCs w:val="24"/>
              </w:rPr>
              <w:t>DOT Policy Guidance Concerning</w:t>
            </w:r>
            <w:r w:rsidRPr="00CC3819">
              <w:rPr>
                <w:i/>
                <w:sz w:val="28"/>
                <w:szCs w:val="28"/>
              </w:rPr>
              <w:t xml:space="preserve"> </w:t>
            </w:r>
            <w:r w:rsidRPr="004D7B63">
              <w:rPr>
                <w:i/>
                <w:sz w:val="24"/>
                <w:szCs w:val="24"/>
              </w:rPr>
              <w:t>Recipients’ Responsibilities to Limited English Proficient Persons, (December 14, 2005).</w:t>
            </w:r>
          </w:p>
        </w:tc>
        <w:tc>
          <w:tcPr>
            <w:tcW w:w="1260" w:type="dxa"/>
          </w:tcPr>
          <w:p w:rsidR="00F80A8D" w:rsidRDefault="004D7B63">
            <w:pPr>
              <w:ind w:left="45"/>
              <w:jc w:val="center"/>
              <w:rPr>
                <w:sz w:val="24"/>
              </w:rPr>
            </w:pPr>
            <w:r>
              <w:rPr>
                <w:sz w:val="24"/>
              </w:rPr>
              <w:t>90 Days</w:t>
            </w: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t>Title VI Complaint Procedures</w:t>
            </w:r>
          </w:p>
        </w:tc>
        <w:tc>
          <w:tcPr>
            <w:tcW w:w="1080" w:type="dxa"/>
          </w:tcPr>
          <w:p w:rsidR="00F80A8D" w:rsidRDefault="002D7A56">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ind w:left="45"/>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t xml:space="preserve">Record of Title VI Investigations, Complaints, and </w:t>
            </w:r>
            <w:r>
              <w:rPr>
                <w:sz w:val="24"/>
              </w:rPr>
              <w:lastRenderedPageBreak/>
              <w:t>Lawsuits</w:t>
            </w:r>
          </w:p>
        </w:tc>
        <w:tc>
          <w:tcPr>
            <w:tcW w:w="1080" w:type="dxa"/>
          </w:tcPr>
          <w:p w:rsidR="00F80A8D" w:rsidRDefault="002D7A56">
            <w:pPr>
              <w:jc w:val="center"/>
              <w:rPr>
                <w:sz w:val="24"/>
              </w:rPr>
            </w:pPr>
            <w:r>
              <w:rPr>
                <w:sz w:val="24"/>
              </w:rPr>
              <w:lastRenderedPageBreak/>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ind w:left="45"/>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lastRenderedPageBreak/>
              <w:t>Notice to Beneficiaries of Protection Under Title VI</w:t>
            </w:r>
          </w:p>
        </w:tc>
        <w:tc>
          <w:tcPr>
            <w:tcW w:w="1080" w:type="dxa"/>
          </w:tcPr>
          <w:p w:rsidR="00F80A8D" w:rsidRDefault="000658ED">
            <w:pPr>
              <w:jc w:val="center"/>
              <w:rPr>
                <w:sz w:val="24"/>
              </w:rPr>
            </w:pPr>
            <w:r>
              <w:rPr>
                <w:sz w:val="24"/>
              </w:rPr>
              <w:t>D</w:t>
            </w:r>
          </w:p>
        </w:tc>
        <w:tc>
          <w:tcPr>
            <w:tcW w:w="2250" w:type="dxa"/>
          </w:tcPr>
          <w:p w:rsidR="00F80A8D" w:rsidRDefault="00E84124">
            <w:pPr>
              <w:ind w:left="45"/>
              <w:rPr>
                <w:sz w:val="24"/>
              </w:rPr>
            </w:pPr>
            <w:r w:rsidRPr="00E84124">
              <w:rPr>
                <w:sz w:val="24"/>
              </w:rPr>
              <w:t>Title VI Notification Deficiencies</w:t>
            </w:r>
          </w:p>
        </w:tc>
        <w:tc>
          <w:tcPr>
            <w:tcW w:w="2430" w:type="dxa"/>
          </w:tcPr>
          <w:p w:rsidR="00F80A8D" w:rsidRDefault="00751820">
            <w:pPr>
              <w:ind w:left="45"/>
              <w:rPr>
                <w:sz w:val="24"/>
              </w:rPr>
            </w:pPr>
            <w:r w:rsidRPr="00751820">
              <w:rPr>
                <w:sz w:val="24"/>
                <w:szCs w:val="24"/>
              </w:rPr>
              <w:t>HDOT must submit to the FTA Equal Opportunity Specialist in FTA’s Headquarters Office of Civil Rights an updated notice to beneficiaries that describes how members of the public could obtain additional information on HDOT’s Title VI obligations. HDOT must provide documentation</w:t>
            </w:r>
            <w:r>
              <w:rPr>
                <w:sz w:val="28"/>
                <w:szCs w:val="28"/>
              </w:rPr>
              <w:t xml:space="preserve"> </w:t>
            </w:r>
            <w:r w:rsidRPr="004F6378">
              <w:rPr>
                <w:sz w:val="24"/>
                <w:szCs w:val="24"/>
              </w:rPr>
              <w:t>that it has distributed the revised notice to the public in a manner other than its website. HDOT must document that its subrecipients have distributed an updated notice to beneficiaries that describes how members of the public could obtain additional information on HDOT’s Title VI obligations.</w:t>
            </w:r>
          </w:p>
        </w:tc>
        <w:tc>
          <w:tcPr>
            <w:tcW w:w="1260" w:type="dxa"/>
          </w:tcPr>
          <w:p w:rsidR="00F80A8D" w:rsidRDefault="004F6378">
            <w:pPr>
              <w:pStyle w:val="Heading9"/>
              <w:spacing w:line="240" w:lineRule="auto"/>
              <w:ind w:left="45"/>
            </w:pPr>
            <w:r>
              <w:t>90 Days</w:t>
            </w:r>
          </w:p>
        </w:tc>
        <w:tc>
          <w:tcPr>
            <w:tcW w:w="1140" w:type="dxa"/>
          </w:tcPr>
          <w:p w:rsidR="00F80A8D" w:rsidRDefault="00720906">
            <w:pPr>
              <w:jc w:val="center"/>
              <w:rPr>
                <w:sz w:val="24"/>
              </w:rPr>
            </w:pPr>
            <w:r w:rsidRPr="00720906">
              <w:rPr>
                <w:sz w:val="24"/>
                <w:szCs w:val="24"/>
              </w:rPr>
              <w:t>April 5, 2010</w:t>
            </w: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t>Annual Title VI Certification and Assurance</w:t>
            </w:r>
          </w:p>
        </w:tc>
        <w:tc>
          <w:tcPr>
            <w:tcW w:w="1080" w:type="dxa"/>
          </w:tcPr>
          <w:p w:rsidR="00F80A8D" w:rsidRDefault="002D7A56">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tabs>
                <w:tab w:val="left" w:pos="330"/>
              </w:tabs>
              <w:ind w:left="330" w:hanging="360"/>
              <w:rPr>
                <w:sz w:val="24"/>
              </w:rPr>
            </w:pPr>
          </w:p>
        </w:tc>
        <w:tc>
          <w:tcPr>
            <w:tcW w:w="1260" w:type="dxa"/>
          </w:tcPr>
          <w:p w:rsidR="00F80A8D" w:rsidRDefault="00F80A8D">
            <w:pPr>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rsidP="00724AFC">
            <w:pPr>
              <w:numPr>
                <w:ilvl w:val="0"/>
                <w:numId w:val="10"/>
              </w:numPr>
              <w:tabs>
                <w:tab w:val="clear" w:pos="720"/>
                <w:tab w:val="num" w:pos="420"/>
              </w:tabs>
              <w:ind w:left="420" w:hanging="420"/>
              <w:rPr>
                <w:sz w:val="24"/>
              </w:rPr>
            </w:pPr>
            <w:r>
              <w:rPr>
                <w:sz w:val="24"/>
              </w:rPr>
              <w:t>Environmental Justice Analysis of Construction Projects</w:t>
            </w:r>
          </w:p>
        </w:tc>
        <w:tc>
          <w:tcPr>
            <w:tcW w:w="1080" w:type="dxa"/>
          </w:tcPr>
          <w:p w:rsidR="00F80A8D" w:rsidRDefault="002D7A56">
            <w:pPr>
              <w:jc w:val="center"/>
              <w:rPr>
                <w:sz w:val="24"/>
              </w:rPr>
            </w:pPr>
            <w:r>
              <w:rPr>
                <w:sz w:val="24"/>
              </w:rPr>
              <w:t>D</w:t>
            </w:r>
          </w:p>
        </w:tc>
        <w:tc>
          <w:tcPr>
            <w:tcW w:w="2250" w:type="dxa"/>
          </w:tcPr>
          <w:p w:rsidR="00F80A8D" w:rsidRDefault="00F80A8D">
            <w:pPr>
              <w:ind w:left="45"/>
              <w:rPr>
                <w:sz w:val="24"/>
              </w:rPr>
            </w:pPr>
          </w:p>
        </w:tc>
        <w:tc>
          <w:tcPr>
            <w:tcW w:w="2430" w:type="dxa"/>
          </w:tcPr>
          <w:p w:rsidR="00F80A8D" w:rsidRPr="00751820" w:rsidRDefault="00751820" w:rsidP="00F97516">
            <w:pPr>
              <w:tabs>
                <w:tab w:val="left" w:pos="330"/>
                <w:tab w:val="left" w:pos="1725"/>
              </w:tabs>
              <w:ind w:left="-30"/>
              <w:rPr>
                <w:sz w:val="24"/>
                <w:szCs w:val="24"/>
              </w:rPr>
            </w:pPr>
            <w:r w:rsidRPr="00751820">
              <w:rPr>
                <w:sz w:val="24"/>
                <w:szCs w:val="24"/>
              </w:rPr>
              <w:t xml:space="preserve">HDOT must submit to the FTA Equal Opportunity Specialist in FTA’s Headquarters Office of Civil Rights documentation that it </w:t>
            </w:r>
            <w:r w:rsidRPr="00751820">
              <w:rPr>
                <w:sz w:val="24"/>
                <w:szCs w:val="24"/>
              </w:rPr>
              <w:lastRenderedPageBreak/>
              <w:t xml:space="preserve">has established procedures to assure that all future EJ analyses address the requirements outlined in FTA Circular 4702.1A.  </w:t>
            </w:r>
          </w:p>
        </w:tc>
        <w:tc>
          <w:tcPr>
            <w:tcW w:w="1260" w:type="dxa"/>
          </w:tcPr>
          <w:p w:rsidR="00F80A8D" w:rsidRDefault="00751820">
            <w:pPr>
              <w:pStyle w:val="Heading9"/>
              <w:spacing w:line="240" w:lineRule="auto"/>
            </w:pPr>
            <w:r>
              <w:lastRenderedPageBreak/>
              <w:t>90 Days</w:t>
            </w:r>
          </w:p>
        </w:tc>
        <w:tc>
          <w:tcPr>
            <w:tcW w:w="1140" w:type="dxa"/>
          </w:tcPr>
          <w:p w:rsidR="00F80A8D" w:rsidRDefault="00720906">
            <w:pPr>
              <w:jc w:val="center"/>
              <w:rPr>
                <w:sz w:val="24"/>
              </w:rPr>
            </w:pPr>
            <w:r w:rsidRPr="00720906">
              <w:rPr>
                <w:sz w:val="24"/>
                <w:szCs w:val="24"/>
              </w:rPr>
              <w:t>April 5, 2010</w:t>
            </w:r>
          </w:p>
        </w:tc>
      </w:tr>
      <w:tr w:rsidR="00F80A8D" w:rsidTr="00CB33F0">
        <w:trPr>
          <w:trHeight w:val="588"/>
        </w:trPr>
        <w:tc>
          <w:tcPr>
            <w:tcW w:w="2430" w:type="dxa"/>
          </w:tcPr>
          <w:p w:rsidR="00F80A8D" w:rsidRDefault="00F80A8D" w:rsidP="00724AFC">
            <w:pPr>
              <w:numPr>
                <w:ilvl w:val="0"/>
                <w:numId w:val="10"/>
              </w:numPr>
              <w:tabs>
                <w:tab w:val="clear" w:pos="720"/>
                <w:tab w:val="num" w:pos="420"/>
              </w:tabs>
              <w:ind w:left="420" w:hanging="420"/>
              <w:rPr>
                <w:sz w:val="24"/>
              </w:rPr>
            </w:pPr>
            <w:r>
              <w:rPr>
                <w:sz w:val="24"/>
              </w:rPr>
              <w:lastRenderedPageBreak/>
              <w:t>Submit Title VI Program</w:t>
            </w:r>
          </w:p>
        </w:tc>
        <w:tc>
          <w:tcPr>
            <w:tcW w:w="1080" w:type="dxa"/>
          </w:tcPr>
          <w:p w:rsidR="00F80A8D" w:rsidRDefault="002D7A56">
            <w:pPr>
              <w:jc w:val="center"/>
              <w:rPr>
                <w:sz w:val="24"/>
              </w:rPr>
            </w:pPr>
            <w:r>
              <w:rPr>
                <w:sz w:val="24"/>
              </w:rPr>
              <w:t>D</w:t>
            </w:r>
          </w:p>
        </w:tc>
        <w:tc>
          <w:tcPr>
            <w:tcW w:w="2250" w:type="dxa"/>
          </w:tcPr>
          <w:p w:rsidR="00F80A8D" w:rsidRDefault="00E84124">
            <w:pPr>
              <w:ind w:left="45"/>
              <w:rPr>
                <w:sz w:val="24"/>
              </w:rPr>
            </w:pPr>
            <w:r>
              <w:rPr>
                <w:sz w:val="24"/>
              </w:rPr>
              <w:t>Lack detailed Title VI Program under FTA Circular 4702.1A</w:t>
            </w:r>
          </w:p>
        </w:tc>
        <w:tc>
          <w:tcPr>
            <w:tcW w:w="2430" w:type="dxa"/>
          </w:tcPr>
          <w:p w:rsidR="00F80A8D" w:rsidRPr="00751820" w:rsidRDefault="00751820" w:rsidP="00F97516">
            <w:pPr>
              <w:tabs>
                <w:tab w:val="left" w:pos="-30"/>
                <w:tab w:val="left" w:pos="1725"/>
              </w:tabs>
              <w:ind w:left="-30"/>
              <w:rPr>
                <w:sz w:val="24"/>
                <w:szCs w:val="24"/>
              </w:rPr>
            </w:pPr>
            <w:r w:rsidRPr="00751820">
              <w:rPr>
                <w:sz w:val="24"/>
                <w:szCs w:val="24"/>
              </w:rPr>
              <w:t xml:space="preserve">HDOT must submit to the FTA Equal Opportunity Specialist in FTA’s Headquarters Office of Civil Rights a Title VI Program developed according to FTA Circular 4702.1A under the General Reporting Requirements </w:t>
            </w:r>
            <w:r w:rsidR="00D35E99">
              <w:rPr>
                <w:sz w:val="24"/>
                <w:szCs w:val="24"/>
              </w:rPr>
              <w:t xml:space="preserve">and Guidelines </w:t>
            </w:r>
            <w:r w:rsidRPr="00751820">
              <w:rPr>
                <w:sz w:val="24"/>
                <w:szCs w:val="24"/>
              </w:rPr>
              <w:t xml:space="preserve">and Program-Specific Requirements </w:t>
            </w:r>
            <w:r w:rsidR="00D35E99">
              <w:rPr>
                <w:sz w:val="24"/>
                <w:szCs w:val="24"/>
              </w:rPr>
              <w:t xml:space="preserve">and Guidelines </w:t>
            </w:r>
            <w:r w:rsidRPr="00751820">
              <w:rPr>
                <w:sz w:val="24"/>
                <w:szCs w:val="24"/>
              </w:rPr>
              <w:t>for State DOTs</w:t>
            </w:r>
            <w:r w:rsidR="00D35E99">
              <w:rPr>
                <w:sz w:val="24"/>
                <w:szCs w:val="24"/>
              </w:rPr>
              <w:t xml:space="preserve"> and Other Administering Agencies</w:t>
            </w:r>
            <w:r w:rsidRPr="00751820">
              <w:rPr>
                <w:sz w:val="24"/>
                <w:szCs w:val="24"/>
              </w:rPr>
              <w:t>.</w:t>
            </w:r>
          </w:p>
        </w:tc>
        <w:tc>
          <w:tcPr>
            <w:tcW w:w="1260" w:type="dxa"/>
          </w:tcPr>
          <w:p w:rsidR="00751820" w:rsidRDefault="00751820">
            <w:pPr>
              <w:pStyle w:val="Heading9"/>
              <w:spacing w:line="240" w:lineRule="auto"/>
            </w:pPr>
            <w:r>
              <w:t>90 Days</w:t>
            </w:r>
          </w:p>
          <w:p w:rsidR="00751820" w:rsidRDefault="00751820" w:rsidP="00751820"/>
          <w:p w:rsidR="00F80A8D" w:rsidRPr="00751820" w:rsidRDefault="00F80A8D" w:rsidP="00751820"/>
        </w:tc>
        <w:tc>
          <w:tcPr>
            <w:tcW w:w="1140" w:type="dxa"/>
          </w:tcPr>
          <w:p w:rsidR="00F80A8D" w:rsidRDefault="00720906">
            <w:pPr>
              <w:jc w:val="center"/>
              <w:rPr>
                <w:sz w:val="24"/>
              </w:rPr>
            </w:pPr>
            <w:r w:rsidRPr="00720906">
              <w:rPr>
                <w:sz w:val="24"/>
                <w:szCs w:val="24"/>
              </w:rPr>
              <w:t>April 5, 2010</w:t>
            </w:r>
          </w:p>
        </w:tc>
      </w:tr>
      <w:tr w:rsidR="00F80A8D">
        <w:tc>
          <w:tcPr>
            <w:tcW w:w="10590" w:type="dxa"/>
            <w:gridSpan w:val="6"/>
          </w:tcPr>
          <w:p w:rsidR="00F80A8D" w:rsidRDefault="00D46449">
            <w:pPr>
              <w:jc w:val="center"/>
              <w:rPr>
                <w:b/>
                <w:sz w:val="24"/>
              </w:rPr>
            </w:pPr>
            <w:r>
              <w:rPr>
                <w:b/>
                <w:sz w:val="24"/>
              </w:rPr>
              <w:t>PROGRAM SPECIFIC REQUIREMENTS – FTA C.4702.1A VI, 1-4</w:t>
            </w: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Statewide Planning Activities</w:t>
            </w:r>
          </w:p>
        </w:tc>
        <w:tc>
          <w:tcPr>
            <w:tcW w:w="1080" w:type="dxa"/>
          </w:tcPr>
          <w:p w:rsidR="00D46449" w:rsidRDefault="00E84124">
            <w:pPr>
              <w:jc w:val="center"/>
              <w:rPr>
                <w:sz w:val="24"/>
              </w:rPr>
            </w:pPr>
            <w:r>
              <w:rPr>
                <w:sz w:val="24"/>
              </w:rPr>
              <w:t>D</w:t>
            </w:r>
          </w:p>
        </w:tc>
        <w:tc>
          <w:tcPr>
            <w:tcW w:w="2250" w:type="dxa"/>
          </w:tcPr>
          <w:p w:rsidR="00D46449" w:rsidRDefault="00E84124" w:rsidP="00E84124">
            <w:pPr>
              <w:ind w:left="45"/>
              <w:rPr>
                <w:sz w:val="24"/>
              </w:rPr>
            </w:pPr>
            <w:r>
              <w:rPr>
                <w:sz w:val="24"/>
              </w:rPr>
              <w:t>Lack statewide planning activities</w:t>
            </w:r>
          </w:p>
        </w:tc>
        <w:tc>
          <w:tcPr>
            <w:tcW w:w="2430" w:type="dxa"/>
          </w:tcPr>
          <w:p w:rsidR="00D46449" w:rsidRPr="00C5043B" w:rsidRDefault="002566B9" w:rsidP="003C2C05">
            <w:pPr>
              <w:rPr>
                <w:sz w:val="24"/>
                <w:szCs w:val="24"/>
              </w:rPr>
            </w:pPr>
            <w:r>
              <w:rPr>
                <w:sz w:val="24"/>
                <w:szCs w:val="24"/>
              </w:rPr>
              <w:t>HDOT must submit</w:t>
            </w:r>
            <w:r w:rsidRPr="00121F8F">
              <w:rPr>
                <w:sz w:val="24"/>
                <w:szCs w:val="24"/>
              </w:rPr>
              <w:t xml:space="preserve"> </w:t>
            </w:r>
            <w:r>
              <w:rPr>
                <w:sz w:val="24"/>
                <w:szCs w:val="24"/>
              </w:rPr>
              <w:t xml:space="preserve">to </w:t>
            </w:r>
            <w:r w:rsidR="00DE71F1" w:rsidRPr="00DE71F1">
              <w:rPr>
                <w:sz w:val="24"/>
                <w:szCs w:val="24"/>
              </w:rPr>
              <w:t>the FTA Equal Opportunity Specialist in FTA’s Headquarters Office of Civil Rights</w:t>
            </w:r>
            <w:r w:rsidR="00DE71F1" w:rsidRPr="00121F8F">
              <w:rPr>
                <w:sz w:val="24"/>
                <w:szCs w:val="24"/>
              </w:rPr>
              <w:t xml:space="preserve"> </w:t>
            </w:r>
            <w:r w:rsidRPr="00121F8F">
              <w:rPr>
                <w:sz w:val="24"/>
                <w:szCs w:val="24"/>
              </w:rPr>
              <w:t xml:space="preserve">documentation </w:t>
            </w:r>
            <w:r>
              <w:rPr>
                <w:sz w:val="24"/>
                <w:szCs w:val="24"/>
              </w:rPr>
              <w:t>that it has an</w:t>
            </w:r>
            <w:r w:rsidRPr="00121F8F">
              <w:rPr>
                <w:sz w:val="24"/>
                <w:szCs w:val="24"/>
              </w:rPr>
              <w:t xml:space="preserve"> analytical basis in place for certifying compliance </w:t>
            </w:r>
            <w:r>
              <w:rPr>
                <w:sz w:val="24"/>
                <w:szCs w:val="24"/>
              </w:rPr>
              <w:t xml:space="preserve">of its FTA-funded programs </w:t>
            </w:r>
            <w:r w:rsidRPr="00121F8F">
              <w:rPr>
                <w:sz w:val="24"/>
                <w:szCs w:val="24"/>
              </w:rPr>
              <w:t>with Title VI.</w:t>
            </w:r>
          </w:p>
        </w:tc>
        <w:tc>
          <w:tcPr>
            <w:tcW w:w="1260" w:type="dxa"/>
          </w:tcPr>
          <w:p w:rsidR="00D46449" w:rsidRDefault="002566B9">
            <w:pPr>
              <w:jc w:val="center"/>
              <w:rPr>
                <w:sz w:val="24"/>
              </w:rPr>
            </w:pPr>
            <w:r>
              <w:rPr>
                <w:sz w:val="24"/>
              </w:rPr>
              <w:t>90 Days</w:t>
            </w:r>
          </w:p>
        </w:tc>
        <w:tc>
          <w:tcPr>
            <w:tcW w:w="1140" w:type="dxa"/>
          </w:tcPr>
          <w:p w:rsidR="00D46449" w:rsidRDefault="00D46449">
            <w:pPr>
              <w:jc w:val="center"/>
              <w:rPr>
                <w:sz w:val="24"/>
              </w:rPr>
            </w:pP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Program Administration</w:t>
            </w:r>
          </w:p>
        </w:tc>
        <w:tc>
          <w:tcPr>
            <w:tcW w:w="1080" w:type="dxa"/>
          </w:tcPr>
          <w:p w:rsidR="00D46449" w:rsidRDefault="00E84124">
            <w:pPr>
              <w:jc w:val="center"/>
              <w:rPr>
                <w:sz w:val="24"/>
              </w:rPr>
            </w:pPr>
            <w:r>
              <w:rPr>
                <w:sz w:val="24"/>
              </w:rPr>
              <w:t>D</w:t>
            </w:r>
          </w:p>
        </w:tc>
        <w:tc>
          <w:tcPr>
            <w:tcW w:w="2250" w:type="dxa"/>
          </w:tcPr>
          <w:p w:rsidR="00D46449" w:rsidRDefault="00E84124">
            <w:pPr>
              <w:ind w:left="45"/>
              <w:rPr>
                <w:sz w:val="24"/>
              </w:rPr>
            </w:pPr>
            <w:r>
              <w:rPr>
                <w:sz w:val="24"/>
              </w:rPr>
              <w:t>Lack program administration</w:t>
            </w:r>
          </w:p>
        </w:tc>
        <w:tc>
          <w:tcPr>
            <w:tcW w:w="2430" w:type="dxa"/>
          </w:tcPr>
          <w:p w:rsidR="00D46449" w:rsidRPr="00C5043B" w:rsidRDefault="00C657B3" w:rsidP="002566B9">
            <w:pPr>
              <w:rPr>
                <w:sz w:val="24"/>
              </w:rPr>
            </w:pPr>
            <w:r w:rsidRPr="00D96504">
              <w:rPr>
                <w:sz w:val="24"/>
                <w:szCs w:val="24"/>
              </w:rPr>
              <w:t xml:space="preserve">HDOT must submit </w:t>
            </w:r>
            <w:r>
              <w:rPr>
                <w:sz w:val="24"/>
                <w:szCs w:val="24"/>
              </w:rPr>
              <w:t xml:space="preserve">to </w:t>
            </w:r>
            <w:r w:rsidR="00DE71F1" w:rsidRPr="00DE71F1">
              <w:rPr>
                <w:sz w:val="24"/>
                <w:szCs w:val="24"/>
              </w:rPr>
              <w:t xml:space="preserve">the FTA Equal Opportunity Specialist in FTA’s Headquarters Office </w:t>
            </w:r>
            <w:r w:rsidR="00DE71F1" w:rsidRPr="00DE71F1">
              <w:rPr>
                <w:sz w:val="24"/>
                <w:szCs w:val="24"/>
              </w:rPr>
              <w:lastRenderedPageBreak/>
              <w:t>of Civil Rights</w:t>
            </w:r>
            <w:r w:rsidR="00DE71F1" w:rsidRPr="00D96504">
              <w:rPr>
                <w:sz w:val="24"/>
                <w:szCs w:val="24"/>
              </w:rPr>
              <w:t xml:space="preserve"> </w:t>
            </w:r>
            <w:r w:rsidRPr="00D96504">
              <w:rPr>
                <w:sz w:val="24"/>
                <w:szCs w:val="24"/>
              </w:rPr>
              <w:t>documentation that it has procedures in place to fulfill</w:t>
            </w:r>
            <w:r>
              <w:rPr>
                <w:sz w:val="24"/>
                <w:szCs w:val="24"/>
              </w:rPr>
              <w:t xml:space="preserve"> the Circular requirements for Program Administration.</w:t>
            </w:r>
          </w:p>
        </w:tc>
        <w:tc>
          <w:tcPr>
            <w:tcW w:w="1260" w:type="dxa"/>
          </w:tcPr>
          <w:p w:rsidR="00D46449" w:rsidRDefault="00C657B3">
            <w:pPr>
              <w:pStyle w:val="Heading9"/>
              <w:spacing w:line="240" w:lineRule="auto"/>
              <w:ind w:left="45"/>
            </w:pPr>
            <w:r>
              <w:lastRenderedPageBreak/>
              <w:t>90 Days</w:t>
            </w:r>
          </w:p>
        </w:tc>
        <w:tc>
          <w:tcPr>
            <w:tcW w:w="1140" w:type="dxa"/>
          </w:tcPr>
          <w:p w:rsidR="00D46449" w:rsidRPr="00720906" w:rsidRDefault="00720906">
            <w:pPr>
              <w:jc w:val="center"/>
              <w:rPr>
                <w:sz w:val="24"/>
                <w:szCs w:val="24"/>
              </w:rPr>
            </w:pPr>
            <w:r w:rsidRPr="00720906">
              <w:rPr>
                <w:sz w:val="24"/>
                <w:szCs w:val="24"/>
              </w:rPr>
              <w:t>April 5, 2010</w:t>
            </w: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lastRenderedPageBreak/>
              <w:t>Providing Assistance to Subrecipients</w:t>
            </w:r>
          </w:p>
        </w:tc>
        <w:tc>
          <w:tcPr>
            <w:tcW w:w="1080" w:type="dxa"/>
          </w:tcPr>
          <w:p w:rsidR="00D46449" w:rsidRDefault="00E84124">
            <w:pPr>
              <w:jc w:val="center"/>
              <w:rPr>
                <w:sz w:val="24"/>
              </w:rPr>
            </w:pPr>
            <w:r>
              <w:rPr>
                <w:sz w:val="24"/>
              </w:rPr>
              <w:t>ND</w:t>
            </w:r>
          </w:p>
        </w:tc>
        <w:tc>
          <w:tcPr>
            <w:tcW w:w="2250" w:type="dxa"/>
          </w:tcPr>
          <w:p w:rsidR="00D46449" w:rsidRDefault="00D46449">
            <w:pPr>
              <w:ind w:left="45"/>
              <w:rPr>
                <w:sz w:val="24"/>
              </w:rPr>
            </w:pPr>
          </w:p>
        </w:tc>
        <w:tc>
          <w:tcPr>
            <w:tcW w:w="2430" w:type="dxa"/>
          </w:tcPr>
          <w:p w:rsidR="00D46449" w:rsidRDefault="00D46449" w:rsidP="002615D5">
            <w:pPr>
              <w:ind w:left="45"/>
              <w:rPr>
                <w:sz w:val="24"/>
              </w:rPr>
            </w:pPr>
          </w:p>
        </w:tc>
        <w:tc>
          <w:tcPr>
            <w:tcW w:w="1260" w:type="dxa"/>
          </w:tcPr>
          <w:p w:rsidR="00D46449" w:rsidRDefault="00D46449">
            <w:pPr>
              <w:pStyle w:val="Heading9"/>
              <w:spacing w:line="240" w:lineRule="auto"/>
              <w:ind w:left="45"/>
            </w:pPr>
          </w:p>
        </w:tc>
        <w:tc>
          <w:tcPr>
            <w:tcW w:w="1140" w:type="dxa"/>
          </w:tcPr>
          <w:p w:rsidR="00D46449" w:rsidRDefault="00D46449">
            <w:pPr>
              <w:jc w:val="center"/>
              <w:rPr>
                <w:sz w:val="24"/>
              </w:rPr>
            </w:pPr>
          </w:p>
        </w:tc>
      </w:tr>
      <w:tr w:rsidR="00D46449">
        <w:tc>
          <w:tcPr>
            <w:tcW w:w="2430" w:type="dxa"/>
          </w:tcPr>
          <w:p w:rsidR="00D46449" w:rsidRDefault="00D46449" w:rsidP="00D46449">
            <w:pPr>
              <w:numPr>
                <w:ilvl w:val="0"/>
                <w:numId w:val="10"/>
              </w:numPr>
              <w:tabs>
                <w:tab w:val="clear" w:pos="720"/>
                <w:tab w:val="num" w:pos="420"/>
              </w:tabs>
              <w:ind w:left="420" w:hanging="420"/>
              <w:rPr>
                <w:sz w:val="24"/>
              </w:rPr>
            </w:pPr>
            <w:r>
              <w:rPr>
                <w:sz w:val="24"/>
              </w:rPr>
              <w:t>Monitoring Subrecipients</w:t>
            </w:r>
          </w:p>
        </w:tc>
        <w:tc>
          <w:tcPr>
            <w:tcW w:w="1080" w:type="dxa"/>
          </w:tcPr>
          <w:p w:rsidR="00D46449" w:rsidRDefault="00E84124">
            <w:pPr>
              <w:jc w:val="center"/>
              <w:rPr>
                <w:sz w:val="24"/>
              </w:rPr>
            </w:pPr>
            <w:r>
              <w:rPr>
                <w:sz w:val="24"/>
              </w:rPr>
              <w:t>ND</w:t>
            </w:r>
          </w:p>
        </w:tc>
        <w:tc>
          <w:tcPr>
            <w:tcW w:w="2250" w:type="dxa"/>
          </w:tcPr>
          <w:p w:rsidR="00D46449" w:rsidRDefault="00D46449">
            <w:pPr>
              <w:pStyle w:val="ReferenceLine"/>
            </w:pPr>
          </w:p>
        </w:tc>
        <w:tc>
          <w:tcPr>
            <w:tcW w:w="2430" w:type="dxa"/>
          </w:tcPr>
          <w:p w:rsidR="00D46449" w:rsidRPr="002615D5" w:rsidRDefault="00D46449" w:rsidP="0064099D">
            <w:pPr>
              <w:pStyle w:val="ReferenceLine"/>
              <w:numPr>
                <w:ilvl w:val="0"/>
                <w:numId w:val="16"/>
              </w:numPr>
              <w:tabs>
                <w:tab w:val="clear" w:pos="720"/>
                <w:tab w:val="num" w:pos="330"/>
              </w:tabs>
              <w:ind w:left="330" w:hanging="720"/>
              <w:rPr>
                <w:szCs w:val="24"/>
              </w:rPr>
            </w:pPr>
          </w:p>
        </w:tc>
        <w:tc>
          <w:tcPr>
            <w:tcW w:w="1260" w:type="dxa"/>
          </w:tcPr>
          <w:p w:rsidR="00D46449" w:rsidRDefault="00D46449">
            <w:pPr>
              <w:pStyle w:val="Heading9"/>
              <w:spacing w:line="240" w:lineRule="auto"/>
            </w:pPr>
          </w:p>
        </w:tc>
        <w:tc>
          <w:tcPr>
            <w:tcW w:w="1140" w:type="dxa"/>
          </w:tcPr>
          <w:p w:rsidR="00D46449" w:rsidRDefault="00D46449">
            <w:pPr>
              <w:jc w:val="center"/>
            </w:pPr>
          </w:p>
        </w:tc>
      </w:tr>
    </w:tbl>
    <w:p w:rsidR="00F80A8D" w:rsidRDefault="00F80A8D">
      <w:pPr>
        <w:ind w:left="-180"/>
      </w:pPr>
      <w:r>
        <w:t>Findings at the time of the site visit:  ND = No Deficiencies</w:t>
      </w:r>
      <w:proofErr w:type="gramStart"/>
      <w:r>
        <w:t>;  D</w:t>
      </w:r>
      <w:proofErr w:type="gramEnd"/>
      <w:r>
        <w:t xml:space="preserve"> = Deficiency;  NA = Not Applicable; </w:t>
      </w:r>
    </w:p>
    <w:p w:rsidR="00F80A8D" w:rsidRDefault="00F80A8D">
      <w:pPr>
        <w:ind w:left="-180"/>
      </w:pPr>
      <w:r>
        <w:t>NR = Not Reviewed; AC = Advisory Comment</w:t>
      </w:r>
    </w:p>
    <w:p w:rsidR="00F80A8D" w:rsidRDefault="00F80A8D" w:rsidP="009A52A0">
      <w:pPr>
        <w:pStyle w:val="BHLevel1"/>
        <w:numPr>
          <w:ilvl w:val="0"/>
          <w:numId w:val="0"/>
        </w:numPr>
        <w:spacing w:line="360" w:lineRule="auto"/>
        <w:ind w:left="-720" w:firstLine="720"/>
        <w:rPr>
          <w:sz w:val="28"/>
          <w:szCs w:val="28"/>
        </w:rPr>
      </w:pPr>
      <w:bookmarkStart w:id="28" w:name="_Toc106790256"/>
      <w:bookmarkStart w:id="29" w:name="_Toc109968490"/>
      <w:r>
        <w:rPr>
          <w:b w:val="0"/>
          <w:bCs/>
          <w:sz w:val="28"/>
        </w:rPr>
        <w:br w:type="page"/>
      </w:r>
      <w:bookmarkStart w:id="30" w:name="_Toc272221050"/>
      <w:r w:rsidRPr="009A52A0">
        <w:rPr>
          <w:sz w:val="28"/>
          <w:szCs w:val="28"/>
          <w:u w:val="none"/>
        </w:rPr>
        <w:lastRenderedPageBreak/>
        <w:t>VIII.</w:t>
      </w:r>
      <w:r w:rsidRPr="009A52A0">
        <w:rPr>
          <w:sz w:val="28"/>
          <w:szCs w:val="28"/>
          <w:u w:val="none"/>
        </w:rPr>
        <w:tab/>
      </w:r>
      <w:r w:rsidRPr="009A52A0">
        <w:rPr>
          <w:sz w:val="28"/>
          <w:szCs w:val="28"/>
        </w:rPr>
        <w:t>ATTENDEES</w:t>
      </w:r>
      <w:bookmarkEnd w:id="28"/>
      <w:bookmarkEnd w:id="30"/>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601"/>
        <w:gridCol w:w="1530"/>
        <w:gridCol w:w="3092"/>
      </w:tblGrid>
      <w:tr w:rsidR="00E22E02" w:rsidRPr="00D526D1" w:rsidTr="00D625B8">
        <w:tblPrEx>
          <w:tblCellMar>
            <w:top w:w="0" w:type="dxa"/>
            <w:bottom w:w="0" w:type="dxa"/>
          </w:tblCellMar>
        </w:tblPrEx>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601"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092"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blPrEx>
          <w:tblCellMar>
            <w:top w:w="0" w:type="dxa"/>
            <w:bottom w:w="0" w:type="dxa"/>
          </w:tblCellMar>
        </w:tblPrEx>
        <w:trPr>
          <w:cantSplit/>
          <w:jc w:val="center"/>
        </w:trPr>
        <w:tc>
          <w:tcPr>
            <w:tcW w:w="10923" w:type="dxa"/>
            <w:gridSpan w:val="4"/>
            <w:tcBorders>
              <w:top w:val="nil"/>
            </w:tcBorders>
          </w:tcPr>
          <w:p w:rsidR="00E22E02" w:rsidRDefault="00E22E02" w:rsidP="00D625B8">
            <w:pPr>
              <w:rPr>
                <w:b/>
                <w:sz w:val="24"/>
              </w:rPr>
            </w:pPr>
            <w:r>
              <w:rPr>
                <w:b/>
                <w:sz w:val="24"/>
              </w:rPr>
              <w:t>GRANTEE – Hawaii Department of Transportation (HDOT)</w:t>
            </w:r>
          </w:p>
        </w:tc>
      </w:tr>
      <w:tr w:rsidR="00E22E02" w:rsidRPr="00E00DB7" w:rsidTr="00D625B8">
        <w:tblPrEx>
          <w:tblCellMar>
            <w:top w:w="0" w:type="dxa"/>
            <w:left w:w="108" w:type="dxa"/>
            <w:bottom w:w="0" w:type="dxa"/>
            <w:right w:w="108" w:type="dxa"/>
          </w:tblCellMar>
        </w:tblPrEx>
        <w:trPr>
          <w:cantSplit/>
          <w:trHeight w:val="197"/>
          <w:jc w:val="center"/>
        </w:trPr>
        <w:tc>
          <w:tcPr>
            <w:tcW w:w="2700" w:type="dxa"/>
          </w:tcPr>
          <w:p w:rsidR="00E22E02" w:rsidRPr="00E00DB7" w:rsidRDefault="00E22E02" w:rsidP="00D625B8">
            <w:proofErr w:type="spellStart"/>
            <w:r w:rsidRPr="00E00DB7">
              <w:t>Brennon</w:t>
            </w:r>
            <w:proofErr w:type="spellEnd"/>
            <w:r w:rsidRPr="00E00DB7">
              <w:t xml:space="preserve"> T. Morioka, PhD, PE</w:t>
            </w:r>
          </w:p>
        </w:tc>
        <w:tc>
          <w:tcPr>
            <w:tcW w:w="3601" w:type="dxa"/>
          </w:tcPr>
          <w:p w:rsidR="00E22E02" w:rsidRPr="00E00DB7" w:rsidRDefault="00E22E02" w:rsidP="00D625B8">
            <w:r w:rsidRPr="00E00DB7">
              <w:t>Director, Department of Transportation</w:t>
            </w:r>
          </w:p>
        </w:tc>
        <w:tc>
          <w:tcPr>
            <w:tcW w:w="1530" w:type="dxa"/>
          </w:tcPr>
          <w:p w:rsidR="00E22E02" w:rsidRPr="00E00DB7" w:rsidRDefault="00E22E02" w:rsidP="00D625B8">
            <w:r w:rsidRPr="00E00DB7">
              <w:t>(808) 587-2150</w:t>
            </w:r>
          </w:p>
        </w:tc>
        <w:tc>
          <w:tcPr>
            <w:tcW w:w="3092" w:type="dxa"/>
          </w:tcPr>
          <w:p w:rsidR="00E22E02" w:rsidRPr="00E00DB7" w:rsidRDefault="00E22E02" w:rsidP="00D625B8">
            <w:r w:rsidRPr="00E00DB7">
              <w:t>brennon.morioka@hawaii.gov</w:t>
            </w:r>
          </w:p>
        </w:tc>
      </w:tr>
      <w:tr w:rsidR="00E22E02" w:rsidRPr="00E00DB7" w:rsidTr="00D625B8">
        <w:tblPrEx>
          <w:tblCellMar>
            <w:top w:w="0" w:type="dxa"/>
            <w:left w:w="108" w:type="dxa"/>
            <w:bottom w:w="0" w:type="dxa"/>
            <w:right w:w="108" w:type="dxa"/>
          </w:tblCellMar>
        </w:tblPrEx>
        <w:trPr>
          <w:cantSplit/>
          <w:jc w:val="center"/>
        </w:trPr>
        <w:tc>
          <w:tcPr>
            <w:tcW w:w="2700" w:type="dxa"/>
          </w:tcPr>
          <w:p w:rsidR="00E22E02" w:rsidRPr="00E00DB7" w:rsidRDefault="00E22E02" w:rsidP="00D625B8">
            <w:r w:rsidRPr="00E00DB7">
              <w:t>Tammy Lee</w:t>
            </w:r>
          </w:p>
        </w:tc>
        <w:tc>
          <w:tcPr>
            <w:tcW w:w="3601" w:type="dxa"/>
          </w:tcPr>
          <w:p w:rsidR="00E22E02" w:rsidRPr="00E00DB7" w:rsidRDefault="00E22E02" w:rsidP="00D625B8">
            <w:r w:rsidRPr="00E00DB7">
              <w:t>Title VI Specialist</w:t>
            </w:r>
          </w:p>
        </w:tc>
        <w:tc>
          <w:tcPr>
            <w:tcW w:w="1530" w:type="dxa"/>
          </w:tcPr>
          <w:p w:rsidR="00E22E02" w:rsidRPr="00E00DB7" w:rsidRDefault="00E22E02" w:rsidP="00D625B8">
            <w:r w:rsidRPr="00E00DB7">
              <w:t>(808) 587-2022</w:t>
            </w:r>
          </w:p>
        </w:tc>
        <w:tc>
          <w:tcPr>
            <w:tcW w:w="3092" w:type="dxa"/>
          </w:tcPr>
          <w:p w:rsidR="00E22E02" w:rsidRPr="00E00DB7" w:rsidRDefault="00E22E02" w:rsidP="00D625B8">
            <w:r w:rsidRPr="00E00DB7">
              <w:t>tammy.l.lee@hawaii.gov</w:t>
            </w:r>
          </w:p>
        </w:tc>
      </w:tr>
      <w:tr w:rsidR="00E22E02" w:rsidRPr="00E00DB7" w:rsidTr="00D625B8">
        <w:tblPrEx>
          <w:tblCellMar>
            <w:top w:w="0" w:type="dxa"/>
            <w:left w:w="108" w:type="dxa"/>
            <w:bottom w:w="0" w:type="dxa"/>
            <w:right w:w="108" w:type="dxa"/>
          </w:tblCellMar>
        </w:tblPrEx>
        <w:trPr>
          <w:cantSplit/>
          <w:jc w:val="center"/>
        </w:trPr>
        <w:tc>
          <w:tcPr>
            <w:tcW w:w="2700" w:type="dxa"/>
          </w:tcPr>
          <w:p w:rsidR="00E22E02" w:rsidRPr="00E00DB7" w:rsidRDefault="00E22E02" w:rsidP="00D625B8">
            <w:r w:rsidRPr="00E00DB7">
              <w:t xml:space="preserve">Ryan </w:t>
            </w:r>
            <w:proofErr w:type="spellStart"/>
            <w:r w:rsidRPr="00E00DB7">
              <w:t>Fujii</w:t>
            </w:r>
            <w:proofErr w:type="spellEnd"/>
            <w:r w:rsidRPr="00E00DB7">
              <w:t>, PE</w:t>
            </w:r>
          </w:p>
        </w:tc>
        <w:tc>
          <w:tcPr>
            <w:tcW w:w="3601" w:type="dxa"/>
          </w:tcPr>
          <w:p w:rsidR="00E22E02" w:rsidRPr="00E00DB7" w:rsidRDefault="00E22E02" w:rsidP="00D625B8">
            <w:r w:rsidRPr="00E00DB7">
              <w:t>Program Staff Manager</w:t>
            </w:r>
          </w:p>
        </w:tc>
        <w:tc>
          <w:tcPr>
            <w:tcW w:w="1530" w:type="dxa"/>
          </w:tcPr>
          <w:p w:rsidR="00E22E02" w:rsidRPr="00E00DB7" w:rsidRDefault="00E22E02" w:rsidP="00D625B8">
            <w:r w:rsidRPr="00E00DB7">
              <w:t>(808) 587-2028</w:t>
            </w:r>
          </w:p>
        </w:tc>
        <w:tc>
          <w:tcPr>
            <w:tcW w:w="3092" w:type="dxa"/>
          </w:tcPr>
          <w:p w:rsidR="00E22E02" w:rsidRPr="00E00DB7" w:rsidRDefault="00E22E02" w:rsidP="00D625B8">
            <w:r w:rsidRPr="00E00DB7">
              <w:t>ryan.fujii@hawaii.gov</w:t>
            </w:r>
          </w:p>
        </w:tc>
      </w:tr>
      <w:tr w:rsidR="00E22E02" w:rsidRPr="00E00DB7" w:rsidTr="00D625B8">
        <w:tblPrEx>
          <w:tblCellMar>
            <w:top w:w="0" w:type="dxa"/>
            <w:left w:w="108" w:type="dxa"/>
            <w:bottom w:w="0" w:type="dxa"/>
            <w:right w:w="108" w:type="dxa"/>
          </w:tblCellMar>
        </w:tblPrEx>
        <w:trPr>
          <w:cantSplit/>
          <w:jc w:val="center"/>
        </w:trPr>
        <w:tc>
          <w:tcPr>
            <w:tcW w:w="2700" w:type="dxa"/>
          </w:tcPr>
          <w:p w:rsidR="00E22E02" w:rsidRPr="00E00DB7" w:rsidRDefault="00E22E02" w:rsidP="00D625B8">
            <w:r w:rsidRPr="00E00DB7">
              <w:t>Rey Domingo</w:t>
            </w:r>
          </w:p>
        </w:tc>
        <w:tc>
          <w:tcPr>
            <w:tcW w:w="3601" w:type="dxa"/>
          </w:tcPr>
          <w:p w:rsidR="00E22E02" w:rsidRPr="00E00DB7" w:rsidRDefault="00E22E02" w:rsidP="00D625B8">
            <w:r w:rsidRPr="00E00DB7">
              <w:t>Civil Rights Manager</w:t>
            </w:r>
          </w:p>
        </w:tc>
        <w:tc>
          <w:tcPr>
            <w:tcW w:w="1530" w:type="dxa"/>
          </w:tcPr>
          <w:p w:rsidR="00E22E02" w:rsidRPr="00E00DB7" w:rsidRDefault="00E22E02" w:rsidP="00D625B8">
            <w:r w:rsidRPr="00E00DB7">
              <w:t>(808) 587-5339</w:t>
            </w:r>
          </w:p>
        </w:tc>
        <w:tc>
          <w:tcPr>
            <w:tcW w:w="3092" w:type="dxa"/>
          </w:tcPr>
          <w:p w:rsidR="00E22E02" w:rsidRPr="00E00DB7" w:rsidRDefault="00E22E02" w:rsidP="00D625B8">
            <w:r w:rsidRPr="00E00DB7">
              <w:t>Rey.domingo@hawaii.gov</w:t>
            </w:r>
          </w:p>
        </w:tc>
      </w:tr>
      <w:tr w:rsidR="00E22E02" w:rsidTr="00D625B8">
        <w:tblPrEx>
          <w:tblCellMar>
            <w:top w:w="0" w:type="dxa"/>
            <w:left w:w="108" w:type="dxa"/>
            <w:bottom w:w="0" w:type="dxa"/>
            <w:right w:w="108" w:type="dxa"/>
          </w:tblCellMar>
        </w:tblPrEx>
        <w:trPr>
          <w:cantSplit/>
          <w:jc w:val="center"/>
        </w:trPr>
        <w:tc>
          <w:tcPr>
            <w:tcW w:w="2700" w:type="dxa"/>
          </w:tcPr>
          <w:p w:rsidR="00E22E02" w:rsidRPr="00523022" w:rsidRDefault="00E22E02" w:rsidP="00D625B8">
            <w:r>
              <w:t xml:space="preserve">Dean S. Nakagawa </w:t>
            </w:r>
          </w:p>
        </w:tc>
        <w:tc>
          <w:tcPr>
            <w:tcW w:w="3601" w:type="dxa"/>
          </w:tcPr>
          <w:p w:rsidR="00E22E02" w:rsidRPr="00523022" w:rsidRDefault="00E22E02" w:rsidP="00D625B8">
            <w:r w:rsidRPr="00523022">
              <w:t>Planner</w:t>
            </w:r>
          </w:p>
        </w:tc>
        <w:tc>
          <w:tcPr>
            <w:tcW w:w="1530" w:type="dxa"/>
          </w:tcPr>
          <w:p w:rsidR="00E22E02" w:rsidRPr="00523022" w:rsidRDefault="00E22E02" w:rsidP="00D625B8">
            <w:r w:rsidRPr="00523022">
              <w:t>(808) 587-23</w:t>
            </w:r>
            <w:r>
              <w:t>59</w:t>
            </w:r>
          </w:p>
        </w:tc>
        <w:tc>
          <w:tcPr>
            <w:tcW w:w="3092" w:type="dxa"/>
          </w:tcPr>
          <w:p w:rsidR="00E22E02" w:rsidRPr="00523022" w:rsidRDefault="00E22E02" w:rsidP="00D625B8">
            <w:r>
              <w:t>dean</w:t>
            </w:r>
            <w:r w:rsidRPr="00523022">
              <w:t>.</w:t>
            </w:r>
            <w:r>
              <w:t>nakagawa</w:t>
            </w:r>
            <w:r w:rsidRPr="00523022">
              <w:t>@hawaii.gov</w:t>
            </w:r>
          </w:p>
        </w:tc>
      </w:tr>
      <w:tr w:rsidR="00E22E02" w:rsidTr="00D625B8">
        <w:tblPrEx>
          <w:tblCellMar>
            <w:top w:w="0" w:type="dxa"/>
            <w:bottom w:w="0" w:type="dxa"/>
          </w:tblCellMar>
        </w:tblPrEx>
        <w:trPr>
          <w:cantSplit/>
          <w:jc w:val="center"/>
        </w:trPr>
        <w:tc>
          <w:tcPr>
            <w:tcW w:w="10923" w:type="dxa"/>
            <w:gridSpan w:val="4"/>
            <w:tcBorders>
              <w:top w:val="nil"/>
            </w:tcBorders>
          </w:tcPr>
          <w:p w:rsidR="00E22E02" w:rsidRDefault="00E22E02" w:rsidP="00D625B8">
            <w:pPr>
              <w:rPr>
                <w:b/>
                <w:sz w:val="24"/>
              </w:rPr>
            </w:pPr>
          </w:p>
        </w:tc>
      </w:tr>
      <w:tr w:rsidR="00E22E02" w:rsidTr="00D625B8">
        <w:tblPrEx>
          <w:tblCellMar>
            <w:top w:w="0" w:type="dxa"/>
            <w:bottom w:w="0" w:type="dxa"/>
          </w:tblCellMar>
        </w:tblPrEx>
        <w:trPr>
          <w:cantSplit/>
          <w:jc w:val="center"/>
        </w:trPr>
        <w:tc>
          <w:tcPr>
            <w:tcW w:w="10923" w:type="dxa"/>
            <w:gridSpan w:val="4"/>
            <w:tcBorders>
              <w:top w:val="nil"/>
            </w:tcBorders>
          </w:tcPr>
          <w:p w:rsidR="00E22E02" w:rsidRDefault="00E22E02" w:rsidP="00D625B8">
            <w:pPr>
              <w:rPr>
                <w:b/>
                <w:sz w:val="24"/>
              </w:rPr>
            </w:pPr>
            <w:r>
              <w:rPr>
                <w:b/>
                <w:sz w:val="24"/>
              </w:rPr>
              <w:t>OTHER – County of Maui Department of Transportation (Maui DOT)</w:t>
            </w:r>
          </w:p>
        </w:tc>
      </w:tr>
      <w:tr w:rsidR="00E22E02" w:rsidRPr="00E00DB7" w:rsidTr="00D625B8">
        <w:tblPrEx>
          <w:tblCellMar>
            <w:top w:w="0" w:type="dxa"/>
            <w:left w:w="108" w:type="dxa"/>
            <w:bottom w:w="0" w:type="dxa"/>
            <w:right w:w="108" w:type="dxa"/>
          </w:tblCellMar>
        </w:tblPrEx>
        <w:trPr>
          <w:cantSplit/>
          <w:trHeight w:val="197"/>
          <w:jc w:val="center"/>
        </w:trPr>
        <w:tc>
          <w:tcPr>
            <w:tcW w:w="2700" w:type="dxa"/>
          </w:tcPr>
          <w:p w:rsidR="00E22E02" w:rsidRPr="00E00DB7" w:rsidRDefault="00E22E02" w:rsidP="00D625B8">
            <w:r>
              <w:t>Don Medeiros, CCTM</w:t>
            </w:r>
          </w:p>
        </w:tc>
        <w:tc>
          <w:tcPr>
            <w:tcW w:w="3601" w:type="dxa"/>
          </w:tcPr>
          <w:p w:rsidR="00E22E02" w:rsidRPr="00E00DB7" w:rsidRDefault="00E22E02" w:rsidP="00D35E99">
            <w:r w:rsidRPr="00E00DB7">
              <w:t>Director</w:t>
            </w:r>
          </w:p>
        </w:tc>
        <w:tc>
          <w:tcPr>
            <w:tcW w:w="1530" w:type="dxa"/>
          </w:tcPr>
          <w:p w:rsidR="00E22E02" w:rsidRPr="00E00DB7" w:rsidRDefault="00E22E02" w:rsidP="00D625B8">
            <w:r w:rsidRPr="00E00DB7">
              <w:t xml:space="preserve">(808) </w:t>
            </w:r>
            <w:r>
              <w:t>270-7511</w:t>
            </w:r>
          </w:p>
        </w:tc>
        <w:tc>
          <w:tcPr>
            <w:tcW w:w="3092" w:type="dxa"/>
          </w:tcPr>
          <w:p w:rsidR="00E22E02" w:rsidRPr="00E00DB7" w:rsidRDefault="00E22E02" w:rsidP="00D625B8">
            <w:r w:rsidRPr="00C969A5">
              <w:t>don.medeiros@co.maui.hi.us</w:t>
            </w:r>
          </w:p>
        </w:tc>
      </w:tr>
      <w:tr w:rsidR="00E22E02" w:rsidRPr="00E00DB7" w:rsidTr="00D625B8">
        <w:tblPrEx>
          <w:tblCellMar>
            <w:top w:w="0" w:type="dxa"/>
            <w:left w:w="108" w:type="dxa"/>
            <w:bottom w:w="0" w:type="dxa"/>
            <w:right w:w="108" w:type="dxa"/>
          </w:tblCellMar>
        </w:tblPrEx>
        <w:trPr>
          <w:cantSplit/>
          <w:trHeight w:val="197"/>
          <w:jc w:val="center"/>
        </w:trPr>
        <w:tc>
          <w:tcPr>
            <w:tcW w:w="2700" w:type="dxa"/>
          </w:tcPr>
          <w:p w:rsidR="00E22E02" w:rsidRPr="00E00DB7" w:rsidRDefault="00E22E02" w:rsidP="00D625B8">
            <w:r>
              <w:t xml:space="preserve">Wayne A. </w:t>
            </w:r>
            <w:proofErr w:type="spellStart"/>
            <w:r>
              <w:t>Boteilho</w:t>
            </w:r>
            <w:proofErr w:type="spellEnd"/>
          </w:p>
        </w:tc>
        <w:tc>
          <w:tcPr>
            <w:tcW w:w="3601" w:type="dxa"/>
          </w:tcPr>
          <w:p w:rsidR="00E22E02" w:rsidRPr="00E00DB7" w:rsidRDefault="00E22E02" w:rsidP="00D35E99">
            <w:r>
              <w:t xml:space="preserve">Deputy </w:t>
            </w:r>
            <w:r w:rsidRPr="00E00DB7">
              <w:t>Director</w:t>
            </w:r>
          </w:p>
        </w:tc>
        <w:tc>
          <w:tcPr>
            <w:tcW w:w="1530" w:type="dxa"/>
          </w:tcPr>
          <w:p w:rsidR="00E22E02" w:rsidRPr="00E00DB7" w:rsidRDefault="00E22E02" w:rsidP="00D625B8">
            <w:r w:rsidRPr="00E00DB7">
              <w:t xml:space="preserve">(808) </w:t>
            </w:r>
            <w:r>
              <w:t>270-7511</w:t>
            </w:r>
          </w:p>
        </w:tc>
        <w:tc>
          <w:tcPr>
            <w:tcW w:w="3092" w:type="dxa"/>
          </w:tcPr>
          <w:p w:rsidR="00E22E02" w:rsidRPr="00E00DB7" w:rsidRDefault="00E22E02" w:rsidP="00D625B8">
            <w:r w:rsidRPr="00C969A5">
              <w:t>wayne.boteilho@co.maui.hi.us</w:t>
            </w:r>
          </w:p>
        </w:tc>
      </w:tr>
      <w:tr w:rsidR="00E22E02" w:rsidRPr="00E00DB7" w:rsidTr="00D625B8">
        <w:tblPrEx>
          <w:tblCellMar>
            <w:top w:w="0" w:type="dxa"/>
            <w:left w:w="108" w:type="dxa"/>
            <w:bottom w:w="0" w:type="dxa"/>
            <w:right w:w="108" w:type="dxa"/>
          </w:tblCellMar>
        </w:tblPrEx>
        <w:trPr>
          <w:cantSplit/>
          <w:trHeight w:val="197"/>
          <w:jc w:val="center"/>
        </w:trPr>
        <w:tc>
          <w:tcPr>
            <w:tcW w:w="2700" w:type="dxa"/>
          </w:tcPr>
          <w:p w:rsidR="00E22E02" w:rsidRPr="00E00DB7" w:rsidRDefault="00E22E02" w:rsidP="00D625B8">
            <w:r>
              <w:t>Cheryl M. Kelly</w:t>
            </w:r>
          </w:p>
        </w:tc>
        <w:tc>
          <w:tcPr>
            <w:tcW w:w="3601" w:type="dxa"/>
          </w:tcPr>
          <w:p w:rsidR="00E22E02" w:rsidRPr="00E00DB7" w:rsidRDefault="00E22E02" w:rsidP="00D625B8">
            <w:r>
              <w:t>Equal Employment Opportunity Specialist</w:t>
            </w:r>
          </w:p>
        </w:tc>
        <w:tc>
          <w:tcPr>
            <w:tcW w:w="1530" w:type="dxa"/>
          </w:tcPr>
          <w:p w:rsidR="00E22E02" w:rsidRPr="00E00DB7" w:rsidRDefault="00E22E02" w:rsidP="00D625B8">
            <w:r w:rsidRPr="00E00DB7">
              <w:t xml:space="preserve">(808) </w:t>
            </w:r>
            <w:r>
              <w:t>270- 7968</w:t>
            </w:r>
          </w:p>
        </w:tc>
        <w:tc>
          <w:tcPr>
            <w:tcW w:w="3092" w:type="dxa"/>
          </w:tcPr>
          <w:p w:rsidR="00E22E02" w:rsidRPr="00E00DB7" w:rsidRDefault="00E22E02" w:rsidP="00D625B8">
            <w:r w:rsidRPr="00C969A5">
              <w:t>eeo@mauicounty.gov</w:t>
            </w:r>
          </w:p>
        </w:tc>
      </w:tr>
      <w:tr w:rsidR="00E22E02" w:rsidRPr="00523022" w:rsidTr="00D625B8">
        <w:tblPrEx>
          <w:tblCellMar>
            <w:top w:w="0" w:type="dxa"/>
            <w:left w:w="108" w:type="dxa"/>
            <w:bottom w:w="0" w:type="dxa"/>
            <w:right w:w="108" w:type="dxa"/>
          </w:tblCellMar>
        </w:tblPrEx>
        <w:trPr>
          <w:cantSplit/>
          <w:trHeight w:val="197"/>
          <w:jc w:val="center"/>
        </w:trPr>
        <w:tc>
          <w:tcPr>
            <w:tcW w:w="10923" w:type="dxa"/>
            <w:gridSpan w:val="4"/>
          </w:tcPr>
          <w:p w:rsidR="00E22E02" w:rsidRPr="00523022" w:rsidRDefault="00E22E02" w:rsidP="00D625B8">
            <w:pPr>
              <w:rPr>
                <w:b/>
                <w:sz w:val="24"/>
              </w:rPr>
            </w:pPr>
          </w:p>
        </w:tc>
      </w:tr>
      <w:tr w:rsidR="00E22E02" w:rsidRPr="00523022" w:rsidTr="00D625B8">
        <w:tblPrEx>
          <w:tblCellMar>
            <w:top w:w="0" w:type="dxa"/>
            <w:bottom w:w="0" w:type="dxa"/>
          </w:tblCellMar>
        </w:tblPrEx>
        <w:trPr>
          <w:cantSplit/>
          <w:jc w:val="center"/>
        </w:trPr>
        <w:tc>
          <w:tcPr>
            <w:tcW w:w="10923" w:type="dxa"/>
            <w:gridSpan w:val="4"/>
          </w:tcPr>
          <w:p w:rsidR="00E22E02" w:rsidRPr="00523022" w:rsidRDefault="00E22E02" w:rsidP="00D625B8">
            <w:pPr>
              <w:rPr>
                <w:b/>
                <w:sz w:val="24"/>
              </w:rPr>
            </w:pPr>
            <w:r>
              <w:rPr>
                <w:b/>
                <w:sz w:val="24"/>
              </w:rPr>
              <w:t>Federal Transit Administration – FTA</w:t>
            </w:r>
          </w:p>
        </w:tc>
      </w:tr>
      <w:tr w:rsidR="00E22E02" w:rsidTr="00D625B8">
        <w:tblPrEx>
          <w:tblCellMar>
            <w:top w:w="0" w:type="dxa"/>
            <w:left w:w="108" w:type="dxa"/>
            <w:bottom w:w="0" w:type="dxa"/>
            <w:right w:w="108" w:type="dxa"/>
          </w:tblCellMar>
        </w:tblPrEx>
        <w:trPr>
          <w:cantSplit/>
          <w:jc w:val="center"/>
        </w:trPr>
        <w:tc>
          <w:tcPr>
            <w:tcW w:w="2700" w:type="dxa"/>
          </w:tcPr>
          <w:p w:rsidR="00E22E02" w:rsidRPr="00523022" w:rsidRDefault="00E22E02" w:rsidP="00D625B8">
            <w:proofErr w:type="spellStart"/>
            <w:r>
              <w:t>Derrin</w:t>
            </w:r>
            <w:proofErr w:type="spellEnd"/>
            <w:r>
              <w:t xml:space="preserve"> J. </w:t>
            </w:r>
            <w:proofErr w:type="spellStart"/>
            <w:r>
              <w:t>Jourdan</w:t>
            </w:r>
            <w:proofErr w:type="spellEnd"/>
            <w:r>
              <w:t xml:space="preserve"> (via </w:t>
            </w:r>
            <w:r w:rsidR="00D35E99">
              <w:t xml:space="preserve"> tele</w:t>
            </w:r>
            <w:r>
              <w:t>phone)</w:t>
            </w:r>
          </w:p>
        </w:tc>
        <w:tc>
          <w:tcPr>
            <w:tcW w:w="3601" w:type="dxa"/>
          </w:tcPr>
          <w:p w:rsidR="00E22E02" w:rsidRPr="00523022" w:rsidRDefault="00E22E02" w:rsidP="00D625B8">
            <w:r>
              <w:t>Civil Rights Officer, FTA Region IX</w:t>
            </w:r>
          </w:p>
        </w:tc>
        <w:tc>
          <w:tcPr>
            <w:tcW w:w="1530" w:type="dxa"/>
          </w:tcPr>
          <w:p w:rsidR="00E22E02" w:rsidRPr="00523022" w:rsidRDefault="00E22E02" w:rsidP="00D625B8">
            <w:r>
              <w:t>(415) 744-2729</w:t>
            </w:r>
          </w:p>
        </w:tc>
        <w:tc>
          <w:tcPr>
            <w:tcW w:w="3092" w:type="dxa"/>
          </w:tcPr>
          <w:p w:rsidR="00E22E02" w:rsidRPr="00523022" w:rsidRDefault="00E22E02" w:rsidP="00D625B8">
            <w:r w:rsidRPr="000229BA">
              <w:t>derrin.jourdan@dot.gov</w:t>
            </w:r>
          </w:p>
        </w:tc>
      </w:tr>
      <w:tr w:rsidR="00E22E02" w:rsidRPr="00523022" w:rsidTr="00D625B8">
        <w:tblPrEx>
          <w:tblCellMar>
            <w:top w:w="0" w:type="dxa"/>
            <w:bottom w:w="0" w:type="dxa"/>
          </w:tblCellMar>
        </w:tblPrEx>
        <w:trPr>
          <w:cantSplit/>
          <w:jc w:val="center"/>
        </w:trPr>
        <w:tc>
          <w:tcPr>
            <w:tcW w:w="10923" w:type="dxa"/>
            <w:gridSpan w:val="4"/>
          </w:tcPr>
          <w:p w:rsidR="00E22E02" w:rsidRDefault="00E22E02" w:rsidP="00D625B8">
            <w:pPr>
              <w:rPr>
                <w:b/>
                <w:sz w:val="24"/>
              </w:rPr>
            </w:pPr>
          </w:p>
        </w:tc>
      </w:tr>
      <w:tr w:rsidR="00E22E02" w:rsidRPr="00523022" w:rsidTr="00D625B8">
        <w:tblPrEx>
          <w:tblCellMar>
            <w:top w:w="0" w:type="dxa"/>
            <w:bottom w:w="0" w:type="dxa"/>
          </w:tblCellMar>
        </w:tblPrEx>
        <w:trPr>
          <w:cantSplit/>
          <w:jc w:val="center"/>
        </w:trPr>
        <w:tc>
          <w:tcPr>
            <w:tcW w:w="10923" w:type="dxa"/>
            <w:gridSpan w:val="4"/>
          </w:tcPr>
          <w:p w:rsidR="00E22E02" w:rsidRPr="00523022" w:rsidRDefault="00E22E02" w:rsidP="00D625B8">
            <w:pPr>
              <w:rPr>
                <w:b/>
                <w:sz w:val="24"/>
              </w:rPr>
            </w:pPr>
            <w:r>
              <w:rPr>
                <w:b/>
                <w:sz w:val="24"/>
              </w:rPr>
              <w:t>REVIEW TEAM – The DMP Group, LLC</w:t>
            </w:r>
          </w:p>
        </w:tc>
      </w:tr>
      <w:tr w:rsidR="00E22E02" w:rsidTr="00D625B8">
        <w:tblPrEx>
          <w:tblCellMar>
            <w:top w:w="0" w:type="dxa"/>
            <w:bottom w:w="0" w:type="dxa"/>
          </w:tblCellMar>
        </w:tblPrEx>
        <w:trPr>
          <w:cantSplit/>
          <w:jc w:val="center"/>
        </w:trPr>
        <w:tc>
          <w:tcPr>
            <w:tcW w:w="2700" w:type="dxa"/>
          </w:tcPr>
          <w:p w:rsidR="00E22E02" w:rsidRPr="008F0120" w:rsidRDefault="00E22E02" w:rsidP="00D625B8">
            <w:r>
              <w:t>John Potts</w:t>
            </w:r>
          </w:p>
        </w:tc>
        <w:tc>
          <w:tcPr>
            <w:tcW w:w="3601" w:type="dxa"/>
          </w:tcPr>
          <w:p w:rsidR="00E22E02" w:rsidRPr="008F0120" w:rsidRDefault="00E22E02" w:rsidP="00D35E99">
            <w:r w:rsidRPr="008F0120">
              <w:t>Lead Reviewer</w:t>
            </w:r>
          </w:p>
        </w:tc>
        <w:tc>
          <w:tcPr>
            <w:tcW w:w="1530" w:type="dxa"/>
          </w:tcPr>
          <w:p w:rsidR="00E22E02" w:rsidRPr="008F0120" w:rsidRDefault="00E22E02" w:rsidP="00D625B8">
            <w:r>
              <w:t>(504) 813-7425</w:t>
            </w:r>
          </w:p>
        </w:tc>
        <w:tc>
          <w:tcPr>
            <w:tcW w:w="3092" w:type="dxa"/>
          </w:tcPr>
          <w:p w:rsidR="00E22E02" w:rsidRPr="008F0120" w:rsidRDefault="00E22E02" w:rsidP="00D625B8">
            <w:r w:rsidRPr="00D526D1">
              <w:t>johnpotts@thedmpgroup.com</w:t>
            </w:r>
            <w:r w:rsidRPr="008F0120">
              <w:t xml:space="preserve"> </w:t>
            </w:r>
          </w:p>
        </w:tc>
      </w:tr>
      <w:tr w:rsidR="00E22E02" w:rsidTr="00D625B8">
        <w:tblPrEx>
          <w:tblCellMar>
            <w:top w:w="0" w:type="dxa"/>
            <w:bottom w:w="0" w:type="dxa"/>
          </w:tblCellMar>
        </w:tblPrEx>
        <w:trPr>
          <w:cantSplit/>
          <w:jc w:val="center"/>
        </w:trPr>
        <w:tc>
          <w:tcPr>
            <w:tcW w:w="2700" w:type="dxa"/>
          </w:tcPr>
          <w:p w:rsidR="00E22E02" w:rsidRPr="008F0120" w:rsidRDefault="00E22E02" w:rsidP="00D625B8">
            <w:r w:rsidRPr="008F0120">
              <w:t xml:space="preserve">Bridgett </w:t>
            </w:r>
            <w:proofErr w:type="spellStart"/>
            <w:r w:rsidRPr="008F0120">
              <w:t>Gagné</w:t>
            </w:r>
            <w:proofErr w:type="spellEnd"/>
          </w:p>
        </w:tc>
        <w:tc>
          <w:tcPr>
            <w:tcW w:w="3601" w:type="dxa"/>
          </w:tcPr>
          <w:p w:rsidR="00E22E02" w:rsidRPr="008F0120" w:rsidRDefault="00E22E02" w:rsidP="00D35E99">
            <w:r w:rsidRPr="008F0120">
              <w:t>Reviewer</w:t>
            </w:r>
          </w:p>
        </w:tc>
        <w:tc>
          <w:tcPr>
            <w:tcW w:w="1530" w:type="dxa"/>
          </w:tcPr>
          <w:p w:rsidR="00E22E02" w:rsidRPr="008F0120" w:rsidRDefault="00E22E02" w:rsidP="00D35E99">
            <w:r>
              <w:t>(</w:t>
            </w:r>
            <w:r w:rsidR="00D35E99">
              <w:t>202</w:t>
            </w:r>
            <w:r>
              <w:t xml:space="preserve">) </w:t>
            </w:r>
            <w:r w:rsidR="00D35E99">
              <w:t>726</w:t>
            </w:r>
            <w:r>
              <w:t>-</w:t>
            </w:r>
            <w:r w:rsidRPr="008F0120">
              <w:t>2630</w:t>
            </w:r>
          </w:p>
        </w:tc>
        <w:tc>
          <w:tcPr>
            <w:tcW w:w="3092" w:type="dxa"/>
          </w:tcPr>
          <w:p w:rsidR="00E22E02" w:rsidRPr="008F0120" w:rsidRDefault="00E22E02" w:rsidP="00D625B8">
            <w:r w:rsidRPr="00D526D1">
              <w:t>bridgett.gagne@thedmpgroup.com</w:t>
            </w:r>
            <w:r w:rsidRPr="008F0120">
              <w:t xml:space="preserve"> </w:t>
            </w:r>
          </w:p>
        </w:tc>
      </w:tr>
      <w:tr w:rsidR="00E22E02" w:rsidTr="00D625B8">
        <w:tblPrEx>
          <w:tblCellMar>
            <w:top w:w="0" w:type="dxa"/>
            <w:bottom w:w="0" w:type="dxa"/>
          </w:tblCellMar>
        </w:tblPrEx>
        <w:trPr>
          <w:cantSplit/>
          <w:jc w:val="center"/>
        </w:trPr>
        <w:tc>
          <w:tcPr>
            <w:tcW w:w="2700" w:type="dxa"/>
          </w:tcPr>
          <w:p w:rsidR="00E22E02" w:rsidRPr="008F0120" w:rsidRDefault="00E22E02" w:rsidP="00D625B8">
            <w:r w:rsidRPr="008F0120">
              <w:t>Khalique Davis</w:t>
            </w:r>
          </w:p>
        </w:tc>
        <w:tc>
          <w:tcPr>
            <w:tcW w:w="3601" w:type="dxa"/>
          </w:tcPr>
          <w:p w:rsidR="00E22E02" w:rsidRPr="008F0120" w:rsidRDefault="00E22E02" w:rsidP="00D35E99">
            <w:r w:rsidRPr="008F0120">
              <w:t>Reviewer</w:t>
            </w:r>
          </w:p>
        </w:tc>
        <w:tc>
          <w:tcPr>
            <w:tcW w:w="1530" w:type="dxa"/>
          </w:tcPr>
          <w:p w:rsidR="00E22E02" w:rsidRPr="008F0120" w:rsidRDefault="00E22E02" w:rsidP="00D625B8">
            <w:r>
              <w:t>(412) 952-</w:t>
            </w:r>
            <w:r w:rsidRPr="008F0120">
              <w:t>9007</w:t>
            </w:r>
          </w:p>
        </w:tc>
        <w:tc>
          <w:tcPr>
            <w:tcW w:w="3092" w:type="dxa"/>
          </w:tcPr>
          <w:p w:rsidR="00E22E02" w:rsidRPr="008F0120" w:rsidRDefault="00E22E02" w:rsidP="00D625B8">
            <w:r w:rsidRPr="00D526D1">
              <w:t>khalique.davis@thedmpgroup.com</w:t>
            </w:r>
          </w:p>
        </w:tc>
      </w:tr>
    </w:tbl>
    <w:p w:rsidR="00E22E02" w:rsidRDefault="00E22E02" w:rsidP="00E22E02"/>
    <w:p w:rsidR="00E22E02" w:rsidRDefault="00E22E02" w:rsidP="00E22E02"/>
    <w:p w:rsidR="00E22E02" w:rsidRDefault="00E22E02" w:rsidP="00E22E02"/>
    <w:p w:rsidR="00E22E02" w:rsidRDefault="00E22E02" w:rsidP="00E22E02"/>
    <w:p w:rsidR="00E22E02" w:rsidRDefault="00E22E02" w:rsidP="00E22E02"/>
    <w:p w:rsidR="00E22E02" w:rsidRPr="00E22E02" w:rsidRDefault="00E22E02" w:rsidP="00E22E02"/>
    <w:p w:rsidR="00F80A8D" w:rsidRDefault="00F80A8D"/>
    <w:bookmarkEnd w:id="29"/>
    <w:p w:rsidR="00523022" w:rsidRDefault="00523022"/>
    <w:sectPr w:rsidR="00523022" w:rsidSect="00CB4B37">
      <w:headerReference w:type="default" r:id="rId15"/>
      <w:footerReference w:type="even" r:id="rId16"/>
      <w:footerReference w:type="default" r:id="rId17"/>
      <w:footerReference w:type="first" r:id="rId18"/>
      <w:pgSz w:w="12240" w:h="15840" w:code="1"/>
      <w:pgMar w:top="1440" w:right="1350" w:bottom="1440" w:left="180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1F" w:rsidRDefault="000C2E1F">
      <w:r>
        <w:separator/>
      </w:r>
    </w:p>
  </w:endnote>
  <w:endnote w:type="continuationSeparator" w:id="0">
    <w:p w:rsidR="000C2E1F" w:rsidRDefault="000C2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7A56">
      <w:rPr>
        <w:rStyle w:val="PageNumber"/>
        <w:noProof/>
      </w:rPr>
      <w:t>40</w:t>
    </w:r>
    <w:r>
      <w:rPr>
        <w:rStyle w:val="PageNumber"/>
      </w:rPr>
      <w:fldChar w:fldCharType="end"/>
    </w:r>
  </w:p>
  <w:p w:rsidR="0004231E" w:rsidRDefault="000423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Footer"/>
      <w:framePr w:wrap="around" w:vAnchor="text" w:hAnchor="margin" w:xAlign="center" w:y="1"/>
      <w:jc w:val="center"/>
      <w:rPr>
        <w:rStyle w:val="PageNumber"/>
      </w:rPr>
    </w:pPr>
  </w:p>
  <w:p w:rsidR="0004231E" w:rsidRDefault="0004231E">
    <w:pPr>
      <w:pStyle w:val="Footer"/>
      <w:framePr w:wrap="around" w:vAnchor="text" w:hAnchor="margin" w:xAlign="center" w:y="1"/>
      <w:ind w:right="360"/>
      <w:jc w:val="center"/>
      <w:rPr>
        <w:rStyle w:val="PageNumber"/>
      </w:rPr>
    </w:pPr>
  </w:p>
  <w:p w:rsidR="0004231E" w:rsidRDefault="0004231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7A56">
      <w:rPr>
        <w:rStyle w:val="PageNumber"/>
        <w:noProof/>
      </w:rPr>
      <w:t>40</w:t>
    </w:r>
    <w:r>
      <w:rPr>
        <w:rStyle w:val="PageNumber"/>
      </w:rPr>
      <w:fldChar w:fldCharType="end"/>
    </w:r>
  </w:p>
  <w:p w:rsidR="0004231E" w:rsidRDefault="0004231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rsidP="00F1730E">
    <w:pPr>
      <w:pStyle w:val="Footer"/>
      <w:framePr w:wrap="around" w:vAnchor="text" w:hAnchor="margin" w:xAlign="center" w:y="1"/>
      <w:ind w:right="36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A09A8">
      <w:rPr>
        <w:rStyle w:val="PageNumber"/>
        <w:noProof/>
      </w:rPr>
      <w:t>2</w:t>
    </w:r>
    <w:r>
      <w:rPr>
        <w:rStyle w:val="PageNumber"/>
      </w:rPr>
      <w:fldChar w:fldCharType="end"/>
    </w:r>
  </w:p>
  <w:p w:rsidR="0004231E" w:rsidRDefault="0004231E">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Footer"/>
      <w:jc w:val="center"/>
    </w:pPr>
    <w:r>
      <w:rPr>
        <w:rStyle w:val="PageNumber"/>
      </w:rPr>
      <w:fldChar w:fldCharType="begin"/>
    </w:r>
    <w:r>
      <w:rPr>
        <w:rStyle w:val="PageNumber"/>
      </w:rPr>
      <w:instrText xml:space="preserve"> PAGE </w:instrText>
    </w:r>
    <w:r>
      <w:rPr>
        <w:rStyle w:val="PageNumber"/>
      </w:rPr>
      <w:fldChar w:fldCharType="separate"/>
    </w:r>
    <w:r w:rsidR="009A09A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1F" w:rsidRDefault="000C2E1F">
      <w:r>
        <w:separator/>
      </w:r>
    </w:p>
  </w:footnote>
  <w:footnote w:type="continuationSeparator" w:id="0">
    <w:p w:rsidR="000C2E1F" w:rsidRDefault="000C2E1F">
      <w:r>
        <w:continuationSeparator/>
      </w:r>
    </w:p>
  </w:footnote>
  <w:footnote w:id="1">
    <w:p w:rsidR="00A86CB8" w:rsidRDefault="00A86CB8" w:rsidP="00A86CB8">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Header"/>
    </w:pPr>
  </w:p>
  <w:p w:rsidR="0004231E" w:rsidRDefault="000423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1E" w:rsidRDefault="000423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A08F2"/>
    <w:multiLevelType w:val="hybridMultilevel"/>
    <w:tmpl w:val="9E92B60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3003511"/>
    <w:multiLevelType w:val="hybridMultilevel"/>
    <w:tmpl w:val="2BA01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52721"/>
    <w:multiLevelType w:val="hybridMultilevel"/>
    <w:tmpl w:val="A27E2C8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6">
    <w:nsid w:val="181755DE"/>
    <w:multiLevelType w:val="hybridMultilevel"/>
    <w:tmpl w:val="EC1E004A"/>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9D66B5B"/>
    <w:multiLevelType w:val="hybridMultilevel"/>
    <w:tmpl w:val="C32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B1EC8"/>
    <w:multiLevelType w:val="hybridMultilevel"/>
    <w:tmpl w:val="288C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D1759"/>
    <w:multiLevelType w:val="multilevel"/>
    <w:tmpl w:val="AD06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8734F"/>
    <w:multiLevelType w:val="hybridMultilevel"/>
    <w:tmpl w:val="BBD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80E6C36"/>
    <w:multiLevelType w:val="hybridMultilevel"/>
    <w:tmpl w:val="79A41966"/>
    <w:lvl w:ilvl="0" w:tplc="04090017">
      <w:start w:val="1"/>
      <w:numFmt w:val="lowerLetter"/>
      <w:lvlText w:val="%1)"/>
      <w:lvlJc w:val="left"/>
      <w:pPr>
        <w:ind w:left="720" w:hanging="360"/>
      </w:pPr>
    </w:lvl>
    <w:lvl w:ilvl="1" w:tplc="D63AF16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927F2"/>
    <w:multiLevelType w:val="multilevel"/>
    <w:tmpl w:val="34227B5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DB4003C"/>
    <w:multiLevelType w:val="hybridMultilevel"/>
    <w:tmpl w:val="633C89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630F6"/>
    <w:multiLevelType w:val="singleLevel"/>
    <w:tmpl w:val="33E073C4"/>
    <w:lvl w:ilvl="0">
      <w:start w:val="1"/>
      <w:numFmt w:val="lowerLetter"/>
      <w:lvlText w:val="%1."/>
      <w:lvlJc w:val="left"/>
      <w:pPr>
        <w:tabs>
          <w:tab w:val="num" w:pos="360"/>
        </w:tabs>
        <w:ind w:left="360" w:hanging="360"/>
      </w:pPr>
    </w:lvl>
  </w:abstractNum>
  <w:abstractNum w:abstractNumId="16">
    <w:nsid w:val="32406E58"/>
    <w:multiLevelType w:val="multilevel"/>
    <w:tmpl w:val="D8863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F2A32"/>
    <w:multiLevelType w:val="hybridMultilevel"/>
    <w:tmpl w:val="C3E81C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E33B82"/>
    <w:multiLevelType w:val="hybridMultilevel"/>
    <w:tmpl w:val="685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15E19"/>
    <w:multiLevelType w:val="singleLevel"/>
    <w:tmpl w:val="33E073C4"/>
    <w:lvl w:ilvl="0">
      <w:start w:val="1"/>
      <w:numFmt w:val="lowerLetter"/>
      <w:lvlText w:val="%1."/>
      <w:lvlJc w:val="left"/>
      <w:pPr>
        <w:tabs>
          <w:tab w:val="num" w:pos="360"/>
        </w:tabs>
        <w:ind w:left="360" w:hanging="360"/>
      </w:pPr>
    </w:lvl>
  </w:abstractNum>
  <w:abstractNum w:abstractNumId="21">
    <w:nsid w:val="48D37E83"/>
    <w:multiLevelType w:val="hybridMultilevel"/>
    <w:tmpl w:val="85C0AD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000CA6"/>
    <w:multiLevelType w:val="hybridMultilevel"/>
    <w:tmpl w:val="CD06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86071B"/>
    <w:multiLevelType w:val="hybridMultilevel"/>
    <w:tmpl w:val="6BF2C2F4"/>
    <w:lvl w:ilvl="0" w:tplc="C34012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D72EE"/>
    <w:multiLevelType w:val="hybridMultilevel"/>
    <w:tmpl w:val="C1CC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6165D5"/>
    <w:multiLevelType w:val="hybridMultilevel"/>
    <w:tmpl w:val="C85E6DE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6565C87"/>
    <w:multiLevelType w:val="hybridMultilevel"/>
    <w:tmpl w:val="EB84BC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75A6535"/>
    <w:multiLevelType w:val="hybridMultilevel"/>
    <w:tmpl w:val="BB94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437D5"/>
    <w:multiLevelType w:val="hybridMultilevel"/>
    <w:tmpl w:val="5706EEC4"/>
    <w:lvl w:ilvl="0" w:tplc="0409000F">
      <w:start w:val="1"/>
      <w:numFmt w:val="decimal"/>
      <w:lvlText w:val="%1."/>
      <w:lvlJc w:val="left"/>
      <w:pPr>
        <w:tabs>
          <w:tab w:val="num" w:pos="720"/>
        </w:tabs>
        <w:ind w:left="720" w:hanging="360"/>
      </w:pPr>
    </w:lvl>
    <w:lvl w:ilvl="1" w:tplc="6D944124">
      <w:start w:val="1"/>
      <w:numFmt w:val="lowerLetter"/>
      <w:lvlText w:val="%2."/>
      <w:lvlJc w:val="left"/>
      <w:pPr>
        <w:tabs>
          <w:tab w:val="num" w:pos="1440"/>
        </w:tabs>
        <w:ind w:left="1440" w:hanging="360"/>
      </w:pPr>
    </w:lvl>
    <w:lvl w:ilvl="2" w:tplc="B9489FA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DB58CB"/>
    <w:multiLevelType w:val="hybridMultilevel"/>
    <w:tmpl w:val="4754D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70853"/>
    <w:multiLevelType w:val="hybridMultilevel"/>
    <w:tmpl w:val="6F92A41E"/>
    <w:lvl w:ilvl="0" w:tplc="BB9A7FE6">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69175308"/>
    <w:multiLevelType w:val="singleLevel"/>
    <w:tmpl w:val="0409000F"/>
    <w:lvl w:ilvl="0">
      <w:start w:val="1"/>
      <w:numFmt w:val="decimal"/>
      <w:lvlText w:val="%1."/>
      <w:lvlJc w:val="left"/>
      <w:pPr>
        <w:tabs>
          <w:tab w:val="num" w:pos="720"/>
        </w:tabs>
        <w:ind w:left="720" w:hanging="360"/>
      </w:pPr>
    </w:lvl>
  </w:abstractNum>
  <w:abstractNum w:abstractNumId="33">
    <w:nsid w:val="6A8128D5"/>
    <w:multiLevelType w:val="hybridMultilevel"/>
    <w:tmpl w:val="4F70D4D6"/>
    <w:lvl w:ilvl="0" w:tplc="33E073C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8D2A86"/>
    <w:multiLevelType w:val="hybridMultilevel"/>
    <w:tmpl w:val="1BD87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D1188"/>
    <w:multiLevelType w:val="hybridMultilevel"/>
    <w:tmpl w:val="69043E64"/>
    <w:lvl w:ilvl="0" w:tplc="04090017">
      <w:start w:val="1"/>
      <w:numFmt w:val="lowerLetter"/>
      <w:lvlText w:val="%1)"/>
      <w:lvlJc w:val="lef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36">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9222C0"/>
    <w:multiLevelType w:val="hybridMultilevel"/>
    <w:tmpl w:val="9DA66A14"/>
    <w:lvl w:ilvl="0" w:tplc="702262B0">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799C2CA9"/>
    <w:multiLevelType w:val="singleLevel"/>
    <w:tmpl w:val="676ABA38"/>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40">
    <w:nsid w:val="7B2174BB"/>
    <w:multiLevelType w:val="hybridMultilevel"/>
    <w:tmpl w:val="E11A31A2"/>
    <w:lvl w:ilvl="0" w:tplc="88325AAE">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CE07637"/>
    <w:multiLevelType w:val="hybridMultilevel"/>
    <w:tmpl w:val="E92CC39E"/>
    <w:lvl w:ilvl="0" w:tplc="3138BD0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32"/>
  </w:num>
  <w:num w:numId="5">
    <w:abstractNumId w:val="20"/>
  </w:num>
  <w:num w:numId="6">
    <w:abstractNumId w:val="15"/>
  </w:num>
  <w:num w:numId="7">
    <w:abstractNumId w:val="39"/>
  </w:num>
  <w:num w:numId="8">
    <w:abstractNumId w:val="5"/>
  </w:num>
  <w:num w:numId="9">
    <w:abstractNumId w:val="27"/>
  </w:num>
  <w:num w:numId="10">
    <w:abstractNumId w:val="29"/>
  </w:num>
  <w:num w:numId="11">
    <w:abstractNumId w:val="26"/>
  </w:num>
  <w:num w:numId="12">
    <w:abstractNumId w:val="23"/>
  </w:num>
  <w:num w:numId="13">
    <w:abstractNumId w:val="38"/>
  </w:num>
  <w:num w:numId="14">
    <w:abstractNumId w:val="36"/>
  </w:num>
  <w:num w:numId="15">
    <w:abstractNumId w:val="41"/>
  </w:num>
  <w:num w:numId="16">
    <w:abstractNumId w:val="8"/>
  </w:num>
  <w:num w:numId="17">
    <w:abstractNumId w:val="7"/>
  </w:num>
  <w:num w:numId="18">
    <w:abstractNumId w:val="19"/>
  </w:num>
  <w:num w:numId="19">
    <w:abstractNumId w:val="21"/>
  </w:num>
  <w:num w:numId="20">
    <w:abstractNumId w:val="25"/>
  </w:num>
  <w:num w:numId="21">
    <w:abstractNumId w:val="17"/>
  </w:num>
  <w:num w:numId="22">
    <w:abstractNumId w:val="37"/>
  </w:num>
  <w:num w:numId="23">
    <w:abstractNumId w:val="4"/>
  </w:num>
  <w:num w:numId="24">
    <w:abstractNumId w:val="6"/>
  </w:num>
  <w:num w:numId="25">
    <w:abstractNumId w:val="40"/>
  </w:num>
  <w:num w:numId="26">
    <w:abstractNumId w:val="31"/>
  </w:num>
  <w:num w:numId="27">
    <w:abstractNumId w:val="14"/>
  </w:num>
  <w:num w:numId="28">
    <w:abstractNumId w:val="24"/>
  </w:num>
  <w:num w:numId="29">
    <w:abstractNumId w:val="35"/>
  </w:num>
  <w:num w:numId="30">
    <w:abstractNumId w:val="30"/>
  </w:num>
  <w:num w:numId="31">
    <w:abstractNumId w:val="13"/>
  </w:num>
  <w:num w:numId="32">
    <w:abstractNumId w:val="3"/>
  </w:num>
  <w:num w:numId="33">
    <w:abstractNumId w:val="12"/>
  </w:num>
  <w:num w:numId="34">
    <w:abstractNumId w:val="2"/>
  </w:num>
  <w:num w:numId="35">
    <w:abstractNumId w:val="34"/>
  </w:num>
  <w:num w:numId="36">
    <w:abstractNumId w:val="9"/>
  </w:num>
  <w:num w:numId="37">
    <w:abstractNumId w:val="16"/>
  </w:num>
  <w:num w:numId="38">
    <w:abstractNumId w:val="28"/>
  </w:num>
  <w:num w:numId="39">
    <w:abstractNumId w:val="33"/>
  </w:num>
  <w:num w:numId="40">
    <w:abstractNumId w:val="22"/>
  </w:num>
  <w:num w:numId="41">
    <w:abstractNumId w:val="18"/>
  </w:num>
  <w:num w:numId="42">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4106"/>
    <w:rsid w:val="00002E69"/>
    <w:rsid w:val="00003CF5"/>
    <w:rsid w:val="000055D5"/>
    <w:rsid w:val="00007891"/>
    <w:rsid w:val="00015085"/>
    <w:rsid w:val="000229BA"/>
    <w:rsid w:val="0004231E"/>
    <w:rsid w:val="0004419D"/>
    <w:rsid w:val="00054421"/>
    <w:rsid w:val="00061754"/>
    <w:rsid w:val="00062693"/>
    <w:rsid w:val="00064AF5"/>
    <w:rsid w:val="000658ED"/>
    <w:rsid w:val="000670FA"/>
    <w:rsid w:val="00081DC2"/>
    <w:rsid w:val="00085F3E"/>
    <w:rsid w:val="000968AE"/>
    <w:rsid w:val="000A1004"/>
    <w:rsid w:val="000A56BF"/>
    <w:rsid w:val="000B0ED9"/>
    <w:rsid w:val="000B3C66"/>
    <w:rsid w:val="000B5317"/>
    <w:rsid w:val="000B62C1"/>
    <w:rsid w:val="000C13DC"/>
    <w:rsid w:val="000C2E1F"/>
    <w:rsid w:val="000C450A"/>
    <w:rsid w:val="000C5AF1"/>
    <w:rsid w:val="000D0924"/>
    <w:rsid w:val="000E0EDD"/>
    <w:rsid w:val="000E23F3"/>
    <w:rsid w:val="000F1C0E"/>
    <w:rsid w:val="001033FC"/>
    <w:rsid w:val="001035FE"/>
    <w:rsid w:val="001123AE"/>
    <w:rsid w:val="001209DA"/>
    <w:rsid w:val="001226FE"/>
    <w:rsid w:val="00124C35"/>
    <w:rsid w:val="00130731"/>
    <w:rsid w:val="00134B44"/>
    <w:rsid w:val="00135803"/>
    <w:rsid w:val="00136B66"/>
    <w:rsid w:val="00142881"/>
    <w:rsid w:val="001479AA"/>
    <w:rsid w:val="0016772D"/>
    <w:rsid w:val="001712C1"/>
    <w:rsid w:val="00174DCA"/>
    <w:rsid w:val="00186683"/>
    <w:rsid w:val="00191FC1"/>
    <w:rsid w:val="0019298E"/>
    <w:rsid w:val="00194105"/>
    <w:rsid w:val="001B7A76"/>
    <w:rsid w:val="001C03A3"/>
    <w:rsid w:val="001C03D3"/>
    <w:rsid w:val="001D0C8E"/>
    <w:rsid w:val="001F1DAD"/>
    <w:rsid w:val="002023CA"/>
    <w:rsid w:val="00210E88"/>
    <w:rsid w:val="00213759"/>
    <w:rsid w:val="00214E2D"/>
    <w:rsid w:val="002150EA"/>
    <w:rsid w:val="002207BE"/>
    <w:rsid w:val="002235F3"/>
    <w:rsid w:val="00225B6A"/>
    <w:rsid w:val="0022753A"/>
    <w:rsid w:val="00230026"/>
    <w:rsid w:val="002327EC"/>
    <w:rsid w:val="002351CC"/>
    <w:rsid w:val="0024308F"/>
    <w:rsid w:val="0024384B"/>
    <w:rsid w:val="0025092F"/>
    <w:rsid w:val="00253555"/>
    <w:rsid w:val="00255EE1"/>
    <w:rsid w:val="002566B9"/>
    <w:rsid w:val="002615D5"/>
    <w:rsid w:val="00261C1A"/>
    <w:rsid w:val="00265AD2"/>
    <w:rsid w:val="002672F6"/>
    <w:rsid w:val="00283218"/>
    <w:rsid w:val="002947FC"/>
    <w:rsid w:val="002A3DCC"/>
    <w:rsid w:val="002B4E42"/>
    <w:rsid w:val="002B6C30"/>
    <w:rsid w:val="002D2C84"/>
    <w:rsid w:val="002D7A56"/>
    <w:rsid w:val="002E4775"/>
    <w:rsid w:val="002E58E4"/>
    <w:rsid w:val="002F0F66"/>
    <w:rsid w:val="002F227D"/>
    <w:rsid w:val="00302B6A"/>
    <w:rsid w:val="00305B86"/>
    <w:rsid w:val="00317E9A"/>
    <w:rsid w:val="00337DFC"/>
    <w:rsid w:val="0034153E"/>
    <w:rsid w:val="003446C2"/>
    <w:rsid w:val="00347579"/>
    <w:rsid w:val="003537F0"/>
    <w:rsid w:val="003544D9"/>
    <w:rsid w:val="00354B4B"/>
    <w:rsid w:val="00367096"/>
    <w:rsid w:val="00372163"/>
    <w:rsid w:val="00373A00"/>
    <w:rsid w:val="0037611B"/>
    <w:rsid w:val="0037750C"/>
    <w:rsid w:val="003A0ED7"/>
    <w:rsid w:val="003A78A3"/>
    <w:rsid w:val="003B11B7"/>
    <w:rsid w:val="003B57C0"/>
    <w:rsid w:val="003B5DDA"/>
    <w:rsid w:val="003B6CE9"/>
    <w:rsid w:val="003B6E93"/>
    <w:rsid w:val="003B7372"/>
    <w:rsid w:val="003C0AEE"/>
    <w:rsid w:val="003C2C05"/>
    <w:rsid w:val="003D6D76"/>
    <w:rsid w:val="003E2498"/>
    <w:rsid w:val="003F1B2A"/>
    <w:rsid w:val="00401E04"/>
    <w:rsid w:val="00404B66"/>
    <w:rsid w:val="00407122"/>
    <w:rsid w:val="00411599"/>
    <w:rsid w:val="00412DD6"/>
    <w:rsid w:val="004155AD"/>
    <w:rsid w:val="00420952"/>
    <w:rsid w:val="00422C7F"/>
    <w:rsid w:val="00426E48"/>
    <w:rsid w:val="004277A3"/>
    <w:rsid w:val="00430E1C"/>
    <w:rsid w:val="00436B64"/>
    <w:rsid w:val="00440AC6"/>
    <w:rsid w:val="00443A26"/>
    <w:rsid w:val="00455321"/>
    <w:rsid w:val="0046273D"/>
    <w:rsid w:val="00465F54"/>
    <w:rsid w:val="00465FFF"/>
    <w:rsid w:val="00466504"/>
    <w:rsid w:val="004665B2"/>
    <w:rsid w:val="004779B6"/>
    <w:rsid w:val="00477E18"/>
    <w:rsid w:val="004A4156"/>
    <w:rsid w:val="004A7496"/>
    <w:rsid w:val="004B446C"/>
    <w:rsid w:val="004B4661"/>
    <w:rsid w:val="004B4E49"/>
    <w:rsid w:val="004B54C0"/>
    <w:rsid w:val="004C1CCF"/>
    <w:rsid w:val="004C3A89"/>
    <w:rsid w:val="004D1FBA"/>
    <w:rsid w:val="004D4E0D"/>
    <w:rsid w:val="004D7B63"/>
    <w:rsid w:val="004E6F7F"/>
    <w:rsid w:val="004F6378"/>
    <w:rsid w:val="0050177B"/>
    <w:rsid w:val="00512311"/>
    <w:rsid w:val="005223CA"/>
    <w:rsid w:val="00523022"/>
    <w:rsid w:val="0052544A"/>
    <w:rsid w:val="00532259"/>
    <w:rsid w:val="00533171"/>
    <w:rsid w:val="00535168"/>
    <w:rsid w:val="0053731C"/>
    <w:rsid w:val="00541B4B"/>
    <w:rsid w:val="00553625"/>
    <w:rsid w:val="005640A2"/>
    <w:rsid w:val="00567B4B"/>
    <w:rsid w:val="00577BF9"/>
    <w:rsid w:val="00577C32"/>
    <w:rsid w:val="005807C5"/>
    <w:rsid w:val="00584474"/>
    <w:rsid w:val="00584F51"/>
    <w:rsid w:val="00585CBE"/>
    <w:rsid w:val="00596328"/>
    <w:rsid w:val="005A0372"/>
    <w:rsid w:val="005A29C8"/>
    <w:rsid w:val="005B389A"/>
    <w:rsid w:val="005C0553"/>
    <w:rsid w:val="005D2D43"/>
    <w:rsid w:val="005E03C5"/>
    <w:rsid w:val="005E2261"/>
    <w:rsid w:val="005E5045"/>
    <w:rsid w:val="005E7A10"/>
    <w:rsid w:val="005F1E85"/>
    <w:rsid w:val="005F291D"/>
    <w:rsid w:val="005F690B"/>
    <w:rsid w:val="00602064"/>
    <w:rsid w:val="00605A3F"/>
    <w:rsid w:val="006060FA"/>
    <w:rsid w:val="006062E3"/>
    <w:rsid w:val="006071F2"/>
    <w:rsid w:val="00610E83"/>
    <w:rsid w:val="00617FED"/>
    <w:rsid w:val="00622C18"/>
    <w:rsid w:val="006251DB"/>
    <w:rsid w:val="00633AC3"/>
    <w:rsid w:val="00634B82"/>
    <w:rsid w:val="006358DB"/>
    <w:rsid w:val="00637D83"/>
    <w:rsid w:val="0064099D"/>
    <w:rsid w:val="006439E4"/>
    <w:rsid w:val="00644375"/>
    <w:rsid w:val="00651DDB"/>
    <w:rsid w:val="00661E48"/>
    <w:rsid w:val="006623F6"/>
    <w:rsid w:val="00664E30"/>
    <w:rsid w:val="0066635E"/>
    <w:rsid w:val="00670EB2"/>
    <w:rsid w:val="0067153D"/>
    <w:rsid w:val="00673B34"/>
    <w:rsid w:val="006767A4"/>
    <w:rsid w:val="006773B4"/>
    <w:rsid w:val="00680605"/>
    <w:rsid w:val="0068742C"/>
    <w:rsid w:val="006926F0"/>
    <w:rsid w:val="00694D13"/>
    <w:rsid w:val="006A0E22"/>
    <w:rsid w:val="006A2BC5"/>
    <w:rsid w:val="006A7348"/>
    <w:rsid w:val="006B3D97"/>
    <w:rsid w:val="006B6109"/>
    <w:rsid w:val="006C37A0"/>
    <w:rsid w:val="006C663A"/>
    <w:rsid w:val="006D47E3"/>
    <w:rsid w:val="006D4F26"/>
    <w:rsid w:val="006D5BDB"/>
    <w:rsid w:val="006E2763"/>
    <w:rsid w:val="006E621A"/>
    <w:rsid w:val="006E7325"/>
    <w:rsid w:val="006F00F4"/>
    <w:rsid w:val="006F0682"/>
    <w:rsid w:val="006F3013"/>
    <w:rsid w:val="006F4A20"/>
    <w:rsid w:val="00703761"/>
    <w:rsid w:val="00706E4C"/>
    <w:rsid w:val="00710946"/>
    <w:rsid w:val="00720906"/>
    <w:rsid w:val="00720B1A"/>
    <w:rsid w:val="00724AFC"/>
    <w:rsid w:val="00725F9F"/>
    <w:rsid w:val="007331D7"/>
    <w:rsid w:val="00733A47"/>
    <w:rsid w:val="0073657B"/>
    <w:rsid w:val="00742593"/>
    <w:rsid w:val="00742E3B"/>
    <w:rsid w:val="00746F1E"/>
    <w:rsid w:val="00750162"/>
    <w:rsid w:val="00750E12"/>
    <w:rsid w:val="00751820"/>
    <w:rsid w:val="00752593"/>
    <w:rsid w:val="00752BC9"/>
    <w:rsid w:val="007554DE"/>
    <w:rsid w:val="00757272"/>
    <w:rsid w:val="00774911"/>
    <w:rsid w:val="007851AF"/>
    <w:rsid w:val="00787B1F"/>
    <w:rsid w:val="007A4FD0"/>
    <w:rsid w:val="007A6572"/>
    <w:rsid w:val="007A6C29"/>
    <w:rsid w:val="007B3C30"/>
    <w:rsid w:val="007C38C5"/>
    <w:rsid w:val="007C3CA4"/>
    <w:rsid w:val="007D6036"/>
    <w:rsid w:val="007D6219"/>
    <w:rsid w:val="007E3CBB"/>
    <w:rsid w:val="007F238D"/>
    <w:rsid w:val="007F2F49"/>
    <w:rsid w:val="00802484"/>
    <w:rsid w:val="00807357"/>
    <w:rsid w:val="0080784D"/>
    <w:rsid w:val="00807EBC"/>
    <w:rsid w:val="00820328"/>
    <w:rsid w:val="008323A2"/>
    <w:rsid w:val="008330FB"/>
    <w:rsid w:val="008519C9"/>
    <w:rsid w:val="00852FA1"/>
    <w:rsid w:val="00863657"/>
    <w:rsid w:val="00864D74"/>
    <w:rsid w:val="00866337"/>
    <w:rsid w:val="008715F4"/>
    <w:rsid w:val="00872213"/>
    <w:rsid w:val="00877209"/>
    <w:rsid w:val="00893991"/>
    <w:rsid w:val="008B106E"/>
    <w:rsid w:val="008B49BE"/>
    <w:rsid w:val="008C1061"/>
    <w:rsid w:val="008C3DD1"/>
    <w:rsid w:val="008C59EE"/>
    <w:rsid w:val="008C6590"/>
    <w:rsid w:val="008D1286"/>
    <w:rsid w:val="008D64EC"/>
    <w:rsid w:val="008E06FC"/>
    <w:rsid w:val="008E289D"/>
    <w:rsid w:val="008E514F"/>
    <w:rsid w:val="008E6F00"/>
    <w:rsid w:val="008F0120"/>
    <w:rsid w:val="00900CD8"/>
    <w:rsid w:val="00901710"/>
    <w:rsid w:val="009109C6"/>
    <w:rsid w:val="00913B7A"/>
    <w:rsid w:val="00916238"/>
    <w:rsid w:val="00916DBF"/>
    <w:rsid w:val="00925F26"/>
    <w:rsid w:val="00931BC1"/>
    <w:rsid w:val="009333BD"/>
    <w:rsid w:val="00934380"/>
    <w:rsid w:val="009371C0"/>
    <w:rsid w:val="0094009B"/>
    <w:rsid w:val="009449A9"/>
    <w:rsid w:val="00945EEA"/>
    <w:rsid w:val="00951E5B"/>
    <w:rsid w:val="00953139"/>
    <w:rsid w:val="00954FA5"/>
    <w:rsid w:val="00955040"/>
    <w:rsid w:val="00956314"/>
    <w:rsid w:val="00956A26"/>
    <w:rsid w:val="00961EA5"/>
    <w:rsid w:val="009622F3"/>
    <w:rsid w:val="0097083D"/>
    <w:rsid w:val="0098135E"/>
    <w:rsid w:val="0099457A"/>
    <w:rsid w:val="0099521B"/>
    <w:rsid w:val="009A09A8"/>
    <w:rsid w:val="009A0D26"/>
    <w:rsid w:val="009A3C70"/>
    <w:rsid w:val="009A51F4"/>
    <w:rsid w:val="009A52A0"/>
    <w:rsid w:val="009B2C92"/>
    <w:rsid w:val="009B4053"/>
    <w:rsid w:val="009B517F"/>
    <w:rsid w:val="009C6AE7"/>
    <w:rsid w:val="009D17EE"/>
    <w:rsid w:val="009D7F43"/>
    <w:rsid w:val="009E4696"/>
    <w:rsid w:val="009E48C9"/>
    <w:rsid w:val="009E7B51"/>
    <w:rsid w:val="009F04DF"/>
    <w:rsid w:val="009F243B"/>
    <w:rsid w:val="009F35B4"/>
    <w:rsid w:val="009F419B"/>
    <w:rsid w:val="00A103D8"/>
    <w:rsid w:val="00A113CF"/>
    <w:rsid w:val="00A203F5"/>
    <w:rsid w:val="00A24CED"/>
    <w:rsid w:val="00A261C5"/>
    <w:rsid w:val="00A2623C"/>
    <w:rsid w:val="00A45684"/>
    <w:rsid w:val="00A46C80"/>
    <w:rsid w:val="00A53F31"/>
    <w:rsid w:val="00A550A9"/>
    <w:rsid w:val="00A60F6D"/>
    <w:rsid w:val="00A61832"/>
    <w:rsid w:val="00A65544"/>
    <w:rsid w:val="00A73EF1"/>
    <w:rsid w:val="00A750D1"/>
    <w:rsid w:val="00A86CB8"/>
    <w:rsid w:val="00A94C3C"/>
    <w:rsid w:val="00AA18FA"/>
    <w:rsid w:val="00AA59B8"/>
    <w:rsid w:val="00AB2C38"/>
    <w:rsid w:val="00AC527A"/>
    <w:rsid w:val="00AD0841"/>
    <w:rsid w:val="00AD546D"/>
    <w:rsid w:val="00AE178C"/>
    <w:rsid w:val="00AF33EE"/>
    <w:rsid w:val="00AF7BCD"/>
    <w:rsid w:val="00B00DDC"/>
    <w:rsid w:val="00B03A95"/>
    <w:rsid w:val="00B06DF0"/>
    <w:rsid w:val="00B10968"/>
    <w:rsid w:val="00B10EE8"/>
    <w:rsid w:val="00B1782E"/>
    <w:rsid w:val="00B24111"/>
    <w:rsid w:val="00B31BD6"/>
    <w:rsid w:val="00B43EAD"/>
    <w:rsid w:val="00B440AF"/>
    <w:rsid w:val="00B5182E"/>
    <w:rsid w:val="00B52B14"/>
    <w:rsid w:val="00B530EB"/>
    <w:rsid w:val="00B551F4"/>
    <w:rsid w:val="00B5587A"/>
    <w:rsid w:val="00B60A72"/>
    <w:rsid w:val="00B61446"/>
    <w:rsid w:val="00B61713"/>
    <w:rsid w:val="00B61D57"/>
    <w:rsid w:val="00B6298D"/>
    <w:rsid w:val="00B62CA9"/>
    <w:rsid w:val="00B74DF3"/>
    <w:rsid w:val="00B75288"/>
    <w:rsid w:val="00B7561E"/>
    <w:rsid w:val="00B87331"/>
    <w:rsid w:val="00B95DAC"/>
    <w:rsid w:val="00B965EA"/>
    <w:rsid w:val="00BA2449"/>
    <w:rsid w:val="00BB063A"/>
    <w:rsid w:val="00BB1BF5"/>
    <w:rsid w:val="00BC2C48"/>
    <w:rsid w:val="00BC4AFA"/>
    <w:rsid w:val="00BD239B"/>
    <w:rsid w:val="00BD3EFF"/>
    <w:rsid w:val="00BD3F8E"/>
    <w:rsid w:val="00BD5D47"/>
    <w:rsid w:val="00BE43D8"/>
    <w:rsid w:val="00BE48B9"/>
    <w:rsid w:val="00BE4A3F"/>
    <w:rsid w:val="00BF0FDB"/>
    <w:rsid w:val="00BF49EA"/>
    <w:rsid w:val="00C00537"/>
    <w:rsid w:val="00C07D18"/>
    <w:rsid w:val="00C10267"/>
    <w:rsid w:val="00C13927"/>
    <w:rsid w:val="00C13B73"/>
    <w:rsid w:val="00C15496"/>
    <w:rsid w:val="00C205C8"/>
    <w:rsid w:val="00C22326"/>
    <w:rsid w:val="00C23771"/>
    <w:rsid w:val="00C32ED3"/>
    <w:rsid w:val="00C378C2"/>
    <w:rsid w:val="00C41B08"/>
    <w:rsid w:val="00C5043B"/>
    <w:rsid w:val="00C5389E"/>
    <w:rsid w:val="00C54E20"/>
    <w:rsid w:val="00C57208"/>
    <w:rsid w:val="00C60656"/>
    <w:rsid w:val="00C657B3"/>
    <w:rsid w:val="00C7537A"/>
    <w:rsid w:val="00C77D87"/>
    <w:rsid w:val="00C77E7E"/>
    <w:rsid w:val="00C86322"/>
    <w:rsid w:val="00C92771"/>
    <w:rsid w:val="00C92D2E"/>
    <w:rsid w:val="00CA08A7"/>
    <w:rsid w:val="00CA19D8"/>
    <w:rsid w:val="00CA4F4B"/>
    <w:rsid w:val="00CB33F0"/>
    <w:rsid w:val="00CB4B37"/>
    <w:rsid w:val="00CB542D"/>
    <w:rsid w:val="00CC05B6"/>
    <w:rsid w:val="00CC3819"/>
    <w:rsid w:val="00CD36AD"/>
    <w:rsid w:val="00CD4D61"/>
    <w:rsid w:val="00CD7869"/>
    <w:rsid w:val="00CE30DF"/>
    <w:rsid w:val="00CE3FEB"/>
    <w:rsid w:val="00CF1DF2"/>
    <w:rsid w:val="00CF236D"/>
    <w:rsid w:val="00CF44AD"/>
    <w:rsid w:val="00CF4D72"/>
    <w:rsid w:val="00D03052"/>
    <w:rsid w:val="00D03F3B"/>
    <w:rsid w:val="00D05C78"/>
    <w:rsid w:val="00D22B16"/>
    <w:rsid w:val="00D3053F"/>
    <w:rsid w:val="00D35E99"/>
    <w:rsid w:val="00D4154E"/>
    <w:rsid w:val="00D46449"/>
    <w:rsid w:val="00D526D1"/>
    <w:rsid w:val="00D52F5B"/>
    <w:rsid w:val="00D6129E"/>
    <w:rsid w:val="00D615F3"/>
    <w:rsid w:val="00D625B8"/>
    <w:rsid w:val="00D73550"/>
    <w:rsid w:val="00D7612B"/>
    <w:rsid w:val="00D7762B"/>
    <w:rsid w:val="00D86230"/>
    <w:rsid w:val="00D94012"/>
    <w:rsid w:val="00D96504"/>
    <w:rsid w:val="00DA2D01"/>
    <w:rsid w:val="00DA6510"/>
    <w:rsid w:val="00DB0412"/>
    <w:rsid w:val="00DB098B"/>
    <w:rsid w:val="00DB472F"/>
    <w:rsid w:val="00DB599D"/>
    <w:rsid w:val="00DB77DA"/>
    <w:rsid w:val="00DC5337"/>
    <w:rsid w:val="00DC5AEC"/>
    <w:rsid w:val="00DD1189"/>
    <w:rsid w:val="00DD252E"/>
    <w:rsid w:val="00DD4180"/>
    <w:rsid w:val="00DD6DB6"/>
    <w:rsid w:val="00DE0674"/>
    <w:rsid w:val="00DE71F1"/>
    <w:rsid w:val="00DF01D3"/>
    <w:rsid w:val="00E00DB7"/>
    <w:rsid w:val="00E03A36"/>
    <w:rsid w:val="00E047DD"/>
    <w:rsid w:val="00E10723"/>
    <w:rsid w:val="00E14E18"/>
    <w:rsid w:val="00E22E02"/>
    <w:rsid w:val="00E2301C"/>
    <w:rsid w:val="00E312B2"/>
    <w:rsid w:val="00E34860"/>
    <w:rsid w:val="00E36D52"/>
    <w:rsid w:val="00E434D0"/>
    <w:rsid w:val="00E467E8"/>
    <w:rsid w:val="00E4793C"/>
    <w:rsid w:val="00E5385F"/>
    <w:rsid w:val="00E61632"/>
    <w:rsid w:val="00E638CF"/>
    <w:rsid w:val="00E7226D"/>
    <w:rsid w:val="00E7300A"/>
    <w:rsid w:val="00E75576"/>
    <w:rsid w:val="00E81B56"/>
    <w:rsid w:val="00E84124"/>
    <w:rsid w:val="00E90433"/>
    <w:rsid w:val="00E95667"/>
    <w:rsid w:val="00E97751"/>
    <w:rsid w:val="00EA0F06"/>
    <w:rsid w:val="00EB135C"/>
    <w:rsid w:val="00EB2159"/>
    <w:rsid w:val="00EC1C1B"/>
    <w:rsid w:val="00EC453A"/>
    <w:rsid w:val="00ED5A85"/>
    <w:rsid w:val="00ED77C1"/>
    <w:rsid w:val="00EF2C37"/>
    <w:rsid w:val="00F04B62"/>
    <w:rsid w:val="00F05AEC"/>
    <w:rsid w:val="00F069AA"/>
    <w:rsid w:val="00F13AAD"/>
    <w:rsid w:val="00F14106"/>
    <w:rsid w:val="00F14EE6"/>
    <w:rsid w:val="00F1730E"/>
    <w:rsid w:val="00F17763"/>
    <w:rsid w:val="00F239D9"/>
    <w:rsid w:val="00F252E8"/>
    <w:rsid w:val="00F33500"/>
    <w:rsid w:val="00F45EC3"/>
    <w:rsid w:val="00F46E13"/>
    <w:rsid w:val="00F473DF"/>
    <w:rsid w:val="00F54869"/>
    <w:rsid w:val="00F57221"/>
    <w:rsid w:val="00F57E5F"/>
    <w:rsid w:val="00F61EAF"/>
    <w:rsid w:val="00F76C84"/>
    <w:rsid w:val="00F80A8D"/>
    <w:rsid w:val="00F84BD3"/>
    <w:rsid w:val="00F931DE"/>
    <w:rsid w:val="00F97516"/>
    <w:rsid w:val="00FC1A3B"/>
    <w:rsid w:val="00FC5775"/>
    <w:rsid w:val="00FC6992"/>
    <w:rsid w:val="00FD1CFD"/>
    <w:rsid w:val="00FD37A5"/>
    <w:rsid w:val="00FD5932"/>
    <w:rsid w:val="00FD68FC"/>
    <w:rsid w:val="00FE3BEF"/>
    <w:rsid w:val="00FE74C2"/>
    <w:rsid w:val="00FE7A14"/>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8"/>
      </w:numPr>
      <w:spacing w:before="240" w:after="240"/>
      <w:outlineLvl w:val="1"/>
    </w:pPr>
    <w:rPr>
      <w:b/>
      <w:sz w:val="24"/>
      <w:u w:val="single"/>
    </w:rPr>
  </w:style>
  <w:style w:type="paragraph" w:customStyle="1" w:styleId="BHLevel1">
    <w:name w:val="BHLevel1"/>
    <w:basedOn w:val="Normal"/>
    <w:next w:val="Normal"/>
    <w:rsid w:val="00CB4B37"/>
    <w:pPr>
      <w:numPr>
        <w:numId w:val="7"/>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semiHidden/>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uiPriority w:val="59"/>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uiPriority w:val="99"/>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3446C2"/>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waii.gov/dot/administration/ocr/title6"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A837-B249-4090-BB5D-62ED18CC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10789</Words>
  <Characters>61499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72144</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Maxine</cp:lastModifiedBy>
  <cp:revision>3</cp:revision>
  <cp:lastPrinted>2010-09-13T16:04:00Z</cp:lastPrinted>
  <dcterms:created xsi:type="dcterms:W3CDTF">2010-11-27T04:10:00Z</dcterms:created>
  <dcterms:modified xsi:type="dcterms:W3CDTF">2010-11-27T04:11:00Z</dcterms:modified>
</cp:coreProperties>
</file>