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Default Extension="xlsx" ContentType="application/vnd.openxmlformats-officedocument.spreadsheetml.sheet"/>
  <Override PartName="/word/charts/chart3.xml" ContentType="application/vnd.openxmlformats-officedocument.drawingml.chart+xml"/>
  <Override PartName="/word/charts/chart1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33015762"/>
        <w:docPartObj>
          <w:docPartGallery w:val="Cover Pages"/>
          <w:docPartUnique/>
        </w:docPartObj>
      </w:sdtPr>
      <w:sdtContent>
        <w:p w:rsidR="00E40D97" w:rsidRPr="007C2D51" w:rsidRDefault="00E40D97"/>
        <w:tbl>
          <w:tblPr>
            <w:tblpPr w:leftFromText="187" w:rightFromText="187" w:horzAnchor="margin" w:tblpXSpec="right" w:tblpYSpec="top"/>
            <w:tblW w:w="3798" w:type="pct"/>
            <w:tblBorders>
              <w:top w:val="single" w:sz="36" w:space="0" w:color="475A8D" w:themeColor="accent6"/>
              <w:bottom w:val="single" w:sz="36" w:space="0" w:color="475A8D" w:themeColor="accent6"/>
              <w:insideH w:val="single" w:sz="36" w:space="0" w:color="475A8D" w:themeColor="accent6"/>
              <w:insideV w:val="single" w:sz="36" w:space="0" w:color="C32D2E" w:themeColor="accent3"/>
            </w:tblBorders>
            <w:tblCellMar>
              <w:top w:w="360" w:type="dxa"/>
              <w:left w:w="115" w:type="dxa"/>
              <w:bottom w:w="360" w:type="dxa"/>
              <w:right w:w="115" w:type="dxa"/>
            </w:tblCellMar>
            <w:tblLook w:val="04A0"/>
          </w:tblPr>
          <w:tblGrid>
            <w:gridCol w:w="7285"/>
          </w:tblGrid>
          <w:tr w:rsidR="00E40D97" w:rsidRPr="007C2D51">
            <w:sdt>
              <w:sdtPr>
                <w:rPr>
                  <w:rFonts w:asciiTheme="majorHAnsi" w:eastAsiaTheme="majorEastAsia" w:hAnsiTheme="majorHAnsi" w:cstheme="majorBidi"/>
                  <w:sz w:val="72"/>
                  <w:szCs w:val="72"/>
                </w:rPr>
                <w:alias w:val="Title"/>
                <w:id w:val="13553149"/>
                <w:dataBinding w:prefixMappings="xmlns:ns0='http://schemas.openxmlformats.org/package/2006/metadata/core-properties' xmlns:ns1='http://purl.org/dc/elements/1.1/'" w:xpath="/ns0:coreProperties[1]/ns1:title[1]" w:storeItemID="{6C3C8BC8-F283-45AE-878A-BAB7291924A1}"/>
                <w:text/>
              </w:sdtPr>
              <w:sdtContent>
                <w:tc>
                  <w:tcPr>
                    <w:tcW w:w="5000" w:type="pct"/>
                  </w:tcPr>
                  <w:p w:rsidR="00E40D97" w:rsidRPr="007C2D51" w:rsidRDefault="00E53CF6" w:rsidP="00E53CF6">
                    <w:pPr>
                      <w:pStyle w:val="NoSpacing"/>
                      <w:rPr>
                        <w:rFonts w:asciiTheme="majorHAnsi" w:eastAsiaTheme="majorEastAsia" w:hAnsiTheme="majorHAnsi" w:cstheme="majorBidi"/>
                        <w:sz w:val="72"/>
                        <w:szCs w:val="72"/>
                      </w:rPr>
                    </w:pPr>
                    <w:r w:rsidRPr="007C2D51">
                      <w:rPr>
                        <w:rFonts w:asciiTheme="majorHAnsi" w:eastAsiaTheme="majorEastAsia" w:hAnsiTheme="majorHAnsi" w:cstheme="majorBidi"/>
                        <w:sz w:val="72"/>
                        <w:szCs w:val="72"/>
                      </w:rPr>
                      <w:t>Connecting People to Employment</w:t>
                    </w:r>
                  </w:p>
                </w:tc>
              </w:sdtContent>
            </w:sdt>
          </w:tr>
          <w:tr w:rsidR="00E40D97" w:rsidRPr="007C2D51">
            <w:sdt>
              <w:sdtPr>
                <w:rPr>
                  <w:sz w:val="40"/>
                  <w:szCs w:val="40"/>
                </w:rPr>
                <w:alias w:val="Subtitle"/>
                <w:id w:val="13553153"/>
                <w:dataBinding w:prefixMappings="xmlns:ns0='http://schemas.openxmlformats.org/package/2006/metadata/core-properties' xmlns:ns1='http://purl.org/dc/elements/1.1/'" w:xpath="/ns0:coreProperties[1]/ns1:subject[1]" w:storeItemID="{6C3C8BC8-F283-45AE-878A-BAB7291924A1}"/>
                <w:text/>
              </w:sdtPr>
              <w:sdtContent>
                <w:tc>
                  <w:tcPr>
                    <w:tcW w:w="5000" w:type="pct"/>
                  </w:tcPr>
                  <w:p w:rsidR="00E40D97" w:rsidRPr="007C2D51" w:rsidRDefault="00E53CF6" w:rsidP="00521989">
                    <w:pPr>
                      <w:pStyle w:val="NoSpacing"/>
                      <w:rPr>
                        <w:sz w:val="40"/>
                        <w:szCs w:val="40"/>
                      </w:rPr>
                    </w:pPr>
                    <w:r w:rsidRPr="007C2D51">
                      <w:rPr>
                        <w:sz w:val="40"/>
                        <w:szCs w:val="40"/>
                      </w:rPr>
                      <w:t xml:space="preserve">An Evaluation of Job Access and Reverse Commute (JARC) Program Services Provided in </w:t>
                    </w:r>
                    <w:r w:rsidR="00E40D97" w:rsidRPr="007C2D51">
                      <w:rPr>
                        <w:sz w:val="40"/>
                        <w:szCs w:val="40"/>
                      </w:rPr>
                      <w:t>20</w:t>
                    </w:r>
                    <w:r w:rsidR="00521989" w:rsidRPr="007C2D51">
                      <w:rPr>
                        <w:sz w:val="40"/>
                        <w:szCs w:val="40"/>
                      </w:rPr>
                      <w:t>10</w:t>
                    </w:r>
                  </w:p>
                </w:tc>
              </w:sdtContent>
            </w:sdt>
          </w:tr>
          <w:tr w:rsidR="00E40D97" w:rsidRPr="007C2D51">
            <w:tc>
              <w:tcPr>
                <w:tcW w:w="5000" w:type="pct"/>
              </w:tcPr>
              <w:p w:rsidR="00F63A41" w:rsidRPr="007C2D51" w:rsidRDefault="00F63A41" w:rsidP="00F63A41">
                <w:pPr>
                  <w:pStyle w:val="NoSpacing"/>
                  <w:rPr>
                    <w:sz w:val="28"/>
                    <w:szCs w:val="28"/>
                  </w:rPr>
                </w:pPr>
                <w:r w:rsidRPr="007C2D51">
                  <w:rPr>
                    <w:sz w:val="28"/>
                    <w:szCs w:val="28"/>
                  </w:rPr>
                  <w:t>C</w:t>
                </w:r>
                <w:r w:rsidR="00182183" w:rsidRPr="007C2D51">
                  <w:rPr>
                    <w:sz w:val="28"/>
                    <w:szCs w:val="28"/>
                  </w:rPr>
                  <w:t>ommonwealth Environmental Systems</w:t>
                </w:r>
                <w:r w:rsidRPr="007C2D51">
                  <w:rPr>
                    <w:sz w:val="28"/>
                    <w:szCs w:val="28"/>
                  </w:rPr>
                  <w:t>, Inc.</w:t>
                </w:r>
              </w:p>
              <w:p w:rsidR="00F63A41" w:rsidRPr="007C2D51" w:rsidRDefault="00F63A41" w:rsidP="00F63A41">
                <w:pPr>
                  <w:pStyle w:val="NoSpacing"/>
                  <w:rPr>
                    <w:sz w:val="28"/>
                    <w:szCs w:val="28"/>
                  </w:rPr>
                </w:pPr>
                <w:r w:rsidRPr="007C2D51">
                  <w:rPr>
                    <w:sz w:val="28"/>
                    <w:szCs w:val="28"/>
                  </w:rPr>
                  <w:t>TranSystems</w:t>
                </w:r>
              </w:p>
              <w:p w:rsidR="00F63A41" w:rsidRPr="007C2D51" w:rsidRDefault="00F63A41" w:rsidP="00F63A41">
                <w:pPr>
                  <w:pStyle w:val="NoSpacing"/>
                  <w:rPr>
                    <w:sz w:val="28"/>
                    <w:szCs w:val="28"/>
                  </w:rPr>
                </w:pPr>
              </w:p>
              <w:p w:rsidR="00E40D97" w:rsidRPr="007C2D51" w:rsidRDefault="00E53CF6">
                <w:pPr>
                  <w:pStyle w:val="NoSpacing"/>
                  <w:rPr>
                    <w:sz w:val="28"/>
                    <w:szCs w:val="28"/>
                  </w:rPr>
                </w:pPr>
                <w:r w:rsidRPr="007C2D51">
                  <w:rPr>
                    <w:sz w:val="28"/>
                    <w:szCs w:val="28"/>
                  </w:rPr>
                  <w:t>Prepared for Federal Transit Administration</w:t>
                </w:r>
              </w:p>
              <w:p w:rsidR="00F63A41" w:rsidRPr="007C2D51" w:rsidRDefault="00F63A41">
                <w:pPr>
                  <w:pStyle w:val="NoSpacing"/>
                  <w:rPr>
                    <w:sz w:val="28"/>
                    <w:szCs w:val="28"/>
                  </w:rPr>
                </w:pPr>
              </w:p>
              <w:p w:rsidR="00E53CF6" w:rsidRPr="007C2D51" w:rsidRDefault="00E53CF6">
                <w:pPr>
                  <w:pStyle w:val="NoSpacing"/>
                  <w:rPr>
                    <w:sz w:val="28"/>
                    <w:szCs w:val="28"/>
                  </w:rPr>
                </w:pPr>
              </w:p>
              <w:p w:rsidR="00E53CF6" w:rsidRPr="007C2D51" w:rsidRDefault="00E53CF6">
                <w:pPr>
                  <w:pStyle w:val="NoSpacing"/>
                  <w:rPr>
                    <w:sz w:val="28"/>
                    <w:szCs w:val="28"/>
                  </w:rPr>
                </w:pPr>
              </w:p>
              <w:p w:rsidR="00E53CF6" w:rsidRPr="007C2D51" w:rsidRDefault="00D65BD5" w:rsidP="00BF08E1">
                <w:pPr>
                  <w:pStyle w:val="NoSpacing"/>
                  <w:rPr>
                    <w:sz w:val="28"/>
                    <w:szCs w:val="28"/>
                  </w:rPr>
                </w:pPr>
                <w:r w:rsidRPr="007C2D51">
                  <w:rPr>
                    <w:sz w:val="28"/>
                    <w:szCs w:val="28"/>
                  </w:rPr>
                  <w:t xml:space="preserve">October </w:t>
                </w:r>
                <w:r w:rsidR="00521989" w:rsidRPr="007C2D51">
                  <w:rPr>
                    <w:sz w:val="28"/>
                    <w:szCs w:val="28"/>
                  </w:rPr>
                  <w:t>2011</w:t>
                </w:r>
              </w:p>
            </w:tc>
          </w:tr>
        </w:tbl>
        <w:p w:rsidR="001C1321" w:rsidRPr="007C2D51" w:rsidRDefault="00022E2F" w:rsidP="00DE7704"/>
      </w:sdtContent>
    </w:sdt>
    <w:p w:rsidR="001C1321" w:rsidRPr="007C2D51" w:rsidRDefault="001C1321" w:rsidP="00DE7704">
      <w:pPr>
        <w:rPr>
          <w:rFonts w:asciiTheme="majorHAnsi" w:eastAsia="Times New Roman" w:hAnsiTheme="majorHAnsi" w:cs="Times New Roman"/>
          <w:b/>
          <w:bCs/>
          <w:i/>
          <w:iCs/>
          <w:color w:val="FEB80A" w:themeColor="accent2"/>
          <w:sz w:val="40"/>
          <w:szCs w:val="32"/>
          <w:lang w:eastAsia="en-US"/>
        </w:rPr>
        <w:sectPr w:rsidR="001C1321" w:rsidRPr="007C2D51">
          <w:headerReference w:type="even" r:id="rId10"/>
          <w:footerReference w:type="even" r:id="rId11"/>
          <w:footerReference w:type="default" r:id="rId12"/>
          <w:pgSz w:w="12240" w:h="15840"/>
          <w:pgMar w:top="1440" w:right="1440" w:bottom="1440" w:left="1440" w:header="720" w:footer="720" w:gutter="0"/>
          <w:pgNumType w:fmt="lowerRoman" w:start="1"/>
          <w:cols w:space="720"/>
          <w:titlePg/>
          <w:docGrid w:linePitch="360"/>
        </w:sectPr>
      </w:pPr>
    </w:p>
    <w:p w:rsidR="00C6280D" w:rsidRPr="007C2D51" w:rsidRDefault="00C6280D" w:rsidP="00BE3A28">
      <w:pPr>
        <w:pStyle w:val="FrontHeading"/>
      </w:pPr>
      <w:r w:rsidRPr="007C2D51">
        <w:lastRenderedPageBreak/>
        <w:t>Disclaimer Notice</w:t>
      </w:r>
    </w:p>
    <w:p w:rsidR="00C6280D" w:rsidRPr="007C2D51" w:rsidRDefault="00C6280D" w:rsidP="00C6280D">
      <w:pPr>
        <w:pStyle w:val="BodyText"/>
      </w:pPr>
      <w:r w:rsidRPr="007C2D51">
        <w:t>This document is disseminated under the sponsorship of the United States Department of Transportation (USDOT) in the interest of information exchange</w:t>
      </w:r>
      <w:r w:rsidR="00CE332B" w:rsidRPr="007C2D51">
        <w:t xml:space="preserve">.  </w:t>
      </w:r>
      <w:r w:rsidRPr="007C2D51">
        <w:t xml:space="preserve">The </w:t>
      </w:r>
      <w:r w:rsidR="00FC1555" w:rsidRPr="007C2D51">
        <w:t>US</w:t>
      </w:r>
      <w:r w:rsidR="000118B0" w:rsidRPr="007C2D51">
        <w:t xml:space="preserve"> </w:t>
      </w:r>
      <w:r w:rsidRPr="007C2D51">
        <w:t>Government assumes no liability for its contents or use thereof.</w:t>
      </w:r>
    </w:p>
    <w:p w:rsidR="00C6280D" w:rsidRPr="007C2D51" w:rsidRDefault="00C6280D">
      <w:pPr>
        <w:rPr>
          <w:rFonts w:asciiTheme="majorHAnsi" w:eastAsia="Times New Roman" w:hAnsiTheme="majorHAnsi" w:cs="Times New Roman"/>
          <w:b/>
          <w:bCs/>
          <w:i/>
          <w:iCs/>
          <w:color w:val="FEB80A" w:themeColor="accent2"/>
          <w:sz w:val="40"/>
          <w:szCs w:val="32"/>
          <w:lang w:eastAsia="en-US"/>
        </w:rPr>
      </w:pPr>
      <w:r w:rsidRPr="007C2D51">
        <w:rPr>
          <w:rFonts w:asciiTheme="majorHAnsi" w:eastAsia="Times New Roman" w:hAnsiTheme="majorHAnsi" w:cs="Times New Roman"/>
          <w:b/>
          <w:bCs/>
          <w:i/>
          <w:iCs/>
          <w:color w:val="FEB80A" w:themeColor="accent2"/>
          <w:sz w:val="40"/>
          <w:szCs w:val="32"/>
          <w:lang w:eastAsia="en-US"/>
        </w:rPr>
        <w:br w:type="page"/>
      </w:r>
    </w:p>
    <w:p w:rsidR="00C6280D" w:rsidRPr="007C2D51" w:rsidRDefault="00C6280D" w:rsidP="00BE3A28">
      <w:pPr>
        <w:pStyle w:val="FrontHeading"/>
      </w:pPr>
      <w:bookmarkStart w:id="0" w:name="_Toc242869853"/>
      <w:bookmarkStart w:id="1" w:name="_Toc244660183"/>
      <w:r w:rsidRPr="007C2D51">
        <w:lastRenderedPageBreak/>
        <w:t>Acknowledgments</w:t>
      </w:r>
      <w:bookmarkEnd w:id="0"/>
      <w:bookmarkEnd w:id="1"/>
    </w:p>
    <w:p w:rsidR="00C6280D" w:rsidRPr="007C2D51" w:rsidRDefault="00C6280D" w:rsidP="00C6280D">
      <w:pPr>
        <w:pStyle w:val="BodyText"/>
      </w:pPr>
      <w:r w:rsidRPr="007C2D51">
        <w:t>The work in this document was performed by CES, Inc.</w:t>
      </w:r>
      <w:r w:rsidR="00182183" w:rsidRPr="007C2D51">
        <w:t>,</w:t>
      </w:r>
      <w:r w:rsidRPr="007C2D51">
        <w:t xml:space="preserve"> and TranSystems under Federal Transit Administration (FTA) contract number DTFT60-08-C00013/Project No</w:t>
      </w:r>
      <w:r w:rsidR="00CE332B" w:rsidRPr="007C2D51">
        <w:t xml:space="preserve">.  </w:t>
      </w:r>
      <w:r w:rsidR="008029EB" w:rsidRPr="007C2D51">
        <w:t>FTA-11-0084</w:t>
      </w:r>
      <w:r w:rsidR="00CE332B" w:rsidRPr="007C2D51">
        <w:t xml:space="preserve">.  </w:t>
      </w:r>
      <w:r w:rsidRPr="007C2D51">
        <w:t>The lead reviewers were Christoph Berendes (CES)</w:t>
      </w:r>
      <w:r w:rsidR="00182183" w:rsidRPr="007C2D51">
        <w:t xml:space="preserve"> and</w:t>
      </w:r>
      <w:r w:rsidRPr="007C2D51">
        <w:t xml:space="preserve"> Susan Bregman (CES and Oak Square Resources)</w:t>
      </w:r>
      <w:r w:rsidR="00CE332B" w:rsidRPr="007C2D51">
        <w:t xml:space="preserve">.  </w:t>
      </w:r>
      <w:r w:rsidR="00F36FAC" w:rsidRPr="007C2D51">
        <w:t>Caroline Ferris (TranSystems),</w:t>
      </w:r>
      <w:r w:rsidRPr="007C2D51">
        <w:t xml:space="preserve"> Stephen Falbel (Steadman Hill Consulting), and Lauren Miller (CES)</w:t>
      </w:r>
      <w:r w:rsidR="00F36FAC" w:rsidRPr="007C2D51">
        <w:t xml:space="preserve"> provided </w:t>
      </w:r>
      <w:r w:rsidR="00182183" w:rsidRPr="007C2D51">
        <w:t>research and analytical support</w:t>
      </w:r>
      <w:r w:rsidR="00CE332B" w:rsidRPr="007C2D51">
        <w:t xml:space="preserve">.  </w:t>
      </w:r>
      <w:r w:rsidR="00736475" w:rsidRPr="007C2D51">
        <w:t>Gilbert Williams w</w:t>
      </w:r>
      <w:r w:rsidR="00521989" w:rsidRPr="007C2D51">
        <w:t>as</w:t>
      </w:r>
      <w:r w:rsidR="00736475" w:rsidRPr="007C2D51">
        <w:t xml:space="preserve"> </w:t>
      </w:r>
      <w:r w:rsidR="00282156" w:rsidRPr="007C2D51">
        <w:t>the FTA Project Manager</w:t>
      </w:r>
      <w:r w:rsidR="00736475" w:rsidRPr="007C2D51">
        <w:t>s</w:t>
      </w:r>
      <w:r w:rsidR="00282156" w:rsidRPr="007C2D51">
        <w:t xml:space="preserve">, Doug Birnie was the United We Ride Team Leader, and </w:t>
      </w:r>
      <w:r w:rsidR="00736475" w:rsidRPr="007C2D51">
        <w:t>Catherine Caldwell</w:t>
      </w:r>
      <w:r w:rsidR="00282156" w:rsidRPr="007C2D51">
        <w:t xml:space="preserve"> was the Contracting Office’s Technical Representative (COTR).</w:t>
      </w:r>
    </w:p>
    <w:p w:rsidR="00A17D01" w:rsidRPr="007C2D51" w:rsidRDefault="00C6280D">
      <w:pPr>
        <w:pStyle w:val="BodyText"/>
      </w:pPr>
      <w:bookmarkStart w:id="2" w:name="OLE_LINK5"/>
      <w:bookmarkStart w:id="3" w:name="OLE_LINK6"/>
      <w:r w:rsidRPr="007C2D51">
        <w:t xml:space="preserve">The authors wish to thank the </w:t>
      </w:r>
      <w:r w:rsidR="00A17D01" w:rsidRPr="007C2D51">
        <w:t xml:space="preserve">members of the </w:t>
      </w:r>
      <w:r w:rsidRPr="007C2D51">
        <w:t xml:space="preserve">JARC/New Freedom Advisory Committee, </w:t>
      </w:r>
      <w:r w:rsidR="00A17D01" w:rsidRPr="007C2D51">
        <w:t>who included:</w:t>
      </w:r>
    </w:p>
    <w:p w:rsidR="00521989" w:rsidRPr="007C2D51" w:rsidRDefault="00521989" w:rsidP="00521989">
      <w:pPr>
        <w:pStyle w:val="ListBullet"/>
      </w:pPr>
      <w:r w:rsidRPr="007C2D51">
        <w:t>Pamella Lee, Iowa Department of Transportation</w:t>
      </w:r>
    </w:p>
    <w:p w:rsidR="00521989" w:rsidRPr="007C2D51" w:rsidRDefault="00521989" w:rsidP="00521989">
      <w:pPr>
        <w:pStyle w:val="ListBullet"/>
      </w:pPr>
      <w:r w:rsidRPr="007C2D51">
        <w:t>Re</w:t>
      </w:r>
      <w:r w:rsidR="00824FFD" w:rsidRPr="007C2D51">
        <w:t>f</w:t>
      </w:r>
      <w:r w:rsidRPr="007C2D51">
        <w:t xml:space="preserve"> Lindmark, King County Metro Transit, Seattle (WA)</w:t>
      </w:r>
    </w:p>
    <w:p w:rsidR="00521989" w:rsidRPr="007C2D51" w:rsidRDefault="00521989" w:rsidP="00521989">
      <w:pPr>
        <w:pStyle w:val="ListBullet"/>
      </w:pPr>
      <w:r w:rsidRPr="007C2D51">
        <w:t>Beth Newman, Metropolitan Washington Council of Governments (DC)</w:t>
      </w:r>
    </w:p>
    <w:p w:rsidR="0014246C" w:rsidRPr="007C2D51" w:rsidRDefault="00521989">
      <w:pPr>
        <w:pStyle w:val="ListBullet"/>
      </w:pPr>
      <w:r w:rsidRPr="007C2D51">
        <w:t>J</w:t>
      </w:r>
      <w:r w:rsidR="00F36FAC" w:rsidRPr="007C2D51">
        <w:t>ean Palmateer</w:t>
      </w:r>
      <w:r w:rsidR="00A17D01" w:rsidRPr="007C2D51">
        <w:t>, Oregon Department of Transportation</w:t>
      </w:r>
    </w:p>
    <w:p w:rsidR="00521989" w:rsidRPr="007C2D51" w:rsidRDefault="00521989" w:rsidP="00521989">
      <w:pPr>
        <w:pStyle w:val="ListBullet"/>
      </w:pPr>
      <w:r w:rsidRPr="007C2D51">
        <w:t>Liz Peak, Jacksonville Transportation Authority (FL)</w:t>
      </w:r>
    </w:p>
    <w:p w:rsidR="00521989" w:rsidRPr="007C2D51" w:rsidRDefault="00521989" w:rsidP="00521989">
      <w:pPr>
        <w:pStyle w:val="ListBullet"/>
      </w:pPr>
      <w:r w:rsidRPr="007C2D51">
        <w:t>Betty Petrie, Central New York Regional Transportation Authority/CENTRO, Syracuse (NY)</w:t>
      </w:r>
    </w:p>
    <w:p w:rsidR="0014246C" w:rsidRPr="007C2D51" w:rsidRDefault="00521989">
      <w:pPr>
        <w:pStyle w:val="ListBullet"/>
      </w:pPr>
      <w:r w:rsidRPr="007C2D51">
        <w:t>Sarah Probasco</w:t>
      </w:r>
      <w:r w:rsidR="00A17D01" w:rsidRPr="007C2D51">
        <w:t xml:space="preserve">, </w:t>
      </w:r>
      <w:r w:rsidR="00F36FAC" w:rsidRPr="007C2D51">
        <w:t>Wisconsin D</w:t>
      </w:r>
      <w:r w:rsidR="00A17D01" w:rsidRPr="007C2D51">
        <w:t>epartment of Transportation</w:t>
      </w:r>
    </w:p>
    <w:p w:rsidR="0014246C" w:rsidRPr="007C2D51" w:rsidRDefault="00C6280D">
      <w:pPr>
        <w:pStyle w:val="ListBullet"/>
      </w:pPr>
      <w:r w:rsidRPr="007C2D51">
        <w:t>Lisa Rivers</w:t>
      </w:r>
      <w:r w:rsidR="00A17D01" w:rsidRPr="007C2D51">
        <w:t>,</w:t>
      </w:r>
      <w:r w:rsidRPr="007C2D51">
        <w:t xml:space="preserve"> Connecticut D</w:t>
      </w:r>
      <w:r w:rsidR="00A17D01" w:rsidRPr="007C2D51">
        <w:t>epartment of Transportation</w:t>
      </w:r>
    </w:p>
    <w:p w:rsidR="006500EF" w:rsidRPr="007C2D51" w:rsidRDefault="00A17D01">
      <w:pPr>
        <w:pStyle w:val="BodyText"/>
      </w:pPr>
      <w:r w:rsidRPr="007C2D51">
        <w:t xml:space="preserve">The committee members </w:t>
      </w:r>
      <w:bookmarkEnd w:id="2"/>
      <w:bookmarkEnd w:id="3"/>
      <w:r w:rsidRPr="007C2D51">
        <w:t>provided helpful advice and input throughout the development and implementation of the JARC/NF Program Performance Evaluation matrix approach</w:t>
      </w:r>
      <w:r w:rsidR="00CE332B" w:rsidRPr="007C2D51">
        <w:t xml:space="preserve">.  </w:t>
      </w:r>
    </w:p>
    <w:p w:rsidR="00C6280D" w:rsidRPr="007C2D51" w:rsidRDefault="00C6280D">
      <w:r w:rsidRPr="007C2D51">
        <w:br w:type="page"/>
      </w:r>
    </w:p>
    <w:tbl>
      <w:tblPr>
        <w:tblStyle w:val="LightList-Accent6"/>
        <w:tblpPr w:leftFromText="180" w:rightFromText="180" w:horzAnchor="margin" w:tblpY="640"/>
        <w:tblW w:w="7398" w:type="dxa"/>
        <w:tblBorders>
          <w:top w:val="none" w:sz="0" w:space="0" w:color="auto"/>
          <w:left w:val="none" w:sz="0" w:space="0" w:color="auto"/>
          <w:bottom w:val="none" w:sz="0" w:space="0" w:color="auto"/>
          <w:right w:val="none" w:sz="0" w:space="0" w:color="auto"/>
        </w:tblBorders>
        <w:tblLook w:val="01C0"/>
      </w:tblPr>
      <w:tblGrid>
        <w:gridCol w:w="1828"/>
        <w:gridCol w:w="5570"/>
      </w:tblGrid>
      <w:tr w:rsidR="00CB74E1" w:rsidRPr="007C2D51">
        <w:trPr>
          <w:cnfStyle w:val="000000100000"/>
        </w:trPr>
        <w:tc>
          <w:tcPr>
            <w:cnfStyle w:val="001000000000"/>
            <w:tcW w:w="1828" w:type="dxa"/>
            <w:tcBorders>
              <w:top w:val="none" w:sz="0" w:space="0" w:color="auto"/>
              <w:left w:val="none" w:sz="0" w:space="0" w:color="auto"/>
              <w:bottom w:val="none" w:sz="0" w:space="0" w:color="auto"/>
            </w:tcBorders>
          </w:tcPr>
          <w:p w:rsidR="00742152" w:rsidRPr="007C2D51" w:rsidRDefault="00871863" w:rsidP="00725283">
            <w:pPr>
              <w:rPr>
                <w:b w:val="0"/>
                <w:bCs w:val="0"/>
                <w:sz w:val="24"/>
                <w:szCs w:val="24"/>
              </w:rPr>
            </w:pPr>
            <w:r w:rsidRPr="007C2D51">
              <w:rPr>
                <w:b w:val="0"/>
                <w:sz w:val="24"/>
                <w:szCs w:val="24"/>
              </w:rPr>
              <w:lastRenderedPageBreak/>
              <w:t>COTR</w:t>
            </w:r>
          </w:p>
        </w:tc>
        <w:tc>
          <w:tcPr>
            <w:cnfStyle w:val="000100000000"/>
            <w:tcW w:w="5570" w:type="dxa"/>
            <w:tcBorders>
              <w:top w:val="none" w:sz="0" w:space="0" w:color="auto"/>
              <w:bottom w:val="none" w:sz="0" w:space="0" w:color="auto"/>
              <w:right w:val="none" w:sz="0" w:space="0" w:color="auto"/>
            </w:tcBorders>
          </w:tcPr>
          <w:p w:rsidR="00742152" w:rsidRPr="007C2D51" w:rsidRDefault="00871863" w:rsidP="00725283">
            <w:pPr>
              <w:rPr>
                <w:b w:val="0"/>
                <w:bCs w:val="0"/>
                <w:sz w:val="24"/>
                <w:szCs w:val="24"/>
              </w:rPr>
            </w:pPr>
            <w:r w:rsidRPr="007C2D51">
              <w:rPr>
                <w:b w:val="0"/>
                <w:sz w:val="24"/>
                <w:szCs w:val="24"/>
              </w:rPr>
              <w:t>Contracting Office’s Technical Representative</w:t>
            </w:r>
          </w:p>
        </w:tc>
      </w:tr>
      <w:tr w:rsidR="00CB74E1" w:rsidRPr="007C2D51">
        <w:tc>
          <w:tcPr>
            <w:cnfStyle w:val="001000000000"/>
            <w:tcW w:w="1828" w:type="dxa"/>
          </w:tcPr>
          <w:p w:rsidR="00742152" w:rsidRPr="007C2D51" w:rsidRDefault="00871863" w:rsidP="00725283">
            <w:pPr>
              <w:rPr>
                <w:b w:val="0"/>
                <w:bCs w:val="0"/>
                <w:sz w:val="24"/>
                <w:szCs w:val="24"/>
              </w:rPr>
            </w:pPr>
            <w:r w:rsidRPr="007C2D51">
              <w:rPr>
                <w:b w:val="0"/>
                <w:sz w:val="24"/>
                <w:szCs w:val="24"/>
              </w:rPr>
              <w:t>CTAA</w:t>
            </w:r>
          </w:p>
        </w:tc>
        <w:tc>
          <w:tcPr>
            <w:cnfStyle w:val="000100000000"/>
            <w:tcW w:w="5570" w:type="dxa"/>
          </w:tcPr>
          <w:p w:rsidR="00742152" w:rsidRPr="007C2D51" w:rsidRDefault="00871863" w:rsidP="00725283">
            <w:pPr>
              <w:rPr>
                <w:b w:val="0"/>
                <w:bCs w:val="0"/>
                <w:sz w:val="24"/>
                <w:szCs w:val="24"/>
              </w:rPr>
            </w:pPr>
            <w:r w:rsidRPr="007C2D51">
              <w:rPr>
                <w:b w:val="0"/>
                <w:sz w:val="24"/>
                <w:szCs w:val="24"/>
              </w:rPr>
              <w:t>Community Transportation Association of America</w:t>
            </w:r>
          </w:p>
        </w:tc>
      </w:tr>
      <w:tr w:rsidR="0089514C" w:rsidRPr="007C2D51">
        <w:trPr>
          <w:cnfStyle w:val="000000100000"/>
        </w:trPr>
        <w:tc>
          <w:tcPr>
            <w:cnfStyle w:val="001000000000"/>
            <w:tcW w:w="1828" w:type="dxa"/>
            <w:tcBorders>
              <w:top w:val="none" w:sz="0" w:space="0" w:color="auto"/>
              <w:left w:val="none" w:sz="0" w:space="0" w:color="auto"/>
              <w:bottom w:val="none" w:sz="0" w:space="0" w:color="auto"/>
            </w:tcBorders>
          </w:tcPr>
          <w:p w:rsidR="0089514C" w:rsidRPr="007C2D51" w:rsidRDefault="0089514C" w:rsidP="00725283">
            <w:pPr>
              <w:rPr>
                <w:b w:val="0"/>
                <w:sz w:val="24"/>
                <w:szCs w:val="24"/>
              </w:rPr>
            </w:pPr>
            <w:r w:rsidRPr="007C2D51">
              <w:rPr>
                <w:b w:val="0"/>
                <w:sz w:val="24"/>
                <w:szCs w:val="24"/>
              </w:rPr>
              <w:t>DOT</w:t>
            </w:r>
          </w:p>
        </w:tc>
        <w:tc>
          <w:tcPr>
            <w:cnfStyle w:val="000100000000"/>
            <w:tcW w:w="5570" w:type="dxa"/>
            <w:tcBorders>
              <w:top w:val="none" w:sz="0" w:space="0" w:color="auto"/>
              <w:bottom w:val="none" w:sz="0" w:space="0" w:color="auto"/>
              <w:right w:val="none" w:sz="0" w:space="0" w:color="auto"/>
            </w:tcBorders>
          </w:tcPr>
          <w:p w:rsidR="0089514C" w:rsidRPr="007C2D51" w:rsidRDefault="0089514C" w:rsidP="00725283">
            <w:pPr>
              <w:rPr>
                <w:b w:val="0"/>
                <w:sz w:val="24"/>
                <w:szCs w:val="24"/>
              </w:rPr>
            </w:pPr>
            <w:r w:rsidRPr="007C2D51">
              <w:rPr>
                <w:b w:val="0"/>
                <w:sz w:val="24"/>
                <w:szCs w:val="24"/>
              </w:rPr>
              <w:t>Department of Transportation</w:t>
            </w:r>
          </w:p>
        </w:tc>
      </w:tr>
      <w:tr w:rsidR="00CB74E1" w:rsidRPr="007C2D51">
        <w:tc>
          <w:tcPr>
            <w:cnfStyle w:val="001000000000"/>
            <w:tcW w:w="1828" w:type="dxa"/>
          </w:tcPr>
          <w:p w:rsidR="00742152" w:rsidRPr="007C2D51" w:rsidRDefault="00871863" w:rsidP="00725283">
            <w:pPr>
              <w:rPr>
                <w:b w:val="0"/>
                <w:bCs w:val="0"/>
                <w:sz w:val="24"/>
                <w:szCs w:val="24"/>
              </w:rPr>
            </w:pPr>
            <w:r w:rsidRPr="007C2D51">
              <w:rPr>
                <w:b w:val="0"/>
                <w:sz w:val="24"/>
                <w:szCs w:val="24"/>
              </w:rPr>
              <w:t>FTA</w:t>
            </w:r>
          </w:p>
        </w:tc>
        <w:tc>
          <w:tcPr>
            <w:cnfStyle w:val="000100000000"/>
            <w:tcW w:w="5570" w:type="dxa"/>
          </w:tcPr>
          <w:p w:rsidR="00742152" w:rsidRPr="007C2D51" w:rsidRDefault="00871863" w:rsidP="00725283">
            <w:pPr>
              <w:rPr>
                <w:b w:val="0"/>
                <w:bCs w:val="0"/>
                <w:sz w:val="24"/>
                <w:szCs w:val="24"/>
              </w:rPr>
            </w:pPr>
            <w:r w:rsidRPr="007C2D51">
              <w:rPr>
                <w:b w:val="0"/>
                <w:sz w:val="24"/>
                <w:szCs w:val="24"/>
              </w:rPr>
              <w:t>Federal Transit Administration</w:t>
            </w:r>
          </w:p>
        </w:tc>
      </w:tr>
      <w:tr w:rsidR="00CB74E1" w:rsidRPr="007C2D51">
        <w:trPr>
          <w:cnfStyle w:val="000000100000"/>
        </w:trPr>
        <w:tc>
          <w:tcPr>
            <w:cnfStyle w:val="001000000000"/>
            <w:tcW w:w="1828" w:type="dxa"/>
            <w:tcBorders>
              <w:top w:val="none" w:sz="0" w:space="0" w:color="auto"/>
              <w:left w:val="none" w:sz="0" w:space="0" w:color="auto"/>
              <w:bottom w:val="none" w:sz="0" w:space="0" w:color="auto"/>
            </w:tcBorders>
          </w:tcPr>
          <w:p w:rsidR="00742152" w:rsidRPr="007C2D51" w:rsidRDefault="00871863" w:rsidP="00725283">
            <w:pPr>
              <w:rPr>
                <w:b w:val="0"/>
                <w:bCs w:val="0"/>
                <w:sz w:val="24"/>
                <w:szCs w:val="24"/>
              </w:rPr>
            </w:pPr>
            <w:r w:rsidRPr="007C2D51">
              <w:rPr>
                <w:b w:val="0"/>
                <w:sz w:val="24"/>
                <w:szCs w:val="24"/>
              </w:rPr>
              <w:t>FY</w:t>
            </w:r>
          </w:p>
        </w:tc>
        <w:tc>
          <w:tcPr>
            <w:cnfStyle w:val="000100000000"/>
            <w:tcW w:w="5570" w:type="dxa"/>
            <w:tcBorders>
              <w:top w:val="none" w:sz="0" w:space="0" w:color="auto"/>
              <w:bottom w:val="none" w:sz="0" w:space="0" w:color="auto"/>
              <w:right w:val="none" w:sz="0" w:space="0" w:color="auto"/>
            </w:tcBorders>
          </w:tcPr>
          <w:p w:rsidR="00742152" w:rsidRPr="007C2D51" w:rsidRDefault="00871863" w:rsidP="00725283">
            <w:pPr>
              <w:rPr>
                <w:b w:val="0"/>
                <w:bCs w:val="0"/>
                <w:sz w:val="24"/>
                <w:szCs w:val="24"/>
              </w:rPr>
            </w:pPr>
            <w:r w:rsidRPr="007C2D51">
              <w:rPr>
                <w:b w:val="0"/>
                <w:sz w:val="24"/>
                <w:szCs w:val="24"/>
              </w:rPr>
              <w:t>Fiscal Year</w:t>
            </w:r>
          </w:p>
        </w:tc>
      </w:tr>
      <w:tr w:rsidR="00CB74E1" w:rsidRPr="007C2D51">
        <w:tc>
          <w:tcPr>
            <w:cnfStyle w:val="001000000000"/>
            <w:tcW w:w="1828" w:type="dxa"/>
          </w:tcPr>
          <w:p w:rsidR="00742152" w:rsidRPr="007C2D51" w:rsidRDefault="00871863" w:rsidP="00725283">
            <w:pPr>
              <w:rPr>
                <w:b w:val="0"/>
                <w:bCs w:val="0"/>
                <w:sz w:val="24"/>
                <w:szCs w:val="24"/>
              </w:rPr>
            </w:pPr>
            <w:r w:rsidRPr="007C2D51">
              <w:rPr>
                <w:b w:val="0"/>
                <w:sz w:val="24"/>
                <w:szCs w:val="24"/>
              </w:rPr>
              <w:t>GPRA</w:t>
            </w:r>
          </w:p>
        </w:tc>
        <w:tc>
          <w:tcPr>
            <w:cnfStyle w:val="000100000000"/>
            <w:tcW w:w="5570" w:type="dxa"/>
          </w:tcPr>
          <w:p w:rsidR="00742152" w:rsidRPr="007C2D51" w:rsidRDefault="00871863" w:rsidP="00725283">
            <w:pPr>
              <w:rPr>
                <w:b w:val="0"/>
                <w:bCs w:val="0"/>
                <w:sz w:val="24"/>
                <w:szCs w:val="24"/>
              </w:rPr>
            </w:pPr>
            <w:r w:rsidRPr="007C2D51">
              <w:rPr>
                <w:b w:val="0"/>
                <w:sz w:val="24"/>
                <w:szCs w:val="24"/>
              </w:rPr>
              <w:t>Government Performance Results Act</w:t>
            </w:r>
          </w:p>
        </w:tc>
      </w:tr>
      <w:tr w:rsidR="00CB74E1" w:rsidRPr="007C2D51">
        <w:trPr>
          <w:cnfStyle w:val="000000100000"/>
        </w:trPr>
        <w:tc>
          <w:tcPr>
            <w:cnfStyle w:val="001000000000"/>
            <w:tcW w:w="1828" w:type="dxa"/>
            <w:tcBorders>
              <w:top w:val="none" w:sz="0" w:space="0" w:color="auto"/>
              <w:left w:val="none" w:sz="0" w:space="0" w:color="auto"/>
              <w:bottom w:val="none" w:sz="0" w:space="0" w:color="auto"/>
            </w:tcBorders>
          </w:tcPr>
          <w:p w:rsidR="00742152" w:rsidRPr="007C2D51" w:rsidRDefault="00871863" w:rsidP="00725283">
            <w:pPr>
              <w:rPr>
                <w:b w:val="0"/>
                <w:bCs w:val="0"/>
                <w:sz w:val="24"/>
                <w:szCs w:val="24"/>
              </w:rPr>
            </w:pPr>
            <w:r w:rsidRPr="007C2D51">
              <w:rPr>
                <w:b w:val="0"/>
                <w:sz w:val="24"/>
                <w:szCs w:val="24"/>
              </w:rPr>
              <w:t xml:space="preserve">JARC </w:t>
            </w:r>
          </w:p>
        </w:tc>
        <w:tc>
          <w:tcPr>
            <w:cnfStyle w:val="000100000000"/>
            <w:tcW w:w="5570" w:type="dxa"/>
            <w:tcBorders>
              <w:top w:val="none" w:sz="0" w:space="0" w:color="auto"/>
              <w:bottom w:val="none" w:sz="0" w:space="0" w:color="auto"/>
              <w:right w:val="none" w:sz="0" w:space="0" w:color="auto"/>
            </w:tcBorders>
          </w:tcPr>
          <w:p w:rsidR="00742152" w:rsidRPr="007C2D51" w:rsidRDefault="00871863" w:rsidP="00725283">
            <w:pPr>
              <w:rPr>
                <w:b w:val="0"/>
                <w:bCs w:val="0"/>
                <w:sz w:val="24"/>
                <w:szCs w:val="24"/>
              </w:rPr>
            </w:pPr>
            <w:r w:rsidRPr="007C2D51">
              <w:rPr>
                <w:b w:val="0"/>
                <w:sz w:val="24"/>
                <w:szCs w:val="24"/>
              </w:rPr>
              <w:t xml:space="preserve">Job Access and Reverse Commute </w:t>
            </w:r>
          </w:p>
        </w:tc>
      </w:tr>
      <w:tr w:rsidR="00CB74E1" w:rsidRPr="007C2D51">
        <w:tc>
          <w:tcPr>
            <w:cnfStyle w:val="001000000000"/>
            <w:tcW w:w="1828" w:type="dxa"/>
          </w:tcPr>
          <w:p w:rsidR="00742152" w:rsidRPr="007C2D51" w:rsidRDefault="00871863" w:rsidP="00725283">
            <w:pPr>
              <w:rPr>
                <w:b w:val="0"/>
                <w:bCs w:val="0"/>
                <w:sz w:val="24"/>
                <w:szCs w:val="24"/>
              </w:rPr>
            </w:pPr>
            <w:r w:rsidRPr="007C2D51">
              <w:rPr>
                <w:b w:val="0"/>
                <w:sz w:val="24"/>
                <w:szCs w:val="24"/>
              </w:rPr>
              <w:t>LED</w:t>
            </w:r>
          </w:p>
        </w:tc>
        <w:tc>
          <w:tcPr>
            <w:cnfStyle w:val="000100000000"/>
            <w:tcW w:w="5570" w:type="dxa"/>
          </w:tcPr>
          <w:p w:rsidR="00742152" w:rsidRPr="007C2D51" w:rsidRDefault="00871863" w:rsidP="00725283">
            <w:pPr>
              <w:rPr>
                <w:b w:val="0"/>
                <w:bCs w:val="0"/>
                <w:sz w:val="24"/>
                <w:szCs w:val="24"/>
              </w:rPr>
            </w:pPr>
            <w:r w:rsidRPr="007C2D51">
              <w:rPr>
                <w:b w:val="0"/>
                <w:sz w:val="24"/>
                <w:szCs w:val="24"/>
              </w:rPr>
              <w:t>Local Employment Dynamics</w:t>
            </w:r>
          </w:p>
        </w:tc>
      </w:tr>
      <w:tr w:rsidR="00CB74E1" w:rsidRPr="007C2D51">
        <w:trPr>
          <w:cnfStyle w:val="000000100000"/>
        </w:trPr>
        <w:tc>
          <w:tcPr>
            <w:cnfStyle w:val="001000000000"/>
            <w:tcW w:w="1828" w:type="dxa"/>
            <w:tcBorders>
              <w:top w:val="none" w:sz="0" w:space="0" w:color="auto"/>
              <w:left w:val="none" w:sz="0" w:space="0" w:color="auto"/>
              <w:bottom w:val="none" w:sz="0" w:space="0" w:color="auto"/>
            </w:tcBorders>
          </w:tcPr>
          <w:p w:rsidR="00742152" w:rsidRPr="007C2D51" w:rsidRDefault="00871863" w:rsidP="00725283">
            <w:pPr>
              <w:rPr>
                <w:b w:val="0"/>
                <w:bCs w:val="0"/>
                <w:sz w:val="24"/>
                <w:szCs w:val="24"/>
              </w:rPr>
            </w:pPr>
            <w:r w:rsidRPr="007C2D51">
              <w:rPr>
                <w:b w:val="0"/>
                <w:sz w:val="24"/>
                <w:szCs w:val="24"/>
              </w:rPr>
              <w:t>LEHD</w:t>
            </w:r>
          </w:p>
        </w:tc>
        <w:tc>
          <w:tcPr>
            <w:cnfStyle w:val="000100000000"/>
            <w:tcW w:w="5570" w:type="dxa"/>
            <w:tcBorders>
              <w:top w:val="none" w:sz="0" w:space="0" w:color="auto"/>
              <w:bottom w:val="none" w:sz="0" w:space="0" w:color="auto"/>
              <w:right w:val="none" w:sz="0" w:space="0" w:color="auto"/>
            </w:tcBorders>
          </w:tcPr>
          <w:p w:rsidR="00742152" w:rsidRPr="007C2D51" w:rsidRDefault="00871863" w:rsidP="00725283">
            <w:pPr>
              <w:rPr>
                <w:b w:val="0"/>
                <w:bCs w:val="0"/>
                <w:sz w:val="24"/>
                <w:szCs w:val="24"/>
              </w:rPr>
            </w:pPr>
            <w:r w:rsidRPr="007C2D51">
              <w:rPr>
                <w:b w:val="0"/>
                <w:sz w:val="24"/>
                <w:szCs w:val="24"/>
              </w:rPr>
              <w:t>Longitudinal Employment-Household Dynamics</w:t>
            </w:r>
          </w:p>
        </w:tc>
      </w:tr>
      <w:tr w:rsidR="00CB74E1" w:rsidRPr="007C2D51">
        <w:tc>
          <w:tcPr>
            <w:cnfStyle w:val="001000000000"/>
            <w:tcW w:w="1828" w:type="dxa"/>
          </w:tcPr>
          <w:p w:rsidR="00742152" w:rsidRPr="007C2D51" w:rsidRDefault="00871863" w:rsidP="00725283">
            <w:pPr>
              <w:rPr>
                <w:b w:val="0"/>
                <w:bCs w:val="0"/>
                <w:sz w:val="24"/>
                <w:szCs w:val="24"/>
              </w:rPr>
            </w:pPr>
            <w:r w:rsidRPr="007C2D51">
              <w:rPr>
                <w:b w:val="0"/>
                <w:sz w:val="24"/>
                <w:szCs w:val="24"/>
              </w:rPr>
              <w:t>NAICS</w:t>
            </w:r>
          </w:p>
        </w:tc>
        <w:tc>
          <w:tcPr>
            <w:cnfStyle w:val="000100000000"/>
            <w:tcW w:w="5570" w:type="dxa"/>
          </w:tcPr>
          <w:p w:rsidR="00742152" w:rsidRPr="007C2D51" w:rsidRDefault="00871863" w:rsidP="00725283">
            <w:pPr>
              <w:rPr>
                <w:b w:val="0"/>
                <w:bCs w:val="0"/>
                <w:sz w:val="24"/>
                <w:szCs w:val="24"/>
              </w:rPr>
            </w:pPr>
            <w:r w:rsidRPr="007C2D51">
              <w:rPr>
                <w:b w:val="0"/>
                <w:sz w:val="24"/>
                <w:szCs w:val="24"/>
              </w:rPr>
              <w:t>North American Industry Classification System</w:t>
            </w:r>
          </w:p>
        </w:tc>
      </w:tr>
      <w:tr w:rsidR="00BF4B8E" w:rsidRPr="007C2D51">
        <w:trPr>
          <w:cnfStyle w:val="000000100000"/>
        </w:trPr>
        <w:tc>
          <w:tcPr>
            <w:cnfStyle w:val="001000000000"/>
            <w:tcW w:w="1828" w:type="dxa"/>
            <w:tcBorders>
              <w:top w:val="none" w:sz="0" w:space="0" w:color="auto"/>
              <w:left w:val="none" w:sz="0" w:space="0" w:color="auto"/>
              <w:bottom w:val="none" w:sz="0" w:space="0" w:color="auto"/>
            </w:tcBorders>
          </w:tcPr>
          <w:p w:rsidR="00BF4B8E" w:rsidRPr="007C2D51" w:rsidRDefault="00BF4B8E" w:rsidP="00725283">
            <w:pPr>
              <w:rPr>
                <w:b w:val="0"/>
                <w:sz w:val="24"/>
                <w:szCs w:val="24"/>
              </w:rPr>
            </w:pPr>
            <w:r w:rsidRPr="007C2D51">
              <w:rPr>
                <w:b w:val="0"/>
                <w:sz w:val="24"/>
                <w:szCs w:val="24"/>
              </w:rPr>
              <w:t>MPO</w:t>
            </w:r>
          </w:p>
        </w:tc>
        <w:tc>
          <w:tcPr>
            <w:cnfStyle w:val="000100000000"/>
            <w:tcW w:w="5570" w:type="dxa"/>
            <w:tcBorders>
              <w:top w:val="none" w:sz="0" w:space="0" w:color="auto"/>
              <w:bottom w:val="none" w:sz="0" w:space="0" w:color="auto"/>
              <w:right w:val="none" w:sz="0" w:space="0" w:color="auto"/>
            </w:tcBorders>
          </w:tcPr>
          <w:p w:rsidR="00BF4B8E" w:rsidRPr="007C2D51" w:rsidRDefault="00BF4B8E" w:rsidP="00725283">
            <w:pPr>
              <w:rPr>
                <w:b w:val="0"/>
                <w:sz w:val="24"/>
                <w:szCs w:val="24"/>
              </w:rPr>
            </w:pPr>
            <w:r w:rsidRPr="007C2D51">
              <w:rPr>
                <w:b w:val="0"/>
                <w:sz w:val="24"/>
                <w:szCs w:val="24"/>
              </w:rPr>
              <w:t>Metropolitan Planning Organization</w:t>
            </w:r>
          </w:p>
        </w:tc>
      </w:tr>
      <w:tr w:rsidR="00CB74E1" w:rsidRPr="007C2D51">
        <w:tc>
          <w:tcPr>
            <w:cnfStyle w:val="001000000000"/>
            <w:tcW w:w="1828" w:type="dxa"/>
          </w:tcPr>
          <w:p w:rsidR="00742152" w:rsidRPr="007C2D51" w:rsidRDefault="00871863" w:rsidP="00725283">
            <w:pPr>
              <w:rPr>
                <w:b w:val="0"/>
                <w:bCs w:val="0"/>
                <w:sz w:val="24"/>
                <w:szCs w:val="24"/>
              </w:rPr>
            </w:pPr>
            <w:r w:rsidRPr="007C2D51">
              <w:rPr>
                <w:b w:val="0"/>
                <w:sz w:val="24"/>
                <w:szCs w:val="24"/>
              </w:rPr>
              <w:t>NF</w:t>
            </w:r>
          </w:p>
        </w:tc>
        <w:tc>
          <w:tcPr>
            <w:cnfStyle w:val="000100000000"/>
            <w:tcW w:w="5570" w:type="dxa"/>
          </w:tcPr>
          <w:p w:rsidR="00742152" w:rsidRPr="007C2D51" w:rsidRDefault="00871863" w:rsidP="00725283">
            <w:pPr>
              <w:rPr>
                <w:b w:val="0"/>
                <w:bCs w:val="0"/>
                <w:sz w:val="24"/>
                <w:szCs w:val="24"/>
              </w:rPr>
            </w:pPr>
            <w:r w:rsidRPr="007C2D51">
              <w:rPr>
                <w:b w:val="0"/>
                <w:sz w:val="24"/>
                <w:szCs w:val="24"/>
              </w:rPr>
              <w:t>New Freedom</w:t>
            </w:r>
          </w:p>
        </w:tc>
      </w:tr>
      <w:tr w:rsidR="00CB74E1" w:rsidRPr="007C2D51">
        <w:trPr>
          <w:cnfStyle w:val="000000100000"/>
        </w:trPr>
        <w:tc>
          <w:tcPr>
            <w:cnfStyle w:val="001000000000"/>
            <w:tcW w:w="1828" w:type="dxa"/>
            <w:tcBorders>
              <w:top w:val="none" w:sz="0" w:space="0" w:color="auto"/>
              <w:left w:val="none" w:sz="0" w:space="0" w:color="auto"/>
              <w:bottom w:val="none" w:sz="0" w:space="0" w:color="auto"/>
            </w:tcBorders>
          </w:tcPr>
          <w:p w:rsidR="00742152" w:rsidRPr="007C2D51" w:rsidRDefault="00871863" w:rsidP="00725283">
            <w:pPr>
              <w:rPr>
                <w:b w:val="0"/>
                <w:bCs w:val="0"/>
                <w:sz w:val="24"/>
                <w:szCs w:val="24"/>
              </w:rPr>
            </w:pPr>
            <w:r w:rsidRPr="007C2D51">
              <w:rPr>
                <w:b w:val="0"/>
                <w:sz w:val="24"/>
                <w:szCs w:val="24"/>
              </w:rPr>
              <w:t>OMB</w:t>
            </w:r>
          </w:p>
        </w:tc>
        <w:tc>
          <w:tcPr>
            <w:cnfStyle w:val="000100000000"/>
            <w:tcW w:w="5570" w:type="dxa"/>
            <w:tcBorders>
              <w:top w:val="none" w:sz="0" w:space="0" w:color="auto"/>
              <w:bottom w:val="none" w:sz="0" w:space="0" w:color="auto"/>
              <w:right w:val="none" w:sz="0" w:space="0" w:color="auto"/>
            </w:tcBorders>
          </w:tcPr>
          <w:p w:rsidR="00742152" w:rsidRPr="007C2D51" w:rsidRDefault="00871863" w:rsidP="00725283">
            <w:pPr>
              <w:rPr>
                <w:b w:val="0"/>
                <w:bCs w:val="0"/>
                <w:sz w:val="24"/>
                <w:szCs w:val="24"/>
              </w:rPr>
            </w:pPr>
            <w:r w:rsidRPr="007C2D51">
              <w:rPr>
                <w:b w:val="0"/>
                <w:sz w:val="24"/>
                <w:szCs w:val="24"/>
              </w:rPr>
              <w:t>Office of Management and Budget</w:t>
            </w:r>
          </w:p>
        </w:tc>
      </w:tr>
      <w:tr w:rsidR="00CB74E1" w:rsidRPr="007C2D51">
        <w:tc>
          <w:tcPr>
            <w:cnfStyle w:val="001000000000"/>
            <w:tcW w:w="1828" w:type="dxa"/>
          </w:tcPr>
          <w:p w:rsidR="00742152" w:rsidRPr="007C2D51" w:rsidRDefault="00871863" w:rsidP="00725283">
            <w:pPr>
              <w:rPr>
                <w:b w:val="0"/>
                <w:bCs w:val="0"/>
                <w:sz w:val="24"/>
                <w:szCs w:val="24"/>
              </w:rPr>
            </w:pPr>
            <w:r w:rsidRPr="007C2D51">
              <w:rPr>
                <w:b w:val="0"/>
                <w:sz w:val="24"/>
                <w:szCs w:val="24"/>
              </w:rPr>
              <w:t>PART</w:t>
            </w:r>
          </w:p>
        </w:tc>
        <w:tc>
          <w:tcPr>
            <w:cnfStyle w:val="000100000000"/>
            <w:tcW w:w="5570" w:type="dxa"/>
          </w:tcPr>
          <w:p w:rsidR="00742152" w:rsidRPr="007C2D51" w:rsidRDefault="00871863" w:rsidP="00725283">
            <w:pPr>
              <w:rPr>
                <w:b w:val="0"/>
                <w:bCs w:val="0"/>
                <w:sz w:val="24"/>
                <w:szCs w:val="24"/>
              </w:rPr>
            </w:pPr>
            <w:r w:rsidRPr="007C2D51">
              <w:rPr>
                <w:b w:val="0"/>
                <w:sz w:val="24"/>
                <w:szCs w:val="24"/>
              </w:rPr>
              <w:t>Performance Assessment Rating Tool</w:t>
            </w:r>
          </w:p>
        </w:tc>
      </w:tr>
      <w:tr w:rsidR="00CB74E1" w:rsidRPr="007C2D51">
        <w:trPr>
          <w:cnfStyle w:val="000000100000"/>
        </w:trPr>
        <w:tc>
          <w:tcPr>
            <w:cnfStyle w:val="001000000000"/>
            <w:tcW w:w="1828" w:type="dxa"/>
            <w:tcBorders>
              <w:top w:val="none" w:sz="0" w:space="0" w:color="auto"/>
              <w:left w:val="none" w:sz="0" w:space="0" w:color="auto"/>
              <w:bottom w:val="none" w:sz="0" w:space="0" w:color="auto"/>
            </w:tcBorders>
          </w:tcPr>
          <w:p w:rsidR="00742152" w:rsidRPr="007C2D51" w:rsidRDefault="00871863" w:rsidP="00725283">
            <w:pPr>
              <w:rPr>
                <w:b w:val="0"/>
                <w:bCs w:val="0"/>
                <w:sz w:val="24"/>
                <w:szCs w:val="24"/>
              </w:rPr>
            </w:pPr>
            <w:r w:rsidRPr="007C2D51">
              <w:rPr>
                <w:b w:val="0"/>
                <w:sz w:val="24"/>
                <w:szCs w:val="24"/>
              </w:rPr>
              <w:t>PPE</w:t>
            </w:r>
          </w:p>
        </w:tc>
        <w:tc>
          <w:tcPr>
            <w:cnfStyle w:val="000100000000"/>
            <w:tcW w:w="5570" w:type="dxa"/>
            <w:tcBorders>
              <w:top w:val="none" w:sz="0" w:space="0" w:color="auto"/>
              <w:bottom w:val="none" w:sz="0" w:space="0" w:color="auto"/>
              <w:right w:val="none" w:sz="0" w:space="0" w:color="auto"/>
            </w:tcBorders>
          </w:tcPr>
          <w:p w:rsidR="00742152" w:rsidRPr="007C2D51" w:rsidRDefault="00871863" w:rsidP="00725283">
            <w:pPr>
              <w:rPr>
                <w:b w:val="0"/>
                <w:bCs w:val="0"/>
                <w:sz w:val="24"/>
                <w:szCs w:val="24"/>
              </w:rPr>
            </w:pPr>
            <w:r w:rsidRPr="007C2D51">
              <w:rPr>
                <w:b w:val="0"/>
                <w:sz w:val="24"/>
                <w:szCs w:val="24"/>
              </w:rPr>
              <w:t>Program Performance Evaluation</w:t>
            </w:r>
          </w:p>
        </w:tc>
      </w:tr>
      <w:tr w:rsidR="00CB74E1" w:rsidRPr="007C2D51">
        <w:tc>
          <w:tcPr>
            <w:cnfStyle w:val="001000000000"/>
            <w:tcW w:w="1828" w:type="dxa"/>
          </w:tcPr>
          <w:p w:rsidR="00742152" w:rsidRPr="007C2D51" w:rsidRDefault="00871863" w:rsidP="00725283">
            <w:pPr>
              <w:rPr>
                <w:b w:val="0"/>
                <w:bCs w:val="0"/>
                <w:sz w:val="24"/>
                <w:szCs w:val="24"/>
              </w:rPr>
            </w:pPr>
            <w:r w:rsidRPr="007C2D51">
              <w:rPr>
                <w:b w:val="0"/>
                <w:sz w:val="24"/>
                <w:szCs w:val="24"/>
              </w:rPr>
              <w:t>SAFETEA-LU</w:t>
            </w:r>
          </w:p>
        </w:tc>
        <w:tc>
          <w:tcPr>
            <w:cnfStyle w:val="000100000000"/>
            <w:tcW w:w="5570" w:type="dxa"/>
          </w:tcPr>
          <w:p w:rsidR="00742152" w:rsidRPr="007C2D51" w:rsidRDefault="00871863" w:rsidP="00725283">
            <w:pPr>
              <w:rPr>
                <w:b w:val="0"/>
                <w:bCs w:val="0"/>
                <w:i/>
                <w:color w:val="4F271C" w:themeColor="text2"/>
                <w:sz w:val="24"/>
                <w:szCs w:val="24"/>
              </w:rPr>
            </w:pPr>
            <w:r w:rsidRPr="007C2D51">
              <w:rPr>
                <w:b w:val="0"/>
                <w:sz w:val="24"/>
                <w:szCs w:val="24"/>
              </w:rPr>
              <w:t>Safe, Accountable, Flexible, Efficient Transportation Equity Act: A Legacy for Users</w:t>
            </w:r>
          </w:p>
        </w:tc>
      </w:tr>
      <w:tr w:rsidR="00CB74E1" w:rsidRPr="007C2D51">
        <w:trPr>
          <w:cnfStyle w:val="000000100000"/>
        </w:trPr>
        <w:tc>
          <w:tcPr>
            <w:cnfStyle w:val="001000000000"/>
            <w:tcW w:w="1828" w:type="dxa"/>
            <w:tcBorders>
              <w:top w:val="none" w:sz="0" w:space="0" w:color="auto"/>
              <w:left w:val="none" w:sz="0" w:space="0" w:color="auto"/>
              <w:bottom w:val="none" w:sz="0" w:space="0" w:color="auto"/>
            </w:tcBorders>
          </w:tcPr>
          <w:p w:rsidR="00742152" w:rsidRPr="007C2D51" w:rsidRDefault="00871863" w:rsidP="00725283">
            <w:pPr>
              <w:rPr>
                <w:b w:val="0"/>
                <w:bCs w:val="0"/>
                <w:sz w:val="24"/>
                <w:szCs w:val="24"/>
              </w:rPr>
            </w:pPr>
            <w:r w:rsidRPr="007C2D51">
              <w:rPr>
                <w:b w:val="0"/>
                <w:sz w:val="24"/>
                <w:szCs w:val="24"/>
              </w:rPr>
              <w:t>TEA-21</w:t>
            </w:r>
          </w:p>
        </w:tc>
        <w:tc>
          <w:tcPr>
            <w:cnfStyle w:val="000100000000"/>
            <w:tcW w:w="5570" w:type="dxa"/>
            <w:tcBorders>
              <w:top w:val="none" w:sz="0" w:space="0" w:color="auto"/>
              <w:bottom w:val="none" w:sz="0" w:space="0" w:color="auto"/>
              <w:right w:val="none" w:sz="0" w:space="0" w:color="auto"/>
            </w:tcBorders>
          </w:tcPr>
          <w:p w:rsidR="00742152" w:rsidRPr="007C2D51" w:rsidRDefault="00871863" w:rsidP="00725283">
            <w:pPr>
              <w:rPr>
                <w:b w:val="0"/>
                <w:bCs w:val="0"/>
                <w:sz w:val="24"/>
                <w:szCs w:val="24"/>
              </w:rPr>
            </w:pPr>
            <w:r w:rsidRPr="007C2D51">
              <w:rPr>
                <w:b w:val="0"/>
                <w:sz w:val="24"/>
                <w:szCs w:val="24"/>
              </w:rPr>
              <w:t>Transportation Equity Act for the 21st Century</w:t>
            </w:r>
          </w:p>
        </w:tc>
      </w:tr>
      <w:tr w:rsidR="003F4CA5" w:rsidRPr="007C2D51">
        <w:tc>
          <w:tcPr>
            <w:cnfStyle w:val="001000000000"/>
            <w:tcW w:w="1828" w:type="dxa"/>
          </w:tcPr>
          <w:p w:rsidR="003F4CA5" w:rsidRPr="007C2D51" w:rsidRDefault="003F4CA5" w:rsidP="00725283">
            <w:pPr>
              <w:rPr>
                <w:b w:val="0"/>
                <w:sz w:val="24"/>
                <w:szCs w:val="24"/>
              </w:rPr>
            </w:pPr>
            <w:r w:rsidRPr="007C2D51">
              <w:rPr>
                <w:b w:val="0"/>
                <w:sz w:val="24"/>
                <w:szCs w:val="24"/>
              </w:rPr>
              <w:t>US</w:t>
            </w:r>
          </w:p>
        </w:tc>
        <w:tc>
          <w:tcPr>
            <w:cnfStyle w:val="000100000000"/>
            <w:tcW w:w="5570" w:type="dxa"/>
          </w:tcPr>
          <w:p w:rsidR="003F4CA5" w:rsidRPr="007C2D51" w:rsidRDefault="003F4CA5" w:rsidP="00725283">
            <w:pPr>
              <w:rPr>
                <w:b w:val="0"/>
                <w:sz w:val="24"/>
                <w:szCs w:val="24"/>
              </w:rPr>
            </w:pPr>
            <w:r w:rsidRPr="007C2D51">
              <w:rPr>
                <w:b w:val="0"/>
                <w:sz w:val="24"/>
                <w:szCs w:val="24"/>
              </w:rPr>
              <w:t>United States</w:t>
            </w:r>
          </w:p>
        </w:tc>
      </w:tr>
      <w:tr w:rsidR="00CB74E1" w:rsidRPr="007C2D51">
        <w:trPr>
          <w:cnfStyle w:val="010000000000"/>
        </w:trPr>
        <w:tc>
          <w:tcPr>
            <w:cnfStyle w:val="001000000000"/>
            <w:tcW w:w="1828" w:type="dxa"/>
            <w:tcBorders>
              <w:top w:val="none" w:sz="0" w:space="0" w:color="auto"/>
              <w:left w:val="none" w:sz="0" w:space="0" w:color="auto"/>
              <w:bottom w:val="none" w:sz="0" w:space="0" w:color="auto"/>
            </w:tcBorders>
          </w:tcPr>
          <w:p w:rsidR="00742152" w:rsidRPr="007C2D51" w:rsidRDefault="00871863" w:rsidP="00725283">
            <w:pPr>
              <w:rPr>
                <w:b w:val="0"/>
                <w:bCs w:val="0"/>
                <w:sz w:val="24"/>
                <w:szCs w:val="24"/>
              </w:rPr>
            </w:pPr>
            <w:r w:rsidRPr="007C2D51">
              <w:rPr>
                <w:b w:val="0"/>
                <w:sz w:val="24"/>
                <w:szCs w:val="24"/>
              </w:rPr>
              <w:t>USDOT</w:t>
            </w:r>
          </w:p>
        </w:tc>
        <w:tc>
          <w:tcPr>
            <w:cnfStyle w:val="000100000000"/>
            <w:tcW w:w="5570" w:type="dxa"/>
            <w:tcBorders>
              <w:top w:val="none" w:sz="0" w:space="0" w:color="auto"/>
              <w:bottom w:val="none" w:sz="0" w:space="0" w:color="auto"/>
              <w:right w:val="none" w:sz="0" w:space="0" w:color="auto"/>
            </w:tcBorders>
          </w:tcPr>
          <w:p w:rsidR="00742152" w:rsidRPr="007C2D51" w:rsidRDefault="00FC1555" w:rsidP="00725283">
            <w:pPr>
              <w:rPr>
                <w:b w:val="0"/>
                <w:bCs w:val="0"/>
                <w:sz w:val="24"/>
                <w:szCs w:val="24"/>
              </w:rPr>
            </w:pPr>
            <w:r w:rsidRPr="007C2D51">
              <w:rPr>
                <w:b w:val="0"/>
                <w:sz w:val="24"/>
                <w:szCs w:val="24"/>
              </w:rPr>
              <w:t>United States</w:t>
            </w:r>
            <w:r w:rsidR="00DF026B" w:rsidRPr="007C2D51">
              <w:rPr>
                <w:b w:val="0"/>
                <w:sz w:val="24"/>
                <w:szCs w:val="24"/>
              </w:rPr>
              <w:t xml:space="preserve"> </w:t>
            </w:r>
            <w:r w:rsidR="00871863" w:rsidRPr="007C2D51">
              <w:rPr>
                <w:b w:val="0"/>
                <w:sz w:val="24"/>
                <w:szCs w:val="24"/>
              </w:rPr>
              <w:t>Department of Transportation</w:t>
            </w:r>
          </w:p>
        </w:tc>
      </w:tr>
    </w:tbl>
    <w:p w:rsidR="00DF026B" w:rsidRPr="007C2D51" w:rsidRDefault="00575D3A" w:rsidP="00DF026B">
      <w:pPr>
        <w:pStyle w:val="FrontHeading"/>
      </w:pPr>
      <w:r w:rsidRPr="007C2D51">
        <w:t>Abbreviations</w:t>
      </w:r>
      <w:r w:rsidR="00C6280D" w:rsidRPr="007C2D51">
        <w:rPr>
          <w:rFonts w:eastAsia="Times New Roman" w:cs="Times New Roman"/>
          <w:bCs/>
          <w:iCs/>
        </w:rPr>
        <w:br w:type="page"/>
      </w:r>
      <w:r w:rsidR="00DF026B" w:rsidRPr="007C2D51">
        <w:lastRenderedPageBreak/>
        <w:t>Executive Summary</w:t>
      </w:r>
    </w:p>
    <w:p w:rsidR="00DF026B" w:rsidRPr="007C2D51" w:rsidRDefault="00DF026B" w:rsidP="00DF026B">
      <w:pPr>
        <w:pStyle w:val="BodyText"/>
      </w:pPr>
      <w:r w:rsidRPr="007C2D51">
        <w:t xml:space="preserve">The Job Access Reverse Commute (JARC) </w:t>
      </w:r>
      <w:r w:rsidR="00F94A2C" w:rsidRPr="007C2D51">
        <w:t xml:space="preserve">program </w:t>
      </w:r>
      <w:r w:rsidRPr="007C2D51">
        <w:t xml:space="preserve">was developed to address the unique transportation challenges that welfare recipients and low-income individuals face in finding and keeping jobs.  It also addresses issues related to accessing jobs located in suburban areas, which are difficult to reach from urban and rural areas.  </w:t>
      </w:r>
    </w:p>
    <w:p w:rsidR="00DF026B" w:rsidRPr="007C2D51" w:rsidRDefault="00DF026B" w:rsidP="00DF026B">
      <w:pPr>
        <w:pStyle w:val="BodyText"/>
      </w:pPr>
      <w:r w:rsidRPr="007C2D51">
        <w:t>FTA contracted with Commonwealth Environmental Services, Inc. (CES) and its subcontractor TranSystems to manage data collection and analysis for the FY 20</w:t>
      </w:r>
      <w:r w:rsidR="00AC663D" w:rsidRPr="007C2D51">
        <w:t>10</w:t>
      </w:r>
      <w:r w:rsidRPr="007C2D51">
        <w:t xml:space="preserve"> JARC / New Freedom (NF) Program Performance Evaluation.  Grant recipients submitted reports on JARC- and NF-funded services using a set of online forms.  This report presents findings for the JARC program only.  Findings for the New Freedom program are presented in a separate report.  </w:t>
      </w:r>
    </w:p>
    <w:p w:rsidR="00DF026B" w:rsidRPr="007C2D51" w:rsidRDefault="00DF026B" w:rsidP="00DF026B">
      <w:pPr>
        <w:pStyle w:val="Heading2"/>
      </w:pPr>
      <w:bookmarkStart w:id="4" w:name="_Toc273954528"/>
      <w:bookmarkStart w:id="5" w:name="_Toc304965676"/>
      <w:r w:rsidRPr="007C2D51">
        <w:t>Highlights for FY 20</w:t>
      </w:r>
      <w:bookmarkEnd w:id="4"/>
      <w:r w:rsidR="00AC663D" w:rsidRPr="007C2D51">
        <w:t>10</w:t>
      </w:r>
      <w:bookmarkEnd w:id="5"/>
    </w:p>
    <w:p w:rsidR="00DF026B" w:rsidRPr="007C2D51" w:rsidRDefault="00DF026B" w:rsidP="00DF026B">
      <w:pPr>
        <w:pStyle w:val="BodyText"/>
      </w:pPr>
      <w:r w:rsidRPr="007C2D51">
        <w:t>A total of 1</w:t>
      </w:r>
      <w:r w:rsidR="00AC663D" w:rsidRPr="007C2D51">
        <w:t>8</w:t>
      </w:r>
      <w:r w:rsidR="00A06D32" w:rsidRPr="007C2D51">
        <w:t>8</w:t>
      </w:r>
      <w:r w:rsidRPr="007C2D51">
        <w:t xml:space="preserve"> grant recipients submitted complete reports for </w:t>
      </w:r>
      <w:r w:rsidR="00A06D32" w:rsidRPr="007C2D51">
        <w:t>1,027</w:t>
      </w:r>
      <w:r w:rsidRPr="007C2D51">
        <w:t xml:space="preserve"> JARC-funded services in FY 20</w:t>
      </w:r>
      <w:r w:rsidR="0083105D" w:rsidRPr="007C2D51">
        <w:t>10</w:t>
      </w:r>
      <w:r w:rsidRPr="007C2D51">
        <w:t>.  Key findings include:</w:t>
      </w:r>
    </w:p>
    <w:p w:rsidR="00DF026B" w:rsidRPr="007C2D51" w:rsidRDefault="00DF026B" w:rsidP="00941279">
      <w:pPr>
        <w:pStyle w:val="ListBullet"/>
      </w:pPr>
      <w:r w:rsidRPr="007C2D51">
        <w:t xml:space="preserve">JARC-supported services provided </w:t>
      </w:r>
      <w:r w:rsidR="0083105D" w:rsidRPr="007C2D51">
        <w:t>55.3</w:t>
      </w:r>
      <w:r w:rsidRPr="007C2D51">
        <w:t xml:space="preserve"> million one-way trips.</w:t>
      </w:r>
    </w:p>
    <w:p w:rsidR="00DF026B" w:rsidRPr="007C2D51" w:rsidRDefault="00DF026B" w:rsidP="00941279">
      <w:pPr>
        <w:pStyle w:val="ListBullet"/>
      </w:pPr>
      <w:r w:rsidRPr="007C2D51">
        <w:t>JARC-supported services made 5</w:t>
      </w:r>
      <w:r w:rsidR="00941279" w:rsidRPr="007C2D51">
        <w:t>3.6</w:t>
      </w:r>
      <w:r w:rsidRPr="007C2D51">
        <w:t xml:space="preserve"> million jobs accessible, which included 2</w:t>
      </w:r>
      <w:r w:rsidR="00941279" w:rsidRPr="007C2D51">
        <w:t>6.5</w:t>
      </w:r>
      <w:r w:rsidRPr="007C2D51">
        <w:t xml:space="preserve"> million low-wage jobs.  In addition, </w:t>
      </w:r>
      <w:r w:rsidR="00941279" w:rsidRPr="007C2D51">
        <w:t>15.9</w:t>
      </w:r>
      <w:r w:rsidRPr="007C2D51">
        <w:t xml:space="preserve"> million jobs were likely reached during the service year.  </w:t>
      </w:r>
    </w:p>
    <w:p w:rsidR="00DF026B" w:rsidRPr="007C2D51" w:rsidRDefault="00DF026B" w:rsidP="00DF026B">
      <w:pPr>
        <w:pStyle w:val="ListBullet"/>
      </w:pPr>
      <w:r w:rsidRPr="007C2D51">
        <w:t>Out of the active JARC-funded services, most were trip-based (</w:t>
      </w:r>
      <w:r w:rsidR="0083105D" w:rsidRPr="007C2D51">
        <w:t>79</w:t>
      </w:r>
      <w:r w:rsidRPr="007C2D51">
        <w:t xml:space="preserve">%).  The remaining projects </w:t>
      </w:r>
      <w:r w:rsidR="0083105D" w:rsidRPr="007C2D51">
        <w:t>comprised</w:t>
      </w:r>
      <w:r w:rsidRPr="007C2D51">
        <w:t xml:space="preserve"> information-based </w:t>
      </w:r>
      <w:r w:rsidR="0083105D" w:rsidRPr="007C2D51">
        <w:t xml:space="preserve">programs </w:t>
      </w:r>
      <w:r w:rsidRPr="007C2D51">
        <w:t>(1</w:t>
      </w:r>
      <w:r w:rsidR="0083105D" w:rsidRPr="007C2D51">
        <w:t>2</w:t>
      </w:r>
      <w:r w:rsidRPr="007C2D51">
        <w:t>%)</w:t>
      </w:r>
      <w:r w:rsidR="0083105D" w:rsidRPr="007C2D51">
        <w:t xml:space="preserve">, </w:t>
      </w:r>
      <w:r w:rsidRPr="007C2D51">
        <w:t>capital investment</w:t>
      </w:r>
      <w:r w:rsidR="0083105D" w:rsidRPr="007C2D51">
        <w:t>s</w:t>
      </w:r>
      <w:r w:rsidRPr="007C2D51">
        <w:t xml:space="preserve"> (</w:t>
      </w:r>
      <w:r w:rsidR="0083105D" w:rsidRPr="007C2D51">
        <w:t>8</w:t>
      </w:r>
      <w:r w:rsidRPr="007C2D51">
        <w:t>%)</w:t>
      </w:r>
      <w:r w:rsidR="0083105D" w:rsidRPr="007C2D51">
        <w:t>, and planning studies (1%)</w:t>
      </w:r>
      <w:r w:rsidRPr="007C2D51">
        <w:t xml:space="preserve">.  </w:t>
      </w:r>
    </w:p>
    <w:p w:rsidR="00DF026B" w:rsidRPr="007C2D51" w:rsidRDefault="00DF026B" w:rsidP="00DF026B">
      <w:pPr>
        <w:pStyle w:val="ListBullet"/>
      </w:pPr>
      <w:r w:rsidRPr="007C2D51">
        <w:t xml:space="preserve">Fixed routes accounted for </w:t>
      </w:r>
      <w:r w:rsidR="0083105D" w:rsidRPr="007C2D51">
        <w:t>39</w:t>
      </w:r>
      <w:r w:rsidRPr="007C2D51">
        <w:t xml:space="preserve">% of the JARC services but </w:t>
      </w:r>
      <w:r w:rsidR="0083105D" w:rsidRPr="007C2D51">
        <w:t>86</w:t>
      </w:r>
      <w:r w:rsidRPr="007C2D51">
        <w:t>% of all one-way trips.</w:t>
      </w:r>
    </w:p>
    <w:p w:rsidR="00DF026B" w:rsidRPr="007C2D51" w:rsidRDefault="00D35FA6" w:rsidP="00DF026B">
      <w:pPr>
        <w:pStyle w:val="ListBullet"/>
      </w:pPr>
      <w:r w:rsidRPr="007C2D51">
        <w:t>Demand response was the second most commonly reported service (</w:t>
      </w:r>
      <w:r w:rsidR="00DF026B" w:rsidRPr="007C2D51">
        <w:t>2</w:t>
      </w:r>
      <w:r w:rsidR="00941279" w:rsidRPr="007C2D51">
        <w:t>3</w:t>
      </w:r>
      <w:r w:rsidR="00DF026B" w:rsidRPr="007C2D51">
        <w:t>%</w:t>
      </w:r>
      <w:r w:rsidRPr="007C2D51">
        <w:t>) but</w:t>
      </w:r>
      <w:r w:rsidR="00DF026B" w:rsidRPr="007C2D51">
        <w:t xml:space="preserve"> generated only </w:t>
      </w:r>
      <w:r w:rsidR="00941279" w:rsidRPr="007C2D51">
        <w:t>6</w:t>
      </w:r>
      <w:r w:rsidR="00DF026B" w:rsidRPr="007C2D51">
        <w:t>% of the trips.</w:t>
      </w:r>
    </w:p>
    <w:p w:rsidR="00DF026B" w:rsidRPr="007C2D51" w:rsidRDefault="00D35FA6" w:rsidP="00D35FA6">
      <w:pPr>
        <w:pStyle w:val="ListBullet"/>
      </w:pPr>
      <w:r w:rsidRPr="007C2D51">
        <w:t xml:space="preserve">Just under half of </w:t>
      </w:r>
      <w:r w:rsidR="00DF026B" w:rsidRPr="007C2D51">
        <w:t xml:space="preserve">JARC-supported services operated in </w:t>
      </w:r>
      <w:r w:rsidRPr="007C2D51">
        <w:t xml:space="preserve">large </w:t>
      </w:r>
      <w:r w:rsidR="00DF026B" w:rsidRPr="007C2D51">
        <w:t>urbanized areas</w:t>
      </w:r>
      <w:r w:rsidRPr="007C2D51">
        <w:t xml:space="preserve"> (47%) and 30% could be found in </w:t>
      </w:r>
      <w:r w:rsidR="00DF026B" w:rsidRPr="007C2D51">
        <w:t xml:space="preserve">non-urbanized or rural communities.  </w:t>
      </w:r>
      <w:r w:rsidRPr="007C2D51">
        <w:t>The balance shifts for one-way trips, however. About 82% of trips generated by JARC-supported services were in large urbanized areas and 7% in rural settings.</w:t>
      </w:r>
    </w:p>
    <w:p w:rsidR="00AC637B" w:rsidRPr="007C2D51" w:rsidRDefault="00AC637B" w:rsidP="00AC637B">
      <w:pPr>
        <w:pStyle w:val="ListBullet"/>
      </w:pPr>
      <w:r w:rsidRPr="007C2D51">
        <w:t xml:space="preserve">Mobility managers generated more than 375,000 one-way trips and initiated 347,000 customer contacts.  </w:t>
      </w:r>
    </w:p>
    <w:p w:rsidR="00AC637B" w:rsidRPr="007C2D51" w:rsidRDefault="00AC637B" w:rsidP="00AC637B">
      <w:pPr>
        <w:pStyle w:val="ListBullet"/>
      </w:pPr>
      <w:r w:rsidRPr="007C2D51">
        <w:t xml:space="preserve">Agencies added almost 50 vehicles, which generated more than 112,000 one-way trips.  About 70% of the trips were associated with programs designed to </w:t>
      </w:r>
      <w:r w:rsidRPr="007C2D51">
        <w:rPr>
          <w:i/>
        </w:rPr>
        <w:t>improve access / connections</w:t>
      </w:r>
      <w:r w:rsidRPr="007C2D51">
        <w:t>.</w:t>
      </w:r>
    </w:p>
    <w:p w:rsidR="00AC637B" w:rsidRPr="007C2D51" w:rsidRDefault="00AC637B" w:rsidP="00AC637B">
      <w:pPr>
        <w:pStyle w:val="ListBullet"/>
      </w:pPr>
      <w:r w:rsidRPr="007C2D51">
        <w:t>Grant recipients provided almost 1,700 car loans to individuals, which generated more than 265,000 one-way trips.</w:t>
      </w:r>
    </w:p>
    <w:p w:rsidR="00DF026B" w:rsidRPr="007C2D51" w:rsidRDefault="00DF026B" w:rsidP="00DF026B">
      <w:pPr>
        <w:pStyle w:val="ListBullet"/>
      </w:pPr>
      <w:r w:rsidRPr="007C2D51">
        <w:t xml:space="preserve">The most commonly selected goals were </w:t>
      </w:r>
      <w:r w:rsidRPr="007C2D51">
        <w:rPr>
          <w:i/>
        </w:rPr>
        <w:t>expanded geographic coverage</w:t>
      </w:r>
      <w:r w:rsidRPr="007C2D51">
        <w:t xml:space="preserve"> (3</w:t>
      </w:r>
      <w:r w:rsidR="0083105D" w:rsidRPr="007C2D51">
        <w:t>0</w:t>
      </w:r>
      <w:r w:rsidRPr="007C2D51">
        <w:t xml:space="preserve">%), </w:t>
      </w:r>
      <w:r w:rsidRPr="007C2D51">
        <w:rPr>
          <w:i/>
        </w:rPr>
        <w:t>improved access/connections</w:t>
      </w:r>
      <w:r w:rsidRPr="007C2D51">
        <w:t xml:space="preserve"> (</w:t>
      </w:r>
      <w:r w:rsidR="005B35CC" w:rsidRPr="007C2D51">
        <w:t>30</w:t>
      </w:r>
      <w:r w:rsidRPr="007C2D51">
        <w:t xml:space="preserve">%), and </w:t>
      </w:r>
      <w:r w:rsidRPr="007C2D51">
        <w:rPr>
          <w:i/>
        </w:rPr>
        <w:t xml:space="preserve">extended service hours or days </w:t>
      </w:r>
      <w:r w:rsidRPr="007C2D51">
        <w:t>(2</w:t>
      </w:r>
      <w:r w:rsidR="005B35CC" w:rsidRPr="007C2D51">
        <w:t>1</w:t>
      </w:r>
      <w:r w:rsidRPr="007C2D51">
        <w:t xml:space="preserve">%).  </w:t>
      </w:r>
    </w:p>
    <w:p w:rsidR="00DF026B" w:rsidRPr="007C2D51" w:rsidRDefault="00DF026B" w:rsidP="00DF026B">
      <w:pPr>
        <w:pStyle w:val="Heading2"/>
      </w:pPr>
      <w:bookmarkStart w:id="6" w:name="_Toc273954529"/>
      <w:bookmarkStart w:id="7" w:name="_Toc304965677"/>
      <w:r w:rsidRPr="007C2D51">
        <w:t>Program Performance Measures</w:t>
      </w:r>
      <w:bookmarkEnd w:id="6"/>
      <w:bookmarkEnd w:id="7"/>
    </w:p>
    <w:p w:rsidR="00DF026B" w:rsidRPr="007C2D51" w:rsidRDefault="00DF026B" w:rsidP="00DF026B">
      <w:pPr>
        <w:pStyle w:val="BodyText"/>
      </w:pPr>
      <w:r w:rsidRPr="007C2D51">
        <w:t>FTA has established two key performance measures for JARC program:</w:t>
      </w:r>
    </w:p>
    <w:p w:rsidR="00DF026B" w:rsidRPr="007C2D51" w:rsidRDefault="00DF026B" w:rsidP="00DF026B">
      <w:pPr>
        <w:pStyle w:val="ListBullet"/>
      </w:pPr>
      <w:r w:rsidRPr="007C2D51">
        <w:lastRenderedPageBreak/>
        <w:t xml:space="preserve">One-way trips provided </w:t>
      </w:r>
    </w:p>
    <w:p w:rsidR="00DF026B" w:rsidRPr="007C2D51" w:rsidRDefault="00DF026B" w:rsidP="00DF026B">
      <w:pPr>
        <w:pStyle w:val="ListBullet"/>
      </w:pPr>
      <w:r w:rsidRPr="007C2D51">
        <w:t>Jobs accessed</w:t>
      </w:r>
    </w:p>
    <w:p w:rsidR="00DF026B" w:rsidRPr="007C2D51" w:rsidRDefault="00DF026B" w:rsidP="00DF026B">
      <w:pPr>
        <w:pStyle w:val="BodyText"/>
        <w:rPr>
          <w:rFonts w:eastAsiaTheme="minorHAnsi"/>
        </w:rPr>
      </w:pPr>
      <w:r w:rsidRPr="007C2D51">
        <w:rPr>
          <w:rFonts w:eastAsiaTheme="minorHAnsi"/>
        </w:rPr>
        <w:t xml:space="preserve">The majority of JARC-funded programs can report one or both of these measures.  However, JARC grants also support programs like one-stop centers and vehicle loan programs that provide indirect benefits.  To ensure that these programs are represented in the overall analysis, FTA established a protocol for reporting on JARC and, later, New Freedom services.  With the assistance of the JARC / NF Advisory Committee, which includes representatives from transit agencies, metropolitan planning organizations, and state DOTs, the consultant team developed a reporting matrix for capturing relevant information about the range of JARC and NF services. </w:t>
      </w:r>
    </w:p>
    <w:p w:rsidR="00DF026B" w:rsidRPr="007C2D51" w:rsidRDefault="00DF026B" w:rsidP="00DF026B">
      <w:pPr>
        <w:pStyle w:val="BodyText"/>
      </w:pPr>
      <w:r w:rsidRPr="007C2D51">
        <w:t xml:space="preserve">The matrix asks grant recipients to categorize their programs based on two criteria: project type and primary project goal.  Project types fall into </w:t>
      </w:r>
      <w:r w:rsidR="005B35CC" w:rsidRPr="007C2D51">
        <w:t>four</w:t>
      </w:r>
      <w:r w:rsidRPr="007C2D51">
        <w:t xml:space="preserve"> categories: </w:t>
      </w:r>
    </w:p>
    <w:p w:rsidR="00DF026B" w:rsidRPr="007C2D51" w:rsidRDefault="00DF026B" w:rsidP="00DF026B">
      <w:pPr>
        <w:pStyle w:val="ListBullet"/>
      </w:pPr>
      <w:r w:rsidRPr="007C2D51">
        <w:rPr>
          <w:b/>
        </w:rPr>
        <w:t>Trip-based services</w:t>
      </w:r>
      <w:r w:rsidRPr="007C2D51">
        <w:t>, which provide transportation directly to individuals.</w:t>
      </w:r>
    </w:p>
    <w:p w:rsidR="00DF026B" w:rsidRPr="007C2D51" w:rsidRDefault="00DF026B" w:rsidP="00DF026B">
      <w:pPr>
        <w:pStyle w:val="ListBullet"/>
      </w:pPr>
      <w:r w:rsidRPr="007C2D51">
        <w:rPr>
          <w:b/>
        </w:rPr>
        <w:t>Information-based services</w:t>
      </w:r>
      <w:r w:rsidRPr="007C2D51">
        <w:t>, which provide information about transportation services to individuals but do not provide direct transportation services.</w:t>
      </w:r>
    </w:p>
    <w:p w:rsidR="00DF026B" w:rsidRPr="007C2D51" w:rsidRDefault="00DF026B" w:rsidP="00DF026B">
      <w:pPr>
        <w:pStyle w:val="ListBullet"/>
      </w:pPr>
      <w:r w:rsidRPr="007C2D51">
        <w:rPr>
          <w:b/>
        </w:rPr>
        <w:t>Capital investment projects</w:t>
      </w:r>
      <w:r w:rsidRPr="007C2D51">
        <w:t xml:space="preserve">, which include facilities and infrastructure to support transportation services.  </w:t>
      </w:r>
    </w:p>
    <w:p w:rsidR="005B35CC" w:rsidRPr="007C2D51" w:rsidRDefault="005B35CC" w:rsidP="00DF026B">
      <w:pPr>
        <w:pStyle w:val="ListBullet"/>
      </w:pPr>
      <w:r w:rsidRPr="007C2D51">
        <w:rPr>
          <w:b/>
        </w:rPr>
        <w:t>Planning studies,</w:t>
      </w:r>
      <w:r w:rsidRPr="007C2D51">
        <w:t xml:space="preserve"> which include feasibility studies.</w:t>
      </w:r>
    </w:p>
    <w:p w:rsidR="00DF026B" w:rsidRPr="007C2D51" w:rsidRDefault="00DF026B" w:rsidP="00DF026B">
      <w:pPr>
        <w:pStyle w:val="BodyText"/>
      </w:pPr>
      <w:r w:rsidRPr="007C2D51">
        <w:t xml:space="preserve">In keeping with Federal reporting requirements, the five primary program goals are: </w:t>
      </w:r>
    </w:p>
    <w:p w:rsidR="00DF026B" w:rsidRPr="007C2D51" w:rsidRDefault="00DF026B" w:rsidP="00DF026B">
      <w:pPr>
        <w:pStyle w:val="ListBullet"/>
      </w:pPr>
      <w:r w:rsidRPr="007C2D51">
        <w:t>Expanded geographic coverage</w:t>
      </w:r>
    </w:p>
    <w:p w:rsidR="00DF026B" w:rsidRPr="007C2D51" w:rsidRDefault="00DF026B" w:rsidP="00DF026B">
      <w:pPr>
        <w:pStyle w:val="ListBullet"/>
      </w:pPr>
      <w:r w:rsidRPr="007C2D51">
        <w:t>Extended service hours or days</w:t>
      </w:r>
    </w:p>
    <w:p w:rsidR="00DF026B" w:rsidRPr="007C2D51" w:rsidRDefault="00DF026B" w:rsidP="00DF026B">
      <w:pPr>
        <w:pStyle w:val="ListBullet"/>
      </w:pPr>
      <w:r w:rsidRPr="007C2D51">
        <w:t>Improved system capacity</w:t>
      </w:r>
    </w:p>
    <w:p w:rsidR="00DF026B" w:rsidRPr="007C2D51" w:rsidRDefault="00DF026B" w:rsidP="00DF026B">
      <w:pPr>
        <w:pStyle w:val="ListBullet"/>
      </w:pPr>
      <w:r w:rsidRPr="007C2D51">
        <w:t>Improved access/connections</w:t>
      </w:r>
    </w:p>
    <w:p w:rsidR="00DF026B" w:rsidRPr="007C2D51" w:rsidRDefault="00DF026B" w:rsidP="00DF026B">
      <w:pPr>
        <w:pStyle w:val="ListBullet"/>
      </w:pPr>
      <w:r w:rsidRPr="007C2D51">
        <w:t>Improved customer knowledge</w:t>
      </w:r>
    </w:p>
    <w:p w:rsidR="00DF026B" w:rsidRPr="007C2D51" w:rsidRDefault="008029EB" w:rsidP="00DF026B">
      <w:pPr>
        <w:pStyle w:val="BodyText"/>
      </w:pPr>
      <w:r w:rsidRPr="007C2D51">
        <w:t xml:space="preserve">After selecting the combination of service type and primary goal that best described their program, grant recipients were asked to report service output measures. </w:t>
      </w:r>
      <w:r w:rsidR="00DF026B" w:rsidRPr="007C2D51">
        <w:t xml:space="preserve"> The output measures </w:t>
      </w:r>
      <w:r w:rsidRPr="007C2D51">
        <w:t>varied with program type. For example, they included the n</w:t>
      </w:r>
      <w:r w:rsidR="00DF026B" w:rsidRPr="007C2D51">
        <w:t xml:space="preserve">umber of one-way trips for trip-based programs, the number of customer contacts for information-based services, and the number of units provided for capital investment projects.  In some cases, grantees </w:t>
      </w:r>
      <w:r w:rsidRPr="007C2D51">
        <w:t>we</w:t>
      </w:r>
      <w:r w:rsidR="00DF026B" w:rsidRPr="007C2D51">
        <w:t>re asked to report descriptive information.</w:t>
      </w:r>
    </w:p>
    <w:p w:rsidR="00DF026B" w:rsidRPr="007C2D51" w:rsidRDefault="00DF026B" w:rsidP="00DF026B">
      <w:pPr>
        <w:pStyle w:val="BodyText"/>
      </w:pPr>
      <w:r w:rsidRPr="007C2D51">
        <w:t xml:space="preserve">While the numbers associated with non-trip-based services like mobility managers and vehicle-loan programs are small in relation to one-way trips and jobs accessed, they represent very real mobility benefits at a local level.  The matrix approach enables FTA </w:t>
      </w:r>
      <w:r w:rsidR="00130BF3" w:rsidRPr="007C2D51">
        <w:t>t</w:t>
      </w:r>
      <w:r w:rsidRPr="007C2D51">
        <w:t xml:space="preserve">o capture this information and ensure that the benefits of these non-traditional programs are not overshadowed by the measures of one-way trips and jobs accessed.  </w:t>
      </w:r>
    </w:p>
    <w:p w:rsidR="00DF026B" w:rsidRPr="007C2D51" w:rsidRDefault="00DF026B" w:rsidP="00DF026B">
      <w:pPr>
        <w:pStyle w:val="Heading2"/>
      </w:pPr>
      <w:bookmarkStart w:id="8" w:name="_Toc273954530"/>
      <w:bookmarkStart w:id="9" w:name="_Toc304965678"/>
      <w:r w:rsidRPr="007C2D51">
        <w:t>Service Profiles</w:t>
      </w:r>
      <w:bookmarkEnd w:id="8"/>
      <w:bookmarkEnd w:id="9"/>
    </w:p>
    <w:p w:rsidR="00DF026B" w:rsidRPr="007C2D51" w:rsidRDefault="00DF026B" w:rsidP="00DF026B">
      <w:pPr>
        <w:pStyle w:val="BodyText"/>
      </w:pPr>
      <w:r w:rsidRPr="007C2D51">
        <w:t xml:space="preserve">Finally, FTA continued to collect program profiles, or summaries, for each JARC service.  While ridership and jobs-accessed statistics allow FTA to provide a national summary of the JARC </w:t>
      </w:r>
      <w:r w:rsidRPr="007C2D51">
        <w:lastRenderedPageBreak/>
        <w:t xml:space="preserve">program, the profiles allow the grantees to convey the benefits of the program at the local level.  These qualitative descriptions complement the data collection and provide an additional avenue for understanding the impacts and benefits of both grant programs.  </w:t>
      </w:r>
    </w:p>
    <w:p w:rsidR="00DF026B" w:rsidRPr="007C2D51" w:rsidRDefault="00DF026B" w:rsidP="00DF026B">
      <w:pPr>
        <w:pStyle w:val="BodyText"/>
      </w:pPr>
      <w:r w:rsidRPr="007C2D51">
        <w:t>The profiles provide a rich source of detailed information about the JARC program and are provided in their entirety under separate cover.  For convenience, they are organized in 10 separate documents based on the FTA regions.  In addition, relevant excerpts have been incorporated throughout this summary report.  As the program profiles made abundantly clear, the JARC program connects with riders and customers on a human scale.</w:t>
      </w:r>
    </w:p>
    <w:p w:rsidR="00DF026B" w:rsidRPr="007C2D51" w:rsidRDefault="00DF026B" w:rsidP="00546599">
      <w:pPr>
        <w:pStyle w:val="BodyText"/>
      </w:pPr>
      <w:r w:rsidRPr="007C2D51">
        <w:br w:type="page"/>
      </w:r>
    </w:p>
    <w:p w:rsidR="0065664D" w:rsidRPr="007C2D51" w:rsidRDefault="0065664D" w:rsidP="00BE3A28">
      <w:pPr>
        <w:pStyle w:val="FrontHeading"/>
      </w:pPr>
      <w:r w:rsidRPr="007C2D51">
        <w:rPr>
          <w:rStyle w:val="AppendixChar"/>
        </w:rPr>
        <w:lastRenderedPageBreak/>
        <w:t>Table of Contents</w:t>
      </w:r>
    </w:p>
    <w:p w:rsidR="004E7755" w:rsidRPr="007C2D51" w:rsidRDefault="00022E2F" w:rsidP="004E7755">
      <w:pPr>
        <w:pStyle w:val="TOC2"/>
        <w:rPr>
          <w:sz w:val="22"/>
          <w:szCs w:val="22"/>
          <w:lang w:eastAsia="en-US"/>
        </w:rPr>
      </w:pPr>
      <w:r w:rsidRPr="007C2D51">
        <w:rPr>
          <w:noProof w:val="0"/>
        </w:rPr>
        <w:fldChar w:fldCharType="begin"/>
      </w:r>
      <w:r w:rsidR="00E3627A" w:rsidRPr="007C2D51">
        <w:rPr>
          <w:noProof w:val="0"/>
        </w:rPr>
        <w:instrText xml:space="preserve"> TOC \h \z \t "Heading 1,1,Heading 2,2" </w:instrText>
      </w:r>
      <w:r w:rsidRPr="007C2D51">
        <w:rPr>
          <w:noProof w:val="0"/>
        </w:rPr>
        <w:fldChar w:fldCharType="separate"/>
      </w:r>
    </w:p>
    <w:p w:rsidR="00910FBA" w:rsidRDefault="00910FBA">
      <w:pPr>
        <w:pStyle w:val="TOC1"/>
      </w:pPr>
      <w:r>
        <w:t>Executive Summary</w:t>
      </w:r>
      <w:r>
        <w:tab/>
        <w:t>i</w:t>
      </w:r>
      <w:r w:rsidR="006D677C">
        <w:t>v</w:t>
      </w:r>
    </w:p>
    <w:p w:rsidR="004E7755" w:rsidRPr="007C2D51" w:rsidRDefault="00022E2F">
      <w:pPr>
        <w:pStyle w:val="TOC1"/>
        <w:rPr>
          <w:sz w:val="22"/>
          <w:szCs w:val="22"/>
          <w:lang w:eastAsia="en-US"/>
        </w:rPr>
      </w:pPr>
      <w:hyperlink w:anchor="_Toc304965679" w:history="1">
        <w:r w:rsidR="004E7755" w:rsidRPr="007C2D51">
          <w:rPr>
            <w:rStyle w:val="Hyperlink"/>
            <w:rFonts w:cs="Times New Roman"/>
            <w:snapToGrid w:val="0"/>
            <w:w w:val="0"/>
          </w:rPr>
          <w:t>Chapter 1:</w:t>
        </w:r>
        <w:r w:rsidR="004E7755" w:rsidRPr="007C2D51">
          <w:rPr>
            <w:sz w:val="22"/>
            <w:szCs w:val="22"/>
            <w:lang w:eastAsia="en-US"/>
          </w:rPr>
          <w:tab/>
        </w:r>
        <w:r w:rsidR="004E7755" w:rsidRPr="007C2D51">
          <w:rPr>
            <w:rStyle w:val="Hyperlink"/>
          </w:rPr>
          <w:t>Introduction</w:t>
        </w:r>
        <w:r w:rsidR="004E7755" w:rsidRPr="007C2D51">
          <w:rPr>
            <w:webHidden/>
          </w:rPr>
          <w:tab/>
        </w:r>
        <w:r w:rsidRPr="007C2D51">
          <w:rPr>
            <w:webHidden/>
          </w:rPr>
          <w:fldChar w:fldCharType="begin"/>
        </w:r>
        <w:r w:rsidR="004E7755" w:rsidRPr="007C2D51">
          <w:rPr>
            <w:webHidden/>
          </w:rPr>
          <w:instrText xml:space="preserve"> PAGEREF _Toc304965679 \h </w:instrText>
        </w:r>
        <w:r w:rsidRPr="007C2D51">
          <w:rPr>
            <w:webHidden/>
          </w:rPr>
        </w:r>
        <w:r w:rsidRPr="007C2D51">
          <w:rPr>
            <w:webHidden/>
          </w:rPr>
          <w:fldChar w:fldCharType="separate"/>
        </w:r>
        <w:r w:rsidR="00910FBA">
          <w:rPr>
            <w:webHidden/>
          </w:rPr>
          <w:t>1</w:t>
        </w:r>
        <w:r w:rsidRPr="007C2D51">
          <w:rPr>
            <w:webHidden/>
          </w:rPr>
          <w:fldChar w:fldCharType="end"/>
        </w:r>
      </w:hyperlink>
    </w:p>
    <w:p w:rsidR="004E7755" w:rsidRPr="007C2D51" w:rsidRDefault="00022E2F">
      <w:pPr>
        <w:pStyle w:val="TOC2"/>
        <w:rPr>
          <w:sz w:val="22"/>
          <w:szCs w:val="22"/>
          <w:lang w:eastAsia="en-US"/>
        </w:rPr>
      </w:pPr>
      <w:hyperlink w:anchor="_Toc304965680" w:history="1">
        <w:r w:rsidR="004E7755" w:rsidRPr="007C2D51">
          <w:rPr>
            <w:rStyle w:val="Hyperlink"/>
          </w:rPr>
          <w:t>JARC Program Performance Evaluation</w:t>
        </w:r>
        <w:r w:rsidR="004E7755" w:rsidRPr="007C2D51">
          <w:rPr>
            <w:webHidden/>
          </w:rPr>
          <w:tab/>
        </w:r>
        <w:r w:rsidRPr="007C2D51">
          <w:rPr>
            <w:webHidden/>
          </w:rPr>
          <w:fldChar w:fldCharType="begin"/>
        </w:r>
        <w:r w:rsidR="004E7755" w:rsidRPr="007C2D51">
          <w:rPr>
            <w:webHidden/>
          </w:rPr>
          <w:instrText xml:space="preserve"> PAGEREF _Toc304965680 \h </w:instrText>
        </w:r>
        <w:r w:rsidRPr="007C2D51">
          <w:rPr>
            <w:webHidden/>
          </w:rPr>
        </w:r>
        <w:r w:rsidRPr="007C2D51">
          <w:rPr>
            <w:webHidden/>
          </w:rPr>
          <w:fldChar w:fldCharType="separate"/>
        </w:r>
        <w:r w:rsidR="00910FBA">
          <w:rPr>
            <w:webHidden/>
          </w:rPr>
          <w:t>2</w:t>
        </w:r>
        <w:r w:rsidRPr="007C2D51">
          <w:rPr>
            <w:webHidden/>
          </w:rPr>
          <w:fldChar w:fldCharType="end"/>
        </w:r>
      </w:hyperlink>
    </w:p>
    <w:p w:rsidR="004E7755" w:rsidRPr="007C2D51" w:rsidRDefault="00022E2F">
      <w:pPr>
        <w:pStyle w:val="TOC2"/>
        <w:rPr>
          <w:sz w:val="22"/>
          <w:szCs w:val="22"/>
          <w:lang w:eastAsia="en-US"/>
        </w:rPr>
      </w:pPr>
      <w:hyperlink w:anchor="_Toc304965681" w:history="1">
        <w:r w:rsidR="004E7755" w:rsidRPr="007C2D51">
          <w:rPr>
            <w:rStyle w:val="Hyperlink"/>
          </w:rPr>
          <w:t>Summary of FY 2010 Analysis</w:t>
        </w:r>
        <w:r w:rsidR="004E7755" w:rsidRPr="007C2D51">
          <w:rPr>
            <w:webHidden/>
          </w:rPr>
          <w:tab/>
        </w:r>
        <w:r w:rsidRPr="007C2D51">
          <w:rPr>
            <w:webHidden/>
          </w:rPr>
          <w:fldChar w:fldCharType="begin"/>
        </w:r>
        <w:r w:rsidR="004E7755" w:rsidRPr="007C2D51">
          <w:rPr>
            <w:webHidden/>
          </w:rPr>
          <w:instrText xml:space="preserve"> PAGEREF _Toc304965681 \h </w:instrText>
        </w:r>
        <w:r w:rsidRPr="007C2D51">
          <w:rPr>
            <w:webHidden/>
          </w:rPr>
        </w:r>
        <w:r w:rsidRPr="007C2D51">
          <w:rPr>
            <w:webHidden/>
          </w:rPr>
          <w:fldChar w:fldCharType="separate"/>
        </w:r>
        <w:r w:rsidR="00910FBA">
          <w:rPr>
            <w:webHidden/>
          </w:rPr>
          <w:t>4</w:t>
        </w:r>
        <w:r w:rsidRPr="007C2D51">
          <w:rPr>
            <w:webHidden/>
          </w:rPr>
          <w:fldChar w:fldCharType="end"/>
        </w:r>
      </w:hyperlink>
    </w:p>
    <w:p w:rsidR="004E7755" w:rsidRPr="007C2D51" w:rsidRDefault="00022E2F">
      <w:pPr>
        <w:pStyle w:val="TOC2"/>
        <w:rPr>
          <w:sz w:val="22"/>
          <w:szCs w:val="22"/>
          <w:lang w:eastAsia="en-US"/>
        </w:rPr>
      </w:pPr>
      <w:hyperlink w:anchor="_Toc304965682" w:history="1">
        <w:r w:rsidR="004E7755" w:rsidRPr="007C2D51">
          <w:rPr>
            <w:rStyle w:val="Hyperlink"/>
          </w:rPr>
          <w:t>Document Overview</w:t>
        </w:r>
        <w:r w:rsidR="004E7755" w:rsidRPr="007C2D51">
          <w:rPr>
            <w:webHidden/>
          </w:rPr>
          <w:tab/>
        </w:r>
        <w:r w:rsidRPr="007C2D51">
          <w:rPr>
            <w:webHidden/>
          </w:rPr>
          <w:fldChar w:fldCharType="begin"/>
        </w:r>
        <w:r w:rsidR="004E7755" w:rsidRPr="007C2D51">
          <w:rPr>
            <w:webHidden/>
          </w:rPr>
          <w:instrText xml:space="preserve"> PAGEREF _Toc304965682 \h </w:instrText>
        </w:r>
        <w:r w:rsidRPr="007C2D51">
          <w:rPr>
            <w:webHidden/>
          </w:rPr>
        </w:r>
        <w:r w:rsidRPr="007C2D51">
          <w:rPr>
            <w:webHidden/>
          </w:rPr>
          <w:fldChar w:fldCharType="separate"/>
        </w:r>
        <w:r w:rsidR="00910FBA">
          <w:rPr>
            <w:webHidden/>
          </w:rPr>
          <w:t>7</w:t>
        </w:r>
        <w:r w:rsidRPr="007C2D51">
          <w:rPr>
            <w:webHidden/>
          </w:rPr>
          <w:fldChar w:fldCharType="end"/>
        </w:r>
      </w:hyperlink>
    </w:p>
    <w:p w:rsidR="004E7755" w:rsidRPr="007C2D51" w:rsidRDefault="00022E2F">
      <w:pPr>
        <w:pStyle w:val="TOC1"/>
        <w:rPr>
          <w:sz w:val="22"/>
          <w:szCs w:val="22"/>
          <w:lang w:eastAsia="en-US"/>
        </w:rPr>
      </w:pPr>
      <w:hyperlink w:anchor="_Toc304965683" w:history="1">
        <w:r w:rsidR="004E7755" w:rsidRPr="007C2D51">
          <w:rPr>
            <w:rStyle w:val="Hyperlink"/>
            <w:rFonts w:cs="Times New Roman"/>
            <w:snapToGrid w:val="0"/>
            <w:w w:val="0"/>
          </w:rPr>
          <w:t>Chapter 2:</w:t>
        </w:r>
        <w:r w:rsidR="004E7755" w:rsidRPr="007C2D51">
          <w:rPr>
            <w:sz w:val="22"/>
            <w:szCs w:val="22"/>
            <w:lang w:eastAsia="en-US"/>
          </w:rPr>
          <w:tab/>
        </w:r>
        <w:r w:rsidR="004E7755" w:rsidRPr="007C2D51">
          <w:rPr>
            <w:rStyle w:val="Hyperlink"/>
          </w:rPr>
          <w:t>Data Collection</w:t>
        </w:r>
        <w:r w:rsidR="004E7755" w:rsidRPr="007C2D51">
          <w:rPr>
            <w:webHidden/>
          </w:rPr>
          <w:tab/>
        </w:r>
        <w:r w:rsidRPr="007C2D51">
          <w:rPr>
            <w:webHidden/>
          </w:rPr>
          <w:fldChar w:fldCharType="begin"/>
        </w:r>
        <w:r w:rsidR="004E7755" w:rsidRPr="007C2D51">
          <w:rPr>
            <w:webHidden/>
          </w:rPr>
          <w:instrText xml:space="preserve"> PAGEREF _Toc304965683 \h </w:instrText>
        </w:r>
        <w:r w:rsidRPr="007C2D51">
          <w:rPr>
            <w:webHidden/>
          </w:rPr>
        </w:r>
        <w:r w:rsidRPr="007C2D51">
          <w:rPr>
            <w:webHidden/>
          </w:rPr>
          <w:fldChar w:fldCharType="separate"/>
        </w:r>
        <w:r w:rsidR="00910FBA">
          <w:rPr>
            <w:webHidden/>
          </w:rPr>
          <w:t>8</w:t>
        </w:r>
        <w:r w:rsidRPr="007C2D51">
          <w:rPr>
            <w:webHidden/>
          </w:rPr>
          <w:fldChar w:fldCharType="end"/>
        </w:r>
      </w:hyperlink>
    </w:p>
    <w:p w:rsidR="004E7755" w:rsidRPr="007C2D51" w:rsidRDefault="00022E2F">
      <w:pPr>
        <w:pStyle w:val="TOC2"/>
        <w:rPr>
          <w:sz w:val="22"/>
          <w:szCs w:val="22"/>
          <w:lang w:eastAsia="en-US"/>
        </w:rPr>
      </w:pPr>
      <w:hyperlink w:anchor="_Toc304965684" w:history="1">
        <w:r w:rsidR="004E7755" w:rsidRPr="007C2D51">
          <w:rPr>
            <w:rStyle w:val="Hyperlink"/>
          </w:rPr>
          <w:t>Reporting Universe</w:t>
        </w:r>
        <w:r w:rsidR="004E7755" w:rsidRPr="007C2D51">
          <w:rPr>
            <w:webHidden/>
          </w:rPr>
          <w:tab/>
        </w:r>
        <w:r w:rsidRPr="007C2D51">
          <w:rPr>
            <w:webHidden/>
          </w:rPr>
          <w:fldChar w:fldCharType="begin"/>
        </w:r>
        <w:r w:rsidR="004E7755" w:rsidRPr="007C2D51">
          <w:rPr>
            <w:webHidden/>
          </w:rPr>
          <w:instrText xml:space="preserve"> PAGEREF _Toc304965684 \h </w:instrText>
        </w:r>
        <w:r w:rsidRPr="007C2D51">
          <w:rPr>
            <w:webHidden/>
          </w:rPr>
        </w:r>
        <w:r w:rsidRPr="007C2D51">
          <w:rPr>
            <w:webHidden/>
          </w:rPr>
          <w:fldChar w:fldCharType="separate"/>
        </w:r>
        <w:r w:rsidR="00910FBA">
          <w:rPr>
            <w:webHidden/>
          </w:rPr>
          <w:t>8</w:t>
        </w:r>
        <w:r w:rsidRPr="007C2D51">
          <w:rPr>
            <w:webHidden/>
          </w:rPr>
          <w:fldChar w:fldCharType="end"/>
        </w:r>
      </w:hyperlink>
    </w:p>
    <w:p w:rsidR="004E7755" w:rsidRPr="007C2D51" w:rsidRDefault="00022E2F">
      <w:pPr>
        <w:pStyle w:val="TOC2"/>
        <w:rPr>
          <w:sz w:val="22"/>
          <w:szCs w:val="22"/>
          <w:lang w:eastAsia="en-US"/>
        </w:rPr>
      </w:pPr>
      <w:hyperlink w:anchor="_Toc304965685" w:history="1">
        <w:r w:rsidR="004E7755" w:rsidRPr="007C2D51">
          <w:rPr>
            <w:rStyle w:val="Hyperlink"/>
          </w:rPr>
          <w:t>Recipient Outreach, Tracking, and Follow Up</w:t>
        </w:r>
        <w:r w:rsidR="004E7755" w:rsidRPr="007C2D51">
          <w:rPr>
            <w:webHidden/>
          </w:rPr>
          <w:tab/>
        </w:r>
        <w:r w:rsidRPr="007C2D51">
          <w:rPr>
            <w:webHidden/>
          </w:rPr>
          <w:fldChar w:fldCharType="begin"/>
        </w:r>
        <w:r w:rsidR="004E7755" w:rsidRPr="007C2D51">
          <w:rPr>
            <w:webHidden/>
          </w:rPr>
          <w:instrText xml:space="preserve"> PAGEREF _Toc304965685 \h </w:instrText>
        </w:r>
        <w:r w:rsidRPr="007C2D51">
          <w:rPr>
            <w:webHidden/>
          </w:rPr>
        </w:r>
        <w:r w:rsidRPr="007C2D51">
          <w:rPr>
            <w:webHidden/>
          </w:rPr>
          <w:fldChar w:fldCharType="separate"/>
        </w:r>
        <w:r w:rsidR="00910FBA">
          <w:rPr>
            <w:webHidden/>
          </w:rPr>
          <w:t>9</w:t>
        </w:r>
        <w:r w:rsidRPr="007C2D51">
          <w:rPr>
            <w:webHidden/>
          </w:rPr>
          <w:fldChar w:fldCharType="end"/>
        </w:r>
      </w:hyperlink>
    </w:p>
    <w:p w:rsidR="004E7755" w:rsidRPr="007C2D51" w:rsidRDefault="00022E2F">
      <w:pPr>
        <w:pStyle w:val="TOC2"/>
        <w:rPr>
          <w:sz w:val="22"/>
          <w:szCs w:val="22"/>
          <w:lang w:eastAsia="en-US"/>
        </w:rPr>
      </w:pPr>
      <w:hyperlink w:anchor="_Toc304965686" w:history="1">
        <w:r w:rsidR="004E7755" w:rsidRPr="007C2D51">
          <w:rPr>
            <w:rStyle w:val="Hyperlink"/>
          </w:rPr>
          <w:t>Technical Assistance</w:t>
        </w:r>
        <w:r w:rsidR="004E7755" w:rsidRPr="007C2D51">
          <w:rPr>
            <w:webHidden/>
          </w:rPr>
          <w:tab/>
        </w:r>
        <w:r w:rsidRPr="007C2D51">
          <w:rPr>
            <w:webHidden/>
          </w:rPr>
          <w:fldChar w:fldCharType="begin"/>
        </w:r>
        <w:r w:rsidR="004E7755" w:rsidRPr="007C2D51">
          <w:rPr>
            <w:webHidden/>
          </w:rPr>
          <w:instrText xml:space="preserve"> PAGEREF _Toc304965686 \h </w:instrText>
        </w:r>
        <w:r w:rsidRPr="007C2D51">
          <w:rPr>
            <w:webHidden/>
          </w:rPr>
        </w:r>
        <w:r w:rsidRPr="007C2D51">
          <w:rPr>
            <w:webHidden/>
          </w:rPr>
          <w:fldChar w:fldCharType="separate"/>
        </w:r>
        <w:r w:rsidR="00910FBA">
          <w:rPr>
            <w:webHidden/>
          </w:rPr>
          <w:t>11</w:t>
        </w:r>
        <w:r w:rsidRPr="007C2D51">
          <w:rPr>
            <w:webHidden/>
          </w:rPr>
          <w:fldChar w:fldCharType="end"/>
        </w:r>
      </w:hyperlink>
    </w:p>
    <w:p w:rsidR="004E7755" w:rsidRPr="007C2D51" w:rsidRDefault="00022E2F">
      <w:pPr>
        <w:pStyle w:val="TOC2"/>
        <w:rPr>
          <w:sz w:val="22"/>
          <w:szCs w:val="22"/>
          <w:lang w:eastAsia="en-US"/>
        </w:rPr>
      </w:pPr>
      <w:hyperlink w:anchor="_Toc304965687" w:history="1">
        <w:r w:rsidR="004E7755" w:rsidRPr="007C2D51">
          <w:rPr>
            <w:rStyle w:val="Hyperlink"/>
          </w:rPr>
          <w:t>Overview of Online Technology and Changes</w:t>
        </w:r>
        <w:r w:rsidR="004E7755" w:rsidRPr="007C2D51">
          <w:rPr>
            <w:webHidden/>
          </w:rPr>
          <w:tab/>
        </w:r>
        <w:r w:rsidRPr="007C2D51">
          <w:rPr>
            <w:webHidden/>
          </w:rPr>
          <w:fldChar w:fldCharType="begin"/>
        </w:r>
        <w:r w:rsidR="004E7755" w:rsidRPr="007C2D51">
          <w:rPr>
            <w:webHidden/>
          </w:rPr>
          <w:instrText xml:space="preserve"> PAGEREF _Toc304965687 \h </w:instrText>
        </w:r>
        <w:r w:rsidRPr="007C2D51">
          <w:rPr>
            <w:webHidden/>
          </w:rPr>
        </w:r>
        <w:r w:rsidRPr="007C2D51">
          <w:rPr>
            <w:webHidden/>
          </w:rPr>
          <w:fldChar w:fldCharType="separate"/>
        </w:r>
        <w:r w:rsidR="00910FBA">
          <w:rPr>
            <w:webHidden/>
          </w:rPr>
          <w:t>12</w:t>
        </w:r>
        <w:r w:rsidRPr="007C2D51">
          <w:rPr>
            <w:webHidden/>
          </w:rPr>
          <w:fldChar w:fldCharType="end"/>
        </w:r>
      </w:hyperlink>
    </w:p>
    <w:p w:rsidR="004E7755" w:rsidRPr="007C2D51" w:rsidRDefault="00022E2F">
      <w:pPr>
        <w:pStyle w:val="TOC1"/>
        <w:rPr>
          <w:sz w:val="22"/>
          <w:szCs w:val="22"/>
          <w:lang w:eastAsia="en-US"/>
        </w:rPr>
      </w:pPr>
      <w:hyperlink w:anchor="_Toc304965688" w:history="1">
        <w:r w:rsidR="004E7755" w:rsidRPr="007C2D51">
          <w:rPr>
            <w:rStyle w:val="Hyperlink"/>
            <w:rFonts w:cs="Times New Roman"/>
            <w:snapToGrid w:val="0"/>
            <w:w w:val="0"/>
          </w:rPr>
          <w:t>Chapter 3:</w:t>
        </w:r>
        <w:r w:rsidR="004E7755" w:rsidRPr="007C2D51">
          <w:rPr>
            <w:sz w:val="22"/>
            <w:szCs w:val="22"/>
            <w:lang w:eastAsia="en-US"/>
          </w:rPr>
          <w:tab/>
        </w:r>
        <w:r w:rsidR="004E7755" w:rsidRPr="007C2D51">
          <w:rPr>
            <w:rStyle w:val="Hyperlink"/>
          </w:rPr>
          <w:t>Overview of JARC Services</w:t>
        </w:r>
        <w:r w:rsidR="004E7755" w:rsidRPr="007C2D51">
          <w:rPr>
            <w:webHidden/>
          </w:rPr>
          <w:tab/>
        </w:r>
        <w:r w:rsidRPr="007C2D51">
          <w:rPr>
            <w:webHidden/>
          </w:rPr>
          <w:fldChar w:fldCharType="begin"/>
        </w:r>
        <w:r w:rsidR="004E7755" w:rsidRPr="007C2D51">
          <w:rPr>
            <w:webHidden/>
          </w:rPr>
          <w:instrText xml:space="preserve"> PAGEREF _Toc304965688 \h </w:instrText>
        </w:r>
        <w:r w:rsidRPr="007C2D51">
          <w:rPr>
            <w:webHidden/>
          </w:rPr>
        </w:r>
        <w:r w:rsidRPr="007C2D51">
          <w:rPr>
            <w:webHidden/>
          </w:rPr>
          <w:fldChar w:fldCharType="separate"/>
        </w:r>
        <w:r w:rsidR="00910FBA">
          <w:rPr>
            <w:webHidden/>
          </w:rPr>
          <w:t>14</w:t>
        </w:r>
        <w:r w:rsidRPr="007C2D51">
          <w:rPr>
            <w:webHidden/>
          </w:rPr>
          <w:fldChar w:fldCharType="end"/>
        </w:r>
      </w:hyperlink>
    </w:p>
    <w:p w:rsidR="004E7755" w:rsidRPr="007C2D51" w:rsidRDefault="00022E2F">
      <w:pPr>
        <w:pStyle w:val="TOC2"/>
        <w:rPr>
          <w:sz w:val="22"/>
          <w:szCs w:val="22"/>
          <w:lang w:eastAsia="en-US"/>
        </w:rPr>
      </w:pPr>
      <w:hyperlink w:anchor="_Toc304965689" w:history="1">
        <w:r w:rsidR="004E7755" w:rsidRPr="007C2D51">
          <w:rPr>
            <w:rStyle w:val="Hyperlink"/>
          </w:rPr>
          <w:t>Service Types</w:t>
        </w:r>
        <w:r w:rsidR="004E7755" w:rsidRPr="007C2D51">
          <w:rPr>
            <w:webHidden/>
          </w:rPr>
          <w:tab/>
        </w:r>
        <w:r w:rsidRPr="007C2D51">
          <w:rPr>
            <w:webHidden/>
          </w:rPr>
          <w:fldChar w:fldCharType="begin"/>
        </w:r>
        <w:r w:rsidR="004E7755" w:rsidRPr="007C2D51">
          <w:rPr>
            <w:webHidden/>
          </w:rPr>
          <w:instrText xml:space="preserve"> PAGEREF _Toc304965689 \h </w:instrText>
        </w:r>
        <w:r w:rsidRPr="007C2D51">
          <w:rPr>
            <w:webHidden/>
          </w:rPr>
        </w:r>
        <w:r w:rsidRPr="007C2D51">
          <w:rPr>
            <w:webHidden/>
          </w:rPr>
          <w:fldChar w:fldCharType="separate"/>
        </w:r>
        <w:r w:rsidR="00910FBA">
          <w:rPr>
            <w:webHidden/>
          </w:rPr>
          <w:t>14</w:t>
        </w:r>
        <w:r w:rsidRPr="007C2D51">
          <w:rPr>
            <w:webHidden/>
          </w:rPr>
          <w:fldChar w:fldCharType="end"/>
        </w:r>
      </w:hyperlink>
    </w:p>
    <w:p w:rsidR="004E7755" w:rsidRPr="007C2D51" w:rsidRDefault="00022E2F">
      <w:pPr>
        <w:pStyle w:val="TOC2"/>
        <w:rPr>
          <w:sz w:val="22"/>
          <w:szCs w:val="22"/>
          <w:lang w:eastAsia="en-US"/>
        </w:rPr>
      </w:pPr>
      <w:hyperlink w:anchor="_Toc304965690" w:history="1">
        <w:r w:rsidR="004E7755" w:rsidRPr="007C2D51">
          <w:rPr>
            <w:rStyle w:val="Hyperlink"/>
          </w:rPr>
          <w:t>Agency Type</w:t>
        </w:r>
        <w:r w:rsidR="004E7755" w:rsidRPr="007C2D51">
          <w:rPr>
            <w:webHidden/>
          </w:rPr>
          <w:tab/>
        </w:r>
        <w:r w:rsidRPr="007C2D51">
          <w:rPr>
            <w:webHidden/>
          </w:rPr>
          <w:fldChar w:fldCharType="begin"/>
        </w:r>
        <w:r w:rsidR="004E7755" w:rsidRPr="007C2D51">
          <w:rPr>
            <w:webHidden/>
          </w:rPr>
          <w:instrText xml:space="preserve"> PAGEREF _Toc304965690 \h </w:instrText>
        </w:r>
        <w:r w:rsidRPr="007C2D51">
          <w:rPr>
            <w:webHidden/>
          </w:rPr>
        </w:r>
        <w:r w:rsidRPr="007C2D51">
          <w:rPr>
            <w:webHidden/>
          </w:rPr>
          <w:fldChar w:fldCharType="separate"/>
        </w:r>
        <w:r w:rsidR="00910FBA">
          <w:rPr>
            <w:webHidden/>
          </w:rPr>
          <w:t>19</w:t>
        </w:r>
        <w:r w:rsidRPr="007C2D51">
          <w:rPr>
            <w:webHidden/>
          </w:rPr>
          <w:fldChar w:fldCharType="end"/>
        </w:r>
      </w:hyperlink>
    </w:p>
    <w:p w:rsidR="004E7755" w:rsidRPr="007C2D51" w:rsidRDefault="00022E2F">
      <w:pPr>
        <w:pStyle w:val="TOC2"/>
        <w:rPr>
          <w:sz w:val="22"/>
          <w:szCs w:val="22"/>
          <w:lang w:eastAsia="en-US"/>
        </w:rPr>
      </w:pPr>
      <w:hyperlink w:anchor="_Toc304965691" w:history="1">
        <w:r w:rsidR="004E7755" w:rsidRPr="007C2D51">
          <w:rPr>
            <w:rStyle w:val="Hyperlink"/>
          </w:rPr>
          <w:t>Size of Urbanized Area</w:t>
        </w:r>
        <w:r w:rsidR="004E7755" w:rsidRPr="007C2D51">
          <w:rPr>
            <w:webHidden/>
          </w:rPr>
          <w:tab/>
        </w:r>
        <w:r w:rsidRPr="007C2D51">
          <w:rPr>
            <w:webHidden/>
          </w:rPr>
          <w:fldChar w:fldCharType="begin"/>
        </w:r>
        <w:r w:rsidR="004E7755" w:rsidRPr="007C2D51">
          <w:rPr>
            <w:webHidden/>
          </w:rPr>
          <w:instrText xml:space="preserve"> PAGEREF _Toc304965691 \h </w:instrText>
        </w:r>
        <w:r w:rsidRPr="007C2D51">
          <w:rPr>
            <w:webHidden/>
          </w:rPr>
        </w:r>
        <w:r w:rsidRPr="007C2D51">
          <w:rPr>
            <w:webHidden/>
          </w:rPr>
          <w:fldChar w:fldCharType="separate"/>
        </w:r>
        <w:r w:rsidR="00910FBA">
          <w:rPr>
            <w:webHidden/>
          </w:rPr>
          <w:t>20</w:t>
        </w:r>
        <w:r w:rsidRPr="007C2D51">
          <w:rPr>
            <w:webHidden/>
          </w:rPr>
          <w:fldChar w:fldCharType="end"/>
        </w:r>
      </w:hyperlink>
    </w:p>
    <w:p w:rsidR="004E7755" w:rsidRPr="007C2D51" w:rsidRDefault="00022E2F">
      <w:pPr>
        <w:pStyle w:val="TOC1"/>
        <w:rPr>
          <w:sz w:val="22"/>
          <w:szCs w:val="22"/>
          <w:lang w:eastAsia="en-US"/>
        </w:rPr>
      </w:pPr>
      <w:hyperlink w:anchor="_Toc304965692" w:history="1">
        <w:r w:rsidR="004E7755" w:rsidRPr="007C2D51">
          <w:rPr>
            <w:rStyle w:val="Hyperlink"/>
            <w:rFonts w:cs="Times New Roman"/>
            <w:snapToGrid w:val="0"/>
            <w:w w:val="0"/>
          </w:rPr>
          <w:t>Chapter 4:</w:t>
        </w:r>
        <w:r w:rsidR="004E7755" w:rsidRPr="007C2D51">
          <w:rPr>
            <w:sz w:val="22"/>
            <w:szCs w:val="22"/>
            <w:lang w:eastAsia="en-US"/>
          </w:rPr>
          <w:tab/>
        </w:r>
        <w:r w:rsidR="004E7755" w:rsidRPr="007C2D51">
          <w:rPr>
            <w:rStyle w:val="Hyperlink"/>
          </w:rPr>
          <w:t>One-Way Trips</w:t>
        </w:r>
        <w:r w:rsidR="004E7755" w:rsidRPr="007C2D51">
          <w:rPr>
            <w:webHidden/>
          </w:rPr>
          <w:tab/>
        </w:r>
        <w:r w:rsidRPr="007C2D51">
          <w:rPr>
            <w:webHidden/>
          </w:rPr>
          <w:fldChar w:fldCharType="begin"/>
        </w:r>
        <w:r w:rsidR="004E7755" w:rsidRPr="007C2D51">
          <w:rPr>
            <w:webHidden/>
          </w:rPr>
          <w:instrText xml:space="preserve"> PAGEREF _Toc304965692 \h </w:instrText>
        </w:r>
        <w:r w:rsidRPr="007C2D51">
          <w:rPr>
            <w:webHidden/>
          </w:rPr>
        </w:r>
        <w:r w:rsidRPr="007C2D51">
          <w:rPr>
            <w:webHidden/>
          </w:rPr>
          <w:fldChar w:fldCharType="separate"/>
        </w:r>
        <w:r w:rsidR="00910FBA">
          <w:rPr>
            <w:webHidden/>
          </w:rPr>
          <w:t>27</w:t>
        </w:r>
        <w:r w:rsidRPr="007C2D51">
          <w:rPr>
            <w:webHidden/>
          </w:rPr>
          <w:fldChar w:fldCharType="end"/>
        </w:r>
      </w:hyperlink>
    </w:p>
    <w:p w:rsidR="004E7755" w:rsidRPr="007C2D51" w:rsidRDefault="00022E2F">
      <w:pPr>
        <w:pStyle w:val="TOC2"/>
        <w:rPr>
          <w:sz w:val="22"/>
          <w:szCs w:val="22"/>
          <w:lang w:eastAsia="en-US"/>
        </w:rPr>
      </w:pPr>
      <w:hyperlink w:anchor="_Toc304965693" w:history="1">
        <w:r w:rsidR="004E7755" w:rsidRPr="007C2D51">
          <w:rPr>
            <w:rStyle w:val="Hyperlink"/>
          </w:rPr>
          <w:t>Size of Urbanized Area</w:t>
        </w:r>
        <w:r w:rsidR="004E7755" w:rsidRPr="007C2D51">
          <w:rPr>
            <w:webHidden/>
          </w:rPr>
          <w:tab/>
        </w:r>
        <w:r w:rsidRPr="007C2D51">
          <w:rPr>
            <w:webHidden/>
          </w:rPr>
          <w:fldChar w:fldCharType="begin"/>
        </w:r>
        <w:r w:rsidR="004E7755" w:rsidRPr="007C2D51">
          <w:rPr>
            <w:webHidden/>
          </w:rPr>
          <w:instrText xml:space="preserve"> PAGEREF _Toc304965693 \h </w:instrText>
        </w:r>
        <w:r w:rsidRPr="007C2D51">
          <w:rPr>
            <w:webHidden/>
          </w:rPr>
        </w:r>
        <w:r w:rsidRPr="007C2D51">
          <w:rPr>
            <w:webHidden/>
          </w:rPr>
          <w:fldChar w:fldCharType="separate"/>
        </w:r>
        <w:r w:rsidR="00910FBA">
          <w:rPr>
            <w:webHidden/>
          </w:rPr>
          <w:t>31</w:t>
        </w:r>
        <w:r w:rsidRPr="007C2D51">
          <w:rPr>
            <w:webHidden/>
          </w:rPr>
          <w:fldChar w:fldCharType="end"/>
        </w:r>
      </w:hyperlink>
    </w:p>
    <w:p w:rsidR="004E7755" w:rsidRPr="007C2D51" w:rsidRDefault="00022E2F">
      <w:pPr>
        <w:pStyle w:val="TOC2"/>
        <w:rPr>
          <w:sz w:val="22"/>
          <w:szCs w:val="22"/>
          <w:lang w:eastAsia="en-US"/>
        </w:rPr>
      </w:pPr>
      <w:hyperlink w:anchor="_Toc304965694" w:history="1">
        <w:r w:rsidR="004E7755" w:rsidRPr="007C2D51">
          <w:rPr>
            <w:rStyle w:val="Hyperlink"/>
          </w:rPr>
          <w:t>Compare Trips and Services</w:t>
        </w:r>
        <w:r w:rsidR="004E7755" w:rsidRPr="007C2D51">
          <w:rPr>
            <w:webHidden/>
          </w:rPr>
          <w:tab/>
        </w:r>
        <w:r w:rsidRPr="007C2D51">
          <w:rPr>
            <w:webHidden/>
          </w:rPr>
          <w:fldChar w:fldCharType="begin"/>
        </w:r>
        <w:r w:rsidR="004E7755" w:rsidRPr="007C2D51">
          <w:rPr>
            <w:webHidden/>
          </w:rPr>
          <w:instrText xml:space="preserve"> PAGEREF _Toc304965694 \h </w:instrText>
        </w:r>
        <w:r w:rsidRPr="007C2D51">
          <w:rPr>
            <w:webHidden/>
          </w:rPr>
        </w:r>
        <w:r w:rsidRPr="007C2D51">
          <w:rPr>
            <w:webHidden/>
          </w:rPr>
          <w:fldChar w:fldCharType="separate"/>
        </w:r>
        <w:r w:rsidR="00910FBA">
          <w:rPr>
            <w:webHidden/>
          </w:rPr>
          <w:t>36</w:t>
        </w:r>
        <w:r w:rsidRPr="007C2D51">
          <w:rPr>
            <w:webHidden/>
          </w:rPr>
          <w:fldChar w:fldCharType="end"/>
        </w:r>
      </w:hyperlink>
    </w:p>
    <w:p w:rsidR="004E7755" w:rsidRPr="007C2D51" w:rsidRDefault="00022E2F">
      <w:pPr>
        <w:pStyle w:val="TOC1"/>
        <w:rPr>
          <w:sz w:val="22"/>
          <w:szCs w:val="22"/>
          <w:lang w:eastAsia="en-US"/>
        </w:rPr>
      </w:pPr>
      <w:hyperlink w:anchor="_Toc304965695" w:history="1">
        <w:r w:rsidR="004E7755" w:rsidRPr="007C2D51">
          <w:rPr>
            <w:rStyle w:val="Hyperlink"/>
            <w:rFonts w:cs="Times New Roman"/>
            <w:snapToGrid w:val="0"/>
            <w:w w:val="0"/>
          </w:rPr>
          <w:t>Chapter 5:</w:t>
        </w:r>
        <w:r w:rsidR="004E7755" w:rsidRPr="007C2D51">
          <w:rPr>
            <w:sz w:val="22"/>
            <w:szCs w:val="22"/>
            <w:lang w:eastAsia="en-US"/>
          </w:rPr>
          <w:tab/>
        </w:r>
        <w:r w:rsidR="004E7755" w:rsidRPr="007C2D51">
          <w:rPr>
            <w:rStyle w:val="Hyperlink"/>
          </w:rPr>
          <w:t>Jobs Accessed</w:t>
        </w:r>
        <w:r w:rsidR="004E7755" w:rsidRPr="007C2D51">
          <w:rPr>
            <w:webHidden/>
          </w:rPr>
          <w:tab/>
        </w:r>
        <w:r w:rsidRPr="007C2D51">
          <w:rPr>
            <w:webHidden/>
          </w:rPr>
          <w:fldChar w:fldCharType="begin"/>
        </w:r>
        <w:r w:rsidR="004E7755" w:rsidRPr="007C2D51">
          <w:rPr>
            <w:webHidden/>
          </w:rPr>
          <w:instrText xml:space="preserve"> PAGEREF _Toc304965695 \h </w:instrText>
        </w:r>
        <w:r w:rsidRPr="007C2D51">
          <w:rPr>
            <w:webHidden/>
          </w:rPr>
        </w:r>
        <w:r w:rsidRPr="007C2D51">
          <w:rPr>
            <w:webHidden/>
          </w:rPr>
          <w:fldChar w:fldCharType="separate"/>
        </w:r>
        <w:r w:rsidR="00910FBA">
          <w:rPr>
            <w:webHidden/>
          </w:rPr>
          <w:t>39</w:t>
        </w:r>
        <w:r w:rsidRPr="007C2D51">
          <w:rPr>
            <w:webHidden/>
          </w:rPr>
          <w:fldChar w:fldCharType="end"/>
        </w:r>
      </w:hyperlink>
    </w:p>
    <w:p w:rsidR="004E7755" w:rsidRPr="007C2D51" w:rsidRDefault="00022E2F">
      <w:pPr>
        <w:pStyle w:val="TOC2"/>
        <w:rPr>
          <w:sz w:val="22"/>
          <w:szCs w:val="22"/>
          <w:lang w:eastAsia="en-US"/>
        </w:rPr>
      </w:pPr>
      <w:hyperlink w:anchor="_Toc304965696" w:history="1">
        <w:r w:rsidR="004E7755" w:rsidRPr="007C2D51">
          <w:rPr>
            <w:rStyle w:val="Hyperlink"/>
          </w:rPr>
          <w:t>Jobs Estimation Methodology</w:t>
        </w:r>
        <w:r w:rsidR="004E7755" w:rsidRPr="007C2D51">
          <w:rPr>
            <w:webHidden/>
          </w:rPr>
          <w:tab/>
        </w:r>
        <w:r w:rsidRPr="007C2D51">
          <w:rPr>
            <w:webHidden/>
          </w:rPr>
          <w:fldChar w:fldCharType="begin"/>
        </w:r>
        <w:r w:rsidR="004E7755" w:rsidRPr="007C2D51">
          <w:rPr>
            <w:webHidden/>
          </w:rPr>
          <w:instrText xml:space="preserve"> PAGEREF _Toc304965696 \h </w:instrText>
        </w:r>
        <w:r w:rsidRPr="007C2D51">
          <w:rPr>
            <w:webHidden/>
          </w:rPr>
        </w:r>
        <w:r w:rsidRPr="007C2D51">
          <w:rPr>
            <w:webHidden/>
          </w:rPr>
          <w:fldChar w:fldCharType="separate"/>
        </w:r>
        <w:r w:rsidR="00910FBA">
          <w:rPr>
            <w:webHidden/>
          </w:rPr>
          <w:t>39</w:t>
        </w:r>
        <w:r w:rsidRPr="007C2D51">
          <w:rPr>
            <w:webHidden/>
          </w:rPr>
          <w:fldChar w:fldCharType="end"/>
        </w:r>
      </w:hyperlink>
    </w:p>
    <w:p w:rsidR="004E7755" w:rsidRPr="007C2D51" w:rsidRDefault="00022E2F">
      <w:pPr>
        <w:pStyle w:val="TOC2"/>
        <w:rPr>
          <w:sz w:val="22"/>
          <w:szCs w:val="22"/>
          <w:lang w:eastAsia="en-US"/>
        </w:rPr>
      </w:pPr>
      <w:hyperlink w:anchor="_Toc304965697" w:history="1">
        <w:r w:rsidR="004E7755" w:rsidRPr="007C2D51">
          <w:rPr>
            <w:rStyle w:val="Hyperlink"/>
          </w:rPr>
          <w:t>Targeted Jobs</w:t>
        </w:r>
        <w:r w:rsidR="004E7755" w:rsidRPr="007C2D51">
          <w:rPr>
            <w:webHidden/>
          </w:rPr>
          <w:tab/>
        </w:r>
        <w:r w:rsidRPr="007C2D51">
          <w:rPr>
            <w:webHidden/>
          </w:rPr>
          <w:fldChar w:fldCharType="begin"/>
        </w:r>
        <w:r w:rsidR="004E7755" w:rsidRPr="007C2D51">
          <w:rPr>
            <w:webHidden/>
          </w:rPr>
          <w:instrText xml:space="preserve"> PAGEREF _Toc304965697 \h </w:instrText>
        </w:r>
        <w:r w:rsidRPr="007C2D51">
          <w:rPr>
            <w:webHidden/>
          </w:rPr>
        </w:r>
        <w:r w:rsidRPr="007C2D51">
          <w:rPr>
            <w:webHidden/>
          </w:rPr>
          <w:fldChar w:fldCharType="separate"/>
        </w:r>
        <w:r w:rsidR="00910FBA">
          <w:rPr>
            <w:webHidden/>
          </w:rPr>
          <w:t>42</w:t>
        </w:r>
        <w:r w:rsidRPr="007C2D51">
          <w:rPr>
            <w:webHidden/>
          </w:rPr>
          <w:fldChar w:fldCharType="end"/>
        </w:r>
      </w:hyperlink>
    </w:p>
    <w:p w:rsidR="004E7755" w:rsidRPr="007C2D51" w:rsidRDefault="00022E2F">
      <w:pPr>
        <w:pStyle w:val="TOC2"/>
        <w:rPr>
          <w:sz w:val="22"/>
          <w:szCs w:val="22"/>
          <w:lang w:eastAsia="en-US"/>
        </w:rPr>
      </w:pPr>
      <w:hyperlink w:anchor="_Toc304965698" w:history="1">
        <w:r w:rsidR="004E7755" w:rsidRPr="007C2D51">
          <w:rPr>
            <w:rStyle w:val="Hyperlink"/>
          </w:rPr>
          <w:t>Jobs Accessed in FY 2010</w:t>
        </w:r>
        <w:r w:rsidR="004E7755" w:rsidRPr="007C2D51">
          <w:rPr>
            <w:webHidden/>
          </w:rPr>
          <w:tab/>
        </w:r>
        <w:r w:rsidRPr="007C2D51">
          <w:rPr>
            <w:webHidden/>
          </w:rPr>
          <w:fldChar w:fldCharType="begin"/>
        </w:r>
        <w:r w:rsidR="004E7755" w:rsidRPr="007C2D51">
          <w:rPr>
            <w:webHidden/>
          </w:rPr>
          <w:instrText xml:space="preserve"> PAGEREF _Toc304965698 \h </w:instrText>
        </w:r>
        <w:r w:rsidRPr="007C2D51">
          <w:rPr>
            <w:webHidden/>
          </w:rPr>
        </w:r>
        <w:r w:rsidRPr="007C2D51">
          <w:rPr>
            <w:webHidden/>
          </w:rPr>
          <w:fldChar w:fldCharType="separate"/>
        </w:r>
        <w:r w:rsidR="00910FBA">
          <w:rPr>
            <w:webHidden/>
          </w:rPr>
          <w:t>42</w:t>
        </w:r>
        <w:r w:rsidRPr="007C2D51">
          <w:rPr>
            <w:webHidden/>
          </w:rPr>
          <w:fldChar w:fldCharType="end"/>
        </w:r>
      </w:hyperlink>
    </w:p>
    <w:p w:rsidR="004E7755" w:rsidRPr="007C2D51" w:rsidRDefault="00022E2F">
      <w:pPr>
        <w:pStyle w:val="TOC1"/>
        <w:rPr>
          <w:sz w:val="22"/>
          <w:szCs w:val="22"/>
          <w:lang w:eastAsia="en-US"/>
        </w:rPr>
      </w:pPr>
      <w:hyperlink w:anchor="_Toc304965699" w:history="1">
        <w:r w:rsidR="004E7755" w:rsidRPr="007C2D51">
          <w:rPr>
            <w:rStyle w:val="Hyperlink"/>
            <w:rFonts w:cs="Times New Roman"/>
            <w:snapToGrid w:val="0"/>
            <w:w w:val="0"/>
          </w:rPr>
          <w:t>Chapter 6:</w:t>
        </w:r>
        <w:r w:rsidR="004E7755" w:rsidRPr="007C2D51">
          <w:rPr>
            <w:sz w:val="22"/>
            <w:szCs w:val="22"/>
            <w:lang w:eastAsia="en-US"/>
          </w:rPr>
          <w:tab/>
        </w:r>
        <w:r w:rsidR="004E7755" w:rsidRPr="007C2D51">
          <w:rPr>
            <w:rStyle w:val="Hyperlink"/>
          </w:rPr>
          <w:t>Primary Goals</w:t>
        </w:r>
        <w:r w:rsidR="004E7755" w:rsidRPr="007C2D51">
          <w:rPr>
            <w:webHidden/>
          </w:rPr>
          <w:tab/>
        </w:r>
        <w:r w:rsidRPr="007C2D51">
          <w:rPr>
            <w:webHidden/>
          </w:rPr>
          <w:fldChar w:fldCharType="begin"/>
        </w:r>
        <w:r w:rsidR="004E7755" w:rsidRPr="007C2D51">
          <w:rPr>
            <w:webHidden/>
          </w:rPr>
          <w:instrText xml:space="preserve"> PAGEREF _Toc304965699 \h </w:instrText>
        </w:r>
        <w:r w:rsidRPr="007C2D51">
          <w:rPr>
            <w:webHidden/>
          </w:rPr>
        </w:r>
        <w:r w:rsidRPr="007C2D51">
          <w:rPr>
            <w:webHidden/>
          </w:rPr>
          <w:fldChar w:fldCharType="separate"/>
        </w:r>
        <w:r w:rsidR="00910FBA">
          <w:rPr>
            <w:webHidden/>
          </w:rPr>
          <w:t>44</w:t>
        </w:r>
        <w:r w:rsidRPr="007C2D51">
          <w:rPr>
            <w:webHidden/>
          </w:rPr>
          <w:fldChar w:fldCharType="end"/>
        </w:r>
      </w:hyperlink>
    </w:p>
    <w:p w:rsidR="004E7755" w:rsidRPr="007C2D51" w:rsidRDefault="00022E2F">
      <w:pPr>
        <w:pStyle w:val="TOC2"/>
        <w:rPr>
          <w:sz w:val="22"/>
          <w:szCs w:val="22"/>
          <w:lang w:eastAsia="en-US"/>
        </w:rPr>
      </w:pPr>
      <w:hyperlink w:anchor="_Toc304965700" w:history="1">
        <w:r w:rsidR="004E7755" w:rsidRPr="007C2D51">
          <w:rPr>
            <w:rStyle w:val="Hyperlink"/>
          </w:rPr>
          <w:t>Program Goals</w:t>
        </w:r>
        <w:r w:rsidR="004E7755" w:rsidRPr="007C2D51">
          <w:rPr>
            <w:webHidden/>
          </w:rPr>
          <w:tab/>
        </w:r>
        <w:r w:rsidRPr="007C2D51">
          <w:rPr>
            <w:webHidden/>
          </w:rPr>
          <w:fldChar w:fldCharType="begin"/>
        </w:r>
        <w:r w:rsidR="004E7755" w:rsidRPr="007C2D51">
          <w:rPr>
            <w:webHidden/>
          </w:rPr>
          <w:instrText xml:space="preserve"> PAGEREF _Toc304965700 \h </w:instrText>
        </w:r>
        <w:r w:rsidRPr="007C2D51">
          <w:rPr>
            <w:webHidden/>
          </w:rPr>
        </w:r>
        <w:r w:rsidRPr="007C2D51">
          <w:rPr>
            <w:webHidden/>
          </w:rPr>
          <w:fldChar w:fldCharType="separate"/>
        </w:r>
        <w:r w:rsidR="00910FBA">
          <w:rPr>
            <w:webHidden/>
          </w:rPr>
          <w:t>44</w:t>
        </w:r>
        <w:r w:rsidRPr="007C2D51">
          <w:rPr>
            <w:webHidden/>
          </w:rPr>
          <w:fldChar w:fldCharType="end"/>
        </w:r>
      </w:hyperlink>
    </w:p>
    <w:p w:rsidR="004E7755" w:rsidRPr="007C2D51" w:rsidRDefault="00022E2F">
      <w:pPr>
        <w:pStyle w:val="TOC2"/>
        <w:rPr>
          <w:sz w:val="22"/>
          <w:szCs w:val="22"/>
          <w:lang w:eastAsia="en-US"/>
        </w:rPr>
      </w:pPr>
      <w:hyperlink w:anchor="_Toc304965701" w:history="1">
        <w:r w:rsidR="004E7755" w:rsidRPr="007C2D51">
          <w:rPr>
            <w:rStyle w:val="Hyperlink"/>
          </w:rPr>
          <w:t>Program Outputs</w:t>
        </w:r>
        <w:r w:rsidR="004E7755" w:rsidRPr="007C2D51">
          <w:rPr>
            <w:webHidden/>
          </w:rPr>
          <w:tab/>
        </w:r>
        <w:r w:rsidRPr="007C2D51">
          <w:rPr>
            <w:webHidden/>
          </w:rPr>
          <w:fldChar w:fldCharType="begin"/>
        </w:r>
        <w:r w:rsidR="004E7755" w:rsidRPr="007C2D51">
          <w:rPr>
            <w:webHidden/>
          </w:rPr>
          <w:instrText xml:space="preserve"> PAGEREF _Toc304965701 \h </w:instrText>
        </w:r>
        <w:r w:rsidRPr="007C2D51">
          <w:rPr>
            <w:webHidden/>
          </w:rPr>
        </w:r>
        <w:r w:rsidRPr="007C2D51">
          <w:rPr>
            <w:webHidden/>
          </w:rPr>
          <w:fldChar w:fldCharType="separate"/>
        </w:r>
        <w:r w:rsidR="00910FBA">
          <w:rPr>
            <w:webHidden/>
          </w:rPr>
          <w:t>47</w:t>
        </w:r>
        <w:r w:rsidRPr="007C2D51">
          <w:rPr>
            <w:webHidden/>
          </w:rPr>
          <w:fldChar w:fldCharType="end"/>
        </w:r>
      </w:hyperlink>
    </w:p>
    <w:p w:rsidR="004E7755" w:rsidRPr="007C2D51" w:rsidRDefault="00022E2F">
      <w:pPr>
        <w:pStyle w:val="TOC1"/>
        <w:rPr>
          <w:sz w:val="22"/>
          <w:szCs w:val="22"/>
          <w:lang w:eastAsia="en-US"/>
        </w:rPr>
      </w:pPr>
      <w:hyperlink w:anchor="_Toc304965702" w:history="1">
        <w:r w:rsidR="004E7755" w:rsidRPr="007C2D51">
          <w:rPr>
            <w:rStyle w:val="Hyperlink"/>
            <w:rFonts w:cs="Times New Roman"/>
            <w:snapToGrid w:val="0"/>
            <w:w w:val="0"/>
          </w:rPr>
          <w:t>Chapter 7:</w:t>
        </w:r>
        <w:r w:rsidR="004E7755" w:rsidRPr="007C2D51">
          <w:rPr>
            <w:sz w:val="22"/>
            <w:szCs w:val="22"/>
            <w:lang w:eastAsia="en-US"/>
          </w:rPr>
          <w:tab/>
        </w:r>
        <w:r w:rsidR="004E7755" w:rsidRPr="007C2D51">
          <w:rPr>
            <w:rStyle w:val="Hyperlink"/>
          </w:rPr>
          <w:t>Conclusions</w:t>
        </w:r>
        <w:r w:rsidR="004E7755" w:rsidRPr="007C2D51">
          <w:rPr>
            <w:webHidden/>
          </w:rPr>
          <w:tab/>
        </w:r>
        <w:r w:rsidRPr="007C2D51">
          <w:rPr>
            <w:webHidden/>
          </w:rPr>
          <w:fldChar w:fldCharType="begin"/>
        </w:r>
        <w:r w:rsidR="004E7755" w:rsidRPr="007C2D51">
          <w:rPr>
            <w:webHidden/>
          </w:rPr>
          <w:instrText xml:space="preserve"> PAGEREF _Toc304965702 \h </w:instrText>
        </w:r>
        <w:r w:rsidRPr="007C2D51">
          <w:rPr>
            <w:webHidden/>
          </w:rPr>
        </w:r>
        <w:r w:rsidRPr="007C2D51">
          <w:rPr>
            <w:webHidden/>
          </w:rPr>
          <w:fldChar w:fldCharType="separate"/>
        </w:r>
        <w:r w:rsidR="00910FBA">
          <w:rPr>
            <w:webHidden/>
          </w:rPr>
          <w:t>54</w:t>
        </w:r>
        <w:r w:rsidRPr="007C2D51">
          <w:rPr>
            <w:webHidden/>
          </w:rPr>
          <w:fldChar w:fldCharType="end"/>
        </w:r>
      </w:hyperlink>
    </w:p>
    <w:p w:rsidR="004E7755" w:rsidRPr="007C2D51" w:rsidRDefault="00022E2F">
      <w:pPr>
        <w:pStyle w:val="TOC2"/>
        <w:rPr>
          <w:sz w:val="22"/>
          <w:szCs w:val="22"/>
          <w:lang w:eastAsia="en-US"/>
        </w:rPr>
      </w:pPr>
      <w:hyperlink w:anchor="_Toc304965703" w:history="1">
        <w:r w:rsidR="004E7755" w:rsidRPr="007C2D51">
          <w:rPr>
            <w:rStyle w:val="Hyperlink"/>
          </w:rPr>
          <w:t>JARC Highlights</w:t>
        </w:r>
        <w:r w:rsidR="004E7755" w:rsidRPr="007C2D51">
          <w:rPr>
            <w:webHidden/>
          </w:rPr>
          <w:tab/>
        </w:r>
        <w:r w:rsidRPr="007C2D51">
          <w:rPr>
            <w:webHidden/>
          </w:rPr>
          <w:fldChar w:fldCharType="begin"/>
        </w:r>
        <w:r w:rsidR="004E7755" w:rsidRPr="007C2D51">
          <w:rPr>
            <w:webHidden/>
          </w:rPr>
          <w:instrText xml:space="preserve"> PAGEREF _Toc304965703 \h </w:instrText>
        </w:r>
        <w:r w:rsidRPr="007C2D51">
          <w:rPr>
            <w:webHidden/>
          </w:rPr>
        </w:r>
        <w:r w:rsidRPr="007C2D51">
          <w:rPr>
            <w:webHidden/>
          </w:rPr>
          <w:fldChar w:fldCharType="separate"/>
        </w:r>
        <w:r w:rsidR="00910FBA">
          <w:rPr>
            <w:webHidden/>
          </w:rPr>
          <w:t>54</w:t>
        </w:r>
        <w:r w:rsidRPr="007C2D51">
          <w:rPr>
            <w:webHidden/>
          </w:rPr>
          <w:fldChar w:fldCharType="end"/>
        </w:r>
      </w:hyperlink>
    </w:p>
    <w:p w:rsidR="004E7755" w:rsidRPr="007C2D51" w:rsidRDefault="00022E2F">
      <w:pPr>
        <w:pStyle w:val="TOC2"/>
        <w:rPr>
          <w:sz w:val="22"/>
          <w:szCs w:val="22"/>
          <w:lang w:eastAsia="en-US"/>
        </w:rPr>
      </w:pPr>
      <w:hyperlink w:anchor="_Toc304965704" w:history="1">
        <w:r w:rsidR="004E7755" w:rsidRPr="007C2D51">
          <w:rPr>
            <w:rStyle w:val="Hyperlink"/>
          </w:rPr>
          <w:t>Program Profiles</w:t>
        </w:r>
        <w:r w:rsidR="004E7755" w:rsidRPr="007C2D51">
          <w:rPr>
            <w:webHidden/>
          </w:rPr>
          <w:tab/>
        </w:r>
        <w:r w:rsidRPr="007C2D51">
          <w:rPr>
            <w:webHidden/>
          </w:rPr>
          <w:fldChar w:fldCharType="begin"/>
        </w:r>
        <w:r w:rsidR="004E7755" w:rsidRPr="007C2D51">
          <w:rPr>
            <w:webHidden/>
          </w:rPr>
          <w:instrText xml:space="preserve"> PAGEREF _Toc304965704 \h </w:instrText>
        </w:r>
        <w:r w:rsidRPr="007C2D51">
          <w:rPr>
            <w:webHidden/>
          </w:rPr>
        </w:r>
        <w:r w:rsidRPr="007C2D51">
          <w:rPr>
            <w:webHidden/>
          </w:rPr>
          <w:fldChar w:fldCharType="separate"/>
        </w:r>
        <w:r w:rsidR="00910FBA">
          <w:rPr>
            <w:webHidden/>
          </w:rPr>
          <w:t>55</w:t>
        </w:r>
        <w:r w:rsidRPr="007C2D51">
          <w:rPr>
            <w:webHidden/>
          </w:rPr>
          <w:fldChar w:fldCharType="end"/>
        </w:r>
      </w:hyperlink>
    </w:p>
    <w:p w:rsidR="00373F8F" w:rsidRPr="007C2D51" w:rsidRDefault="00022E2F" w:rsidP="00745300">
      <w:pPr>
        <w:pStyle w:val="TOC1"/>
        <w:rPr>
          <w:noProof w:val="0"/>
        </w:rPr>
      </w:pPr>
      <w:r w:rsidRPr="007C2D51">
        <w:rPr>
          <w:noProof w:val="0"/>
        </w:rPr>
        <w:fldChar w:fldCharType="end"/>
      </w:r>
      <w:r w:rsidR="00745300" w:rsidRPr="007C2D51">
        <w:rPr>
          <w:noProof w:val="0"/>
        </w:rPr>
        <w:t>A</w:t>
      </w:r>
      <w:r w:rsidR="000C4941" w:rsidRPr="007C2D51">
        <w:rPr>
          <w:noProof w:val="0"/>
        </w:rPr>
        <w:t>ppendix A:</w:t>
      </w:r>
      <w:r w:rsidR="000C4941" w:rsidRPr="007C2D51">
        <w:rPr>
          <w:noProof w:val="0"/>
        </w:rPr>
        <w:tab/>
        <w:t>JARC Service Matrix</w:t>
      </w:r>
    </w:p>
    <w:p w:rsidR="000C4941" w:rsidRPr="007C2D51" w:rsidRDefault="000C4941" w:rsidP="002844D4">
      <w:pPr>
        <w:pStyle w:val="TOC1"/>
        <w:rPr>
          <w:noProof w:val="0"/>
        </w:rPr>
      </w:pPr>
      <w:r w:rsidRPr="007C2D51">
        <w:rPr>
          <w:noProof w:val="0"/>
        </w:rPr>
        <w:t>Appendix</w:t>
      </w:r>
      <w:r w:rsidR="008D0918" w:rsidRPr="007C2D51">
        <w:rPr>
          <w:noProof w:val="0"/>
        </w:rPr>
        <w:t xml:space="preserve"> B:</w:t>
      </w:r>
      <w:r w:rsidR="008D0918" w:rsidRPr="007C2D51">
        <w:rPr>
          <w:noProof w:val="0"/>
        </w:rPr>
        <w:tab/>
        <w:t>Jobs Estimation Methodology</w:t>
      </w:r>
    </w:p>
    <w:p w:rsidR="000C4941" w:rsidRPr="007C2D51" w:rsidRDefault="000C4941" w:rsidP="002844D4">
      <w:pPr>
        <w:pStyle w:val="TOC1"/>
        <w:rPr>
          <w:noProof w:val="0"/>
        </w:rPr>
      </w:pPr>
      <w:r w:rsidRPr="007C2D51">
        <w:rPr>
          <w:noProof w:val="0"/>
        </w:rPr>
        <w:t>Appendix C:</w:t>
      </w:r>
      <w:r w:rsidRPr="007C2D51">
        <w:rPr>
          <w:noProof w:val="0"/>
        </w:rPr>
        <w:tab/>
        <w:t>JARC Service Profiles (under separate cover)</w:t>
      </w:r>
    </w:p>
    <w:p w:rsidR="00D70FF5" w:rsidRPr="007C2D51" w:rsidRDefault="00D70FF5">
      <w:pPr>
        <w:rPr>
          <w:rFonts w:asciiTheme="majorHAnsi" w:hAnsiTheme="majorHAnsi"/>
          <w:color w:val="FEB80A" w:themeColor="accent2"/>
          <w:sz w:val="40"/>
          <w:szCs w:val="32"/>
        </w:rPr>
      </w:pPr>
      <w:r w:rsidRPr="007C2D51">
        <w:br w:type="page"/>
      </w:r>
    </w:p>
    <w:p w:rsidR="00D70FF5" w:rsidRPr="007C2D51" w:rsidRDefault="00D70FF5" w:rsidP="00BE3A28">
      <w:pPr>
        <w:pStyle w:val="FrontHeading"/>
      </w:pPr>
      <w:r w:rsidRPr="007C2D51">
        <w:lastRenderedPageBreak/>
        <w:t>List of Tables</w:t>
      </w:r>
    </w:p>
    <w:p w:rsidR="00390393" w:rsidRPr="007C2D51" w:rsidRDefault="00022E2F">
      <w:pPr>
        <w:pStyle w:val="TableofFigures"/>
        <w:rPr>
          <w:rFonts w:eastAsiaTheme="minorEastAsia" w:cstheme="minorBidi"/>
          <w:bCs w:val="0"/>
          <w:iCs w:val="0"/>
          <w:szCs w:val="22"/>
        </w:rPr>
      </w:pPr>
      <w:r w:rsidRPr="00022E2F">
        <w:rPr>
          <w:noProof w:val="0"/>
        </w:rPr>
        <w:fldChar w:fldCharType="begin"/>
      </w:r>
      <w:r w:rsidR="00373F8F" w:rsidRPr="007C2D51">
        <w:rPr>
          <w:noProof w:val="0"/>
        </w:rPr>
        <w:instrText xml:space="preserve"> TOC \h \z \c "Table" </w:instrText>
      </w:r>
      <w:r w:rsidRPr="00022E2F">
        <w:rPr>
          <w:noProof w:val="0"/>
        </w:rPr>
        <w:fldChar w:fldCharType="separate"/>
      </w:r>
      <w:hyperlink w:anchor="_Toc304967465" w:history="1">
        <w:r w:rsidR="00390393" w:rsidRPr="007C2D51">
          <w:rPr>
            <w:rStyle w:val="Hyperlink"/>
          </w:rPr>
          <w:t>Table 1</w:t>
        </w:r>
        <w:r w:rsidR="00390393" w:rsidRPr="007C2D51">
          <w:rPr>
            <w:rStyle w:val="Hyperlink"/>
          </w:rPr>
          <w:noBreakHyphen/>
          <w:t>1 JARC Services Reported by Fiscal Year</w:t>
        </w:r>
        <w:r w:rsidR="00390393" w:rsidRPr="007C2D51">
          <w:rPr>
            <w:webHidden/>
          </w:rPr>
          <w:tab/>
        </w:r>
        <w:r w:rsidRPr="007C2D51">
          <w:rPr>
            <w:webHidden/>
          </w:rPr>
          <w:fldChar w:fldCharType="begin"/>
        </w:r>
        <w:r w:rsidR="00390393" w:rsidRPr="007C2D51">
          <w:rPr>
            <w:webHidden/>
          </w:rPr>
          <w:instrText xml:space="preserve"> PAGEREF _Toc304967465 \h </w:instrText>
        </w:r>
        <w:r w:rsidRPr="007C2D51">
          <w:rPr>
            <w:webHidden/>
          </w:rPr>
        </w:r>
        <w:r w:rsidRPr="007C2D51">
          <w:rPr>
            <w:webHidden/>
          </w:rPr>
          <w:fldChar w:fldCharType="separate"/>
        </w:r>
        <w:r w:rsidR="00910FBA">
          <w:rPr>
            <w:webHidden/>
          </w:rPr>
          <w:t>5</w:t>
        </w:r>
        <w:r w:rsidRPr="007C2D51">
          <w:rPr>
            <w:webHidden/>
          </w:rPr>
          <w:fldChar w:fldCharType="end"/>
        </w:r>
      </w:hyperlink>
    </w:p>
    <w:p w:rsidR="00390393" w:rsidRPr="007C2D51" w:rsidRDefault="00022E2F">
      <w:pPr>
        <w:pStyle w:val="TableofFigures"/>
        <w:rPr>
          <w:rFonts w:eastAsiaTheme="minorEastAsia" w:cstheme="minorBidi"/>
          <w:bCs w:val="0"/>
          <w:iCs w:val="0"/>
          <w:szCs w:val="22"/>
        </w:rPr>
      </w:pPr>
      <w:hyperlink w:anchor="_Toc304967466" w:history="1">
        <w:r w:rsidR="00390393" w:rsidRPr="007C2D51">
          <w:rPr>
            <w:rStyle w:val="Hyperlink"/>
          </w:rPr>
          <w:t>Table 2</w:t>
        </w:r>
        <w:r w:rsidR="00390393" w:rsidRPr="007C2D51">
          <w:rPr>
            <w:rStyle w:val="Hyperlink"/>
          </w:rPr>
          <w:noBreakHyphen/>
          <w:t>1 Reporting Response Rate</w:t>
        </w:r>
        <w:r w:rsidR="00390393" w:rsidRPr="007C2D51">
          <w:rPr>
            <w:webHidden/>
          </w:rPr>
          <w:tab/>
        </w:r>
        <w:r w:rsidRPr="007C2D51">
          <w:rPr>
            <w:webHidden/>
          </w:rPr>
          <w:fldChar w:fldCharType="begin"/>
        </w:r>
        <w:r w:rsidR="00390393" w:rsidRPr="007C2D51">
          <w:rPr>
            <w:webHidden/>
          </w:rPr>
          <w:instrText xml:space="preserve"> PAGEREF _Toc304967466 \h </w:instrText>
        </w:r>
        <w:r w:rsidRPr="007C2D51">
          <w:rPr>
            <w:webHidden/>
          </w:rPr>
        </w:r>
        <w:r w:rsidRPr="007C2D51">
          <w:rPr>
            <w:webHidden/>
          </w:rPr>
          <w:fldChar w:fldCharType="separate"/>
        </w:r>
        <w:r w:rsidR="00910FBA">
          <w:rPr>
            <w:webHidden/>
          </w:rPr>
          <w:t>11</w:t>
        </w:r>
        <w:r w:rsidRPr="007C2D51">
          <w:rPr>
            <w:webHidden/>
          </w:rPr>
          <w:fldChar w:fldCharType="end"/>
        </w:r>
      </w:hyperlink>
    </w:p>
    <w:p w:rsidR="00390393" w:rsidRPr="007C2D51" w:rsidRDefault="00022E2F">
      <w:pPr>
        <w:pStyle w:val="TableofFigures"/>
        <w:rPr>
          <w:rFonts w:eastAsiaTheme="minorEastAsia" w:cstheme="minorBidi"/>
          <w:bCs w:val="0"/>
          <w:iCs w:val="0"/>
          <w:szCs w:val="22"/>
        </w:rPr>
      </w:pPr>
      <w:hyperlink w:anchor="_Toc304967467" w:history="1">
        <w:r w:rsidR="00390393" w:rsidRPr="007C2D51">
          <w:rPr>
            <w:rStyle w:val="Hyperlink"/>
          </w:rPr>
          <w:t>Table 3</w:t>
        </w:r>
        <w:r w:rsidR="00390393" w:rsidRPr="007C2D51">
          <w:rPr>
            <w:rStyle w:val="Hyperlink"/>
          </w:rPr>
          <w:noBreakHyphen/>
          <w:t>1 JARC Services by Type</w:t>
        </w:r>
        <w:r w:rsidR="00390393" w:rsidRPr="007C2D51">
          <w:rPr>
            <w:webHidden/>
          </w:rPr>
          <w:tab/>
        </w:r>
        <w:r w:rsidRPr="007C2D51">
          <w:rPr>
            <w:webHidden/>
          </w:rPr>
          <w:fldChar w:fldCharType="begin"/>
        </w:r>
        <w:r w:rsidR="00390393" w:rsidRPr="007C2D51">
          <w:rPr>
            <w:webHidden/>
          </w:rPr>
          <w:instrText xml:space="preserve"> PAGEREF _Toc304967467 \h </w:instrText>
        </w:r>
        <w:r w:rsidRPr="007C2D51">
          <w:rPr>
            <w:webHidden/>
          </w:rPr>
        </w:r>
        <w:r w:rsidRPr="007C2D51">
          <w:rPr>
            <w:webHidden/>
          </w:rPr>
          <w:fldChar w:fldCharType="separate"/>
        </w:r>
        <w:r w:rsidR="00910FBA">
          <w:rPr>
            <w:webHidden/>
          </w:rPr>
          <w:t>15</w:t>
        </w:r>
        <w:r w:rsidRPr="007C2D51">
          <w:rPr>
            <w:webHidden/>
          </w:rPr>
          <w:fldChar w:fldCharType="end"/>
        </w:r>
      </w:hyperlink>
    </w:p>
    <w:p w:rsidR="00390393" w:rsidRPr="007C2D51" w:rsidRDefault="00022E2F">
      <w:pPr>
        <w:pStyle w:val="TableofFigures"/>
        <w:rPr>
          <w:rFonts w:eastAsiaTheme="minorEastAsia" w:cstheme="minorBidi"/>
          <w:bCs w:val="0"/>
          <w:iCs w:val="0"/>
          <w:szCs w:val="22"/>
        </w:rPr>
      </w:pPr>
      <w:hyperlink w:anchor="_Toc304967468" w:history="1">
        <w:r w:rsidR="00390393" w:rsidRPr="007C2D51">
          <w:rPr>
            <w:rStyle w:val="Hyperlink"/>
          </w:rPr>
          <w:t>Table 3</w:t>
        </w:r>
        <w:r w:rsidR="00390393" w:rsidRPr="007C2D51">
          <w:rPr>
            <w:rStyle w:val="Hyperlink"/>
          </w:rPr>
          <w:noBreakHyphen/>
          <w:t>2 Recipients by Agency Type</w:t>
        </w:r>
        <w:r w:rsidR="00390393" w:rsidRPr="007C2D51">
          <w:rPr>
            <w:webHidden/>
          </w:rPr>
          <w:tab/>
        </w:r>
        <w:r w:rsidRPr="007C2D51">
          <w:rPr>
            <w:webHidden/>
          </w:rPr>
          <w:fldChar w:fldCharType="begin"/>
        </w:r>
        <w:r w:rsidR="00390393" w:rsidRPr="007C2D51">
          <w:rPr>
            <w:webHidden/>
          </w:rPr>
          <w:instrText xml:space="preserve"> PAGEREF _Toc304967468 \h </w:instrText>
        </w:r>
        <w:r w:rsidRPr="007C2D51">
          <w:rPr>
            <w:webHidden/>
          </w:rPr>
        </w:r>
        <w:r w:rsidRPr="007C2D51">
          <w:rPr>
            <w:webHidden/>
          </w:rPr>
          <w:fldChar w:fldCharType="separate"/>
        </w:r>
        <w:r w:rsidR="00910FBA">
          <w:rPr>
            <w:webHidden/>
          </w:rPr>
          <w:t>19</w:t>
        </w:r>
        <w:r w:rsidRPr="007C2D51">
          <w:rPr>
            <w:webHidden/>
          </w:rPr>
          <w:fldChar w:fldCharType="end"/>
        </w:r>
      </w:hyperlink>
    </w:p>
    <w:p w:rsidR="00390393" w:rsidRPr="007C2D51" w:rsidRDefault="00022E2F">
      <w:pPr>
        <w:pStyle w:val="TableofFigures"/>
        <w:rPr>
          <w:rFonts w:eastAsiaTheme="minorEastAsia" w:cstheme="minorBidi"/>
          <w:bCs w:val="0"/>
          <w:iCs w:val="0"/>
          <w:szCs w:val="22"/>
        </w:rPr>
      </w:pPr>
      <w:hyperlink w:anchor="_Toc304967469" w:history="1">
        <w:r w:rsidR="00390393" w:rsidRPr="007C2D51">
          <w:rPr>
            <w:rStyle w:val="Hyperlink"/>
          </w:rPr>
          <w:t>Table 3</w:t>
        </w:r>
        <w:r w:rsidR="00390393" w:rsidRPr="007C2D51">
          <w:rPr>
            <w:rStyle w:val="Hyperlink"/>
          </w:rPr>
          <w:noBreakHyphen/>
          <w:t>3 Subrecipients by Agency Type</w:t>
        </w:r>
        <w:r w:rsidR="00390393" w:rsidRPr="007C2D51">
          <w:rPr>
            <w:webHidden/>
          </w:rPr>
          <w:tab/>
        </w:r>
        <w:r w:rsidRPr="007C2D51">
          <w:rPr>
            <w:webHidden/>
          </w:rPr>
          <w:fldChar w:fldCharType="begin"/>
        </w:r>
        <w:r w:rsidR="00390393" w:rsidRPr="007C2D51">
          <w:rPr>
            <w:webHidden/>
          </w:rPr>
          <w:instrText xml:space="preserve"> PAGEREF _Toc304967469 \h </w:instrText>
        </w:r>
        <w:r w:rsidRPr="007C2D51">
          <w:rPr>
            <w:webHidden/>
          </w:rPr>
        </w:r>
        <w:r w:rsidRPr="007C2D51">
          <w:rPr>
            <w:webHidden/>
          </w:rPr>
          <w:fldChar w:fldCharType="separate"/>
        </w:r>
        <w:r w:rsidR="00910FBA">
          <w:rPr>
            <w:webHidden/>
          </w:rPr>
          <w:t>20</w:t>
        </w:r>
        <w:r w:rsidRPr="007C2D51">
          <w:rPr>
            <w:webHidden/>
          </w:rPr>
          <w:fldChar w:fldCharType="end"/>
        </w:r>
      </w:hyperlink>
    </w:p>
    <w:p w:rsidR="00390393" w:rsidRPr="007C2D51" w:rsidRDefault="00022E2F">
      <w:pPr>
        <w:pStyle w:val="TableofFigures"/>
        <w:rPr>
          <w:rFonts w:eastAsiaTheme="minorEastAsia" w:cstheme="minorBidi"/>
          <w:bCs w:val="0"/>
          <w:iCs w:val="0"/>
          <w:szCs w:val="22"/>
        </w:rPr>
      </w:pPr>
      <w:hyperlink w:anchor="_Toc304967470" w:history="1">
        <w:r w:rsidR="00390393" w:rsidRPr="007C2D51">
          <w:rPr>
            <w:rStyle w:val="Hyperlink"/>
          </w:rPr>
          <w:t>Table 3</w:t>
        </w:r>
        <w:r w:rsidR="00390393" w:rsidRPr="007C2D51">
          <w:rPr>
            <w:rStyle w:val="Hyperlink"/>
          </w:rPr>
          <w:noBreakHyphen/>
          <w:t>4 JARC Services by Type and Size of Urbanized Area  (Percentage by Row)</w:t>
        </w:r>
        <w:r w:rsidR="00390393" w:rsidRPr="007C2D51">
          <w:rPr>
            <w:webHidden/>
          </w:rPr>
          <w:tab/>
        </w:r>
        <w:r w:rsidRPr="007C2D51">
          <w:rPr>
            <w:webHidden/>
          </w:rPr>
          <w:fldChar w:fldCharType="begin"/>
        </w:r>
        <w:r w:rsidR="00390393" w:rsidRPr="007C2D51">
          <w:rPr>
            <w:webHidden/>
          </w:rPr>
          <w:instrText xml:space="preserve"> PAGEREF _Toc304967470 \h </w:instrText>
        </w:r>
        <w:r w:rsidRPr="007C2D51">
          <w:rPr>
            <w:webHidden/>
          </w:rPr>
        </w:r>
        <w:r w:rsidRPr="007C2D51">
          <w:rPr>
            <w:webHidden/>
          </w:rPr>
          <w:fldChar w:fldCharType="separate"/>
        </w:r>
        <w:r w:rsidR="00910FBA">
          <w:rPr>
            <w:webHidden/>
          </w:rPr>
          <w:t>22</w:t>
        </w:r>
        <w:r w:rsidRPr="007C2D51">
          <w:rPr>
            <w:webHidden/>
          </w:rPr>
          <w:fldChar w:fldCharType="end"/>
        </w:r>
      </w:hyperlink>
    </w:p>
    <w:p w:rsidR="00390393" w:rsidRPr="007C2D51" w:rsidRDefault="00022E2F">
      <w:pPr>
        <w:pStyle w:val="TableofFigures"/>
        <w:rPr>
          <w:rFonts w:eastAsiaTheme="minorEastAsia" w:cstheme="minorBidi"/>
          <w:bCs w:val="0"/>
          <w:iCs w:val="0"/>
          <w:szCs w:val="22"/>
        </w:rPr>
      </w:pPr>
      <w:hyperlink w:anchor="_Toc304967471" w:history="1">
        <w:r w:rsidR="00390393" w:rsidRPr="007C2D51">
          <w:rPr>
            <w:rStyle w:val="Hyperlink"/>
          </w:rPr>
          <w:t>Table 3</w:t>
        </w:r>
        <w:r w:rsidR="00390393" w:rsidRPr="007C2D51">
          <w:rPr>
            <w:rStyle w:val="Hyperlink"/>
          </w:rPr>
          <w:noBreakHyphen/>
          <w:t>5 JARC Services by Type and Size of Urbanized Area  (Percentage by Column)</w:t>
        </w:r>
        <w:r w:rsidR="00390393" w:rsidRPr="007C2D51">
          <w:rPr>
            <w:webHidden/>
          </w:rPr>
          <w:tab/>
        </w:r>
        <w:r w:rsidRPr="007C2D51">
          <w:rPr>
            <w:webHidden/>
          </w:rPr>
          <w:fldChar w:fldCharType="begin"/>
        </w:r>
        <w:r w:rsidR="00390393" w:rsidRPr="007C2D51">
          <w:rPr>
            <w:webHidden/>
          </w:rPr>
          <w:instrText xml:space="preserve"> PAGEREF _Toc304967471 \h </w:instrText>
        </w:r>
        <w:r w:rsidRPr="007C2D51">
          <w:rPr>
            <w:webHidden/>
          </w:rPr>
        </w:r>
        <w:r w:rsidRPr="007C2D51">
          <w:rPr>
            <w:webHidden/>
          </w:rPr>
          <w:fldChar w:fldCharType="separate"/>
        </w:r>
        <w:r w:rsidR="00910FBA">
          <w:rPr>
            <w:webHidden/>
          </w:rPr>
          <w:t>24</w:t>
        </w:r>
        <w:r w:rsidRPr="007C2D51">
          <w:rPr>
            <w:webHidden/>
          </w:rPr>
          <w:fldChar w:fldCharType="end"/>
        </w:r>
      </w:hyperlink>
    </w:p>
    <w:p w:rsidR="00390393" w:rsidRPr="007C2D51" w:rsidRDefault="00022E2F">
      <w:pPr>
        <w:pStyle w:val="TableofFigures"/>
        <w:rPr>
          <w:rFonts w:eastAsiaTheme="minorEastAsia" w:cstheme="minorBidi"/>
          <w:bCs w:val="0"/>
          <w:iCs w:val="0"/>
          <w:szCs w:val="22"/>
        </w:rPr>
      </w:pPr>
      <w:hyperlink w:anchor="_Toc304967472" w:history="1">
        <w:r w:rsidR="00390393" w:rsidRPr="007C2D51">
          <w:rPr>
            <w:rStyle w:val="Hyperlink"/>
          </w:rPr>
          <w:t>Table 4</w:t>
        </w:r>
        <w:r w:rsidR="00390393" w:rsidRPr="007C2D51">
          <w:rPr>
            <w:rStyle w:val="Hyperlink"/>
          </w:rPr>
          <w:noBreakHyphen/>
          <w:t>1 One-Way Trips by Service Type</w:t>
        </w:r>
        <w:r w:rsidR="00390393" w:rsidRPr="007C2D51">
          <w:rPr>
            <w:webHidden/>
          </w:rPr>
          <w:tab/>
        </w:r>
        <w:r w:rsidRPr="007C2D51">
          <w:rPr>
            <w:webHidden/>
          </w:rPr>
          <w:fldChar w:fldCharType="begin"/>
        </w:r>
        <w:r w:rsidR="00390393" w:rsidRPr="007C2D51">
          <w:rPr>
            <w:webHidden/>
          </w:rPr>
          <w:instrText xml:space="preserve"> PAGEREF _Toc304967472 \h </w:instrText>
        </w:r>
        <w:r w:rsidRPr="007C2D51">
          <w:rPr>
            <w:webHidden/>
          </w:rPr>
        </w:r>
        <w:r w:rsidRPr="007C2D51">
          <w:rPr>
            <w:webHidden/>
          </w:rPr>
          <w:fldChar w:fldCharType="separate"/>
        </w:r>
        <w:r w:rsidR="00910FBA">
          <w:rPr>
            <w:webHidden/>
          </w:rPr>
          <w:t>29</w:t>
        </w:r>
        <w:r w:rsidRPr="007C2D51">
          <w:rPr>
            <w:webHidden/>
          </w:rPr>
          <w:fldChar w:fldCharType="end"/>
        </w:r>
      </w:hyperlink>
    </w:p>
    <w:p w:rsidR="00390393" w:rsidRPr="007C2D51" w:rsidRDefault="00022E2F">
      <w:pPr>
        <w:pStyle w:val="TableofFigures"/>
        <w:rPr>
          <w:rFonts w:eastAsiaTheme="minorEastAsia" w:cstheme="minorBidi"/>
          <w:bCs w:val="0"/>
          <w:iCs w:val="0"/>
          <w:szCs w:val="22"/>
        </w:rPr>
      </w:pPr>
      <w:hyperlink w:anchor="_Toc304967473" w:history="1">
        <w:r w:rsidR="00390393" w:rsidRPr="007C2D51">
          <w:rPr>
            <w:rStyle w:val="Hyperlink"/>
          </w:rPr>
          <w:t>Table 4</w:t>
        </w:r>
        <w:r w:rsidR="00390393" w:rsidRPr="007C2D51">
          <w:rPr>
            <w:rStyle w:val="Hyperlink"/>
          </w:rPr>
          <w:noBreakHyphen/>
          <w:t>2 One-Way Trips by Service Type and Size of Urbanized Area  (Percentage by Row)</w:t>
        </w:r>
        <w:r w:rsidR="00390393" w:rsidRPr="007C2D51">
          <w:rPr>
            <w:webHidden/>
          </w:rPr>
          <w:tab/>
        </w:r>
        <w:r w:rsidRPr="007C2D51">
          <w:rPr>
            <w:webHidden/>
          </w:rPr>
          <w:fldChar w:fldCharType="begin"/>
        </w:r>
        <w:r w:rsidR="00390393" w:rsidRPr="007C2D51">
          <w:rPr>
            <w:webHidden/>
          </w:rPr>
          <w:instrText xml:space="preserve"> PAGEREF _Toc304967473 \h </w:instrText>
        </w:r>
        <w:r w:rsidRPr="007C2D51">
          <w:rPr>
            <w:webHidden/>
          </w:rPr>
        </w:r>
        <w:r w:rsidRPr="007C2D51">
          <w:rPr>
            <w:webHidden/>
          </w:rPr>
          <w:fldChar w:fldCharType="separate"/>
        </w:r>
        <w:r w:rsidR="00910FBA">
          <w:rPr>
            <w:webHidden/>
          </w:rPr>
          <w:t>32</w:t>
        </w:r>
        <w:r w:rsidRPr="007C2D51">
          <w:rPr>
            <w:webHidden/>
          </w:rPr>
          <w:fldChar w:fldCharType="end"/>
        </w:r>
      </w:hyperlink>
    </w:p>
    <w:p w:rsidR="00390393" w:rsidRPr="007C2D51" w:rsidRDefault="00022E2F">
      <w:pPr>
        <w:pStyle w:val="TableofFigures"/>
        <w:rPr>
          <w:rFonts w:eastAsiaTheme="minorEastAsia" w:cstheme="minorBidi"/>
          <w:bCs w:val="0"/>
          <w:iCs w:val="0"/>
          <w:szCs w:val="22"/>
        </w:rPr>
      </w:pPr>
      <w:hyperlink w:anchor="_Toc304967474" w:history="1">
        <w:r w:rsidR="00390393" w:rsidRPr="007C2D51">
          <w:rPr>
            <w:rStyle w:val="Hyperlink"/>
          </w:rPr>
          <w:t>Table 4</w:t>
        </w:r>
        <w:r w:rsidR="00390393" w:rsidRPr="007C2D51">
          <w:rPr>
            <w:rStyle w:val="Hyperlink"/>
          </w:rPr>
          <w:noBreakHyphen/>
          <w:t>3 One-Way Trips by Service Type and Size of Urbanized Area  (Percentage by Column)</w:t>
        </w:r>
        <w:r w:rsidR="00390393" w:rsidRPr="007C2D51">
          <w:rPr>
            <w:webHidden/>
          </w:rPr>
          <w:tab/>
        </w:r>
        <w:r w:rsidRPr="007C2D51">
          <w:rPr>
            <w:webHidden/>
          </w:rPr>
          <w:fldChar w:fldCharType="begin"/>
        </w:r>
        <w:r w:rsidR="00390393" w:rsidRPr="007C2D51">
          <w:rPr>
            <w:webHidden/>
          </w:rPr>
          <w:instrText xml:space="preserve"> PAGEREF _Toc304967474 \h </w:instrText>
        </w:r>
        <w:r w:rsidRPr="007C2D51">
          <w:rPr>
            <w:webHidden/>
          </w:rPr>
        </w:r>
        <w:r w:rsidRPr="007C2D51">
          <w:rPr>
            <w:webHidden/>
          </w:rPr>
          <w:fldChar w:fldCharType="separate"/>
        </w:r>
        <w:r w:rsidR="00910FBA">
          <w:rPr>
            <w:webHidden/>
          </w:rPr>
          <w:t>34</w:t>
        </w:r>
        <w:r w:rsidRPr="007C2D51">
          <w:rPr>
            <w:webHidden/>
          </w:rPr>
          <w:fldChar w:fldCharType="end"/>
        </w:r>
      </w:hyperlink>
    </w:p>
    <w:p w:rsidR="00390393" w:rsidRPr="007C2D51" w:rsidRDefault="00022E2F">
      <w:pPr>
        <w:pStyle w:val="TableofFigures"/>
        <w:rPr>
          <w:rFonts w:eastAsiaTheme="minorEastAsia" w:cstheme="minorBidi"/>
          <w:bCs w:val="0"/>
          <w:iCs w:val="0"/>
          <w:szCs w:val="22"/>
        </w:rPr>
      </w:pPr>
      <w:hyperlink w:anchor="_Toc304967475" w:history="1">
        <w:r w:rsidR="00390393" w:rsidRPr="007C2D51">
          <w:rPr>
            <w:rStyle w:val="Hyperlink"/>
          </w:rPr>
          <w:t>Table 4</w:t>
        </w:r>
        <w:r w:rsidR="00390393" w:rsidRPr="007C2D51">
          <w:rPr>
            <w:rStyle w:val="Hyperlink"/>
          </w:rPr>
          <w:noBreakHyphen/>
          <w:t>4 Comparison of Services and One-Way Trips  (Percentage by Column)</w:t>
        </w:r>
        <w:r w:rsidR="00390393" w:rsidRPr="007C2D51">
          <w:rPr>
            <w:webHidden/>
          </w:rPr>
          <w:tab/>
        </w:r>
        <w:r w:rsidRPr="007C2D51">
          <w:rPr>
            <w:webHidden/>
          </w:rPr>
          <w:fldChar w:fldCharType="begin"/>
        </w:r>
        <w:r w:rsidR="00390393" w:rsidRPr="007C2D51">
          <w:rPr>
            <w:webHidden/>
          </w:rPr>
          <w:instrText xml:space="preserve"> PAGEREF _Toc304967475 \h </w:instrText>
        </w:r>
        <w:r w:rsidRPr="007C2D51">
          <w:rPr>
            <w:webHidden/>
          </w:rPr>
        </w:r>
        <w:r w:rsidRPr="007C2D51">
          <w:rPr>
            <w:webHidden/>
          </w:rPr>
          <w:fldChar w:fldCharType="separate"/>
        </w:r>
        <w:r w:rsidR="00910FBA">
          <w:rPr>
            <w:webHidden/>
          </w:rPr>
          <w:t>37</w:t>
        </w:r>
        <w:r w:rsidRPr="007C2D51">
          <w:rPr>
            <w:webHidden/>
          </w:rPr>
          <w:fldChar w:fldCharType="end"/>
        </w:r>
      </w:hyperlink>
    </w:p>
    <w:p w:rsidR="00390393" w:rsidRPr="007C2D51" w:rsidRDefault="00022E2F">
      <w:pPr>
        <w:pStyle w:val="TableofFigures"/>
        <w:rPr>
          <w:rFonts w:eastAsiaTheme="minorEastAsia" w:cstheme="minorBidi"/>
          <w:bCs w:val="0"/>
          <w:iCs w:val="0"/>
          <w:szCs w:val="22"/>
        </w:rPr>
      </w:pPr>
      <w:hyperlink w:anchor="_Toc304967476" w:history="1">
        <w:r w:rsidR="00390393" w:rsidRPr="007C2D51">
          <w:rPr>
            <w:rStyle w:val="Hyperlink"/>
          </w:rPr>
          <w:t>Table 5</w:t>
        </w:r>
        <w:r w:rsidR="00390393" w:rsidRPr="007C2D51">
          <w:rPr>
            <w:rStyle w:val="Hyperlink"/>
          </w:rPr>
          <w:noBreakHyphen/>
          <w:t>1 Targeted Jobs by Service Type</w:t>
        </w:r>
        <w:r w:rsidR="00390393" w:rsidRPr="007C2D51">
          <w:rPr>
            <w:webHidden/>
          </w:rPr>
          <w:tab/>
        </w:r>
        <w:r w:rsidRPr="007C2D51">
          <w:rPr>
            <w:webHidden/>
          </w:rPr>
          <w:fldChar w:fldCharType="begin"/>
        </w:r>
        <w:r w:rsidR="00390393" w:rsidRPr="007C2D51">
          <w:rPr>
            <w:webHidden/>
          </w:rPr>
          <w:instrText xml:space="preserve"> PAGEREF _Toc304967476 \h </w:instrText>
        </w:r>
        <w:r w:rsidRPr="007C2D51">
          <w:rPr>
            <w:webHidden/>
          </w:rPr>
        </w:r>
        <w:r w:rsidRPr="007C2D51">
          <w:rPr>
            <w:webHidden/>
          </w:rPr>
          <w:fldChar w:fldCharType="separate"/>
        </w:r>
        <w:r w:rsidR="00910FBA">
          <w:rPr>
            <w:webHidden/>
          </w:rPr>
          <w:t>43</w:t>
        </w:r>
        <w:r w:rsidRPr="007C2D51">
          <w:rPr>
            <w:webHidden/>
          </w:rPr>
          <w:fldChar w:fldCharType="end"/>
        </w:r>
      </w:hyperlink>
    </w:p>
    <w:p w:rsidR="00390393" w:rsidRPr="007C2D51" w:rsidRDefault="00022E2F">
      <w:pPr>
        <w:pStyle w:val="TableofFigures"/>
        <w:rPr>
          <w:rFonts w:eastAsiaTheme="minorEastAsia" w:cstheme="minorBidi"/>
          <w:bCs w:val="0"/>
          <w:iCs w:val="0"/>
          <w:szCs w:val="22"/>
        </w:rPr>
      </w:pPr>
      <w:hyperlink w:anchor="_Toc304967477" w:history="1">
        <w:r w:rsidR="00390393" w:rsidRPr="007C2D51">
          <w:rPr>
            <w:rStyle w:val="Hyperlink"/>
          </w:rPr>
          <w:t>Table 5</w:t>
        </w:r>
        <w:r w:rsidR="00390393" w:rsidRPr="007C2D51">
          <w:rPr>
            <w:rStyle w:val="Hyperlink"/>
          </w:rPr>
          <w:noBreakHyphen/>
          <w:t>2 Jobs Accessed Estimate</w:t>
        </w:r>
        <w:r w:rsidR="00390393" w:rsidRPr="007C2D51">
          <w:rPr>
            <w:webHidden/>
          </w:rPr>
          <w:tab/>
        </w:r>
        <w:r w:rsidRPr="007C2D51">
          <w:rPr>
            <w:webHidden/>
          </w:rPr>
          <w:fldChar w:fldCharType="begin"/>
        </w:r>
        <w:r w:rsidR="00390393" w:rsidRPr="007C2D51">
          <w:rPr>
            <w:webHidden/>
          </w:rPr>
          <w:instrText xml:space="preserve"> PAGEREF _Toc304967477 \h </w:instrText>
        </w:r>
        <w:r w:rsidRPr="007C2D51">
          <w:rPr>
            <w:webHidden/>
          </w:rPr>
        </w:r>
        <w:r w:rsidRPr="007C2D51">
          <w:rPr>
            <w:webHidden/>
          </w:rPr>
          <w:fldChar w:fldCharType="separate"/>
        </w:r>
        <w:r w:rsidR="00910FBA">
          <w:rPr>
            <w:webHidden/>
          </w:rPr>
          <w:t>43</w:t>
        </w:r>
        <w:r w:rsidRPr="007C2D51">
          <w:rPr>
            <w:webHidden/>
          </w:rPr>
          <w:fldChar w:fldCharType="end"/>
        </w:r>
      </w:hyperlink>
    </w:p>
    <w:p w:rsidR="00390393" w:rsidRPr="007C2D51" w:rsidRDefault="00022E2F">
      <w:pPr>
        <w:pStyle w:val="TableofFigures"/>
        <w:rPr>
          <w:rFonts w:eastAsiaTheme="minorEastAsia" w:cstheme="minorBidi"/>
          <w:bCs w:val="0"/>
          <w:iCs w:val="0"/>
          <w:szCs w:val="22"/>
        </w:rPr>
      </w:pPr>
      <w:hyperlink w:anchor="_Toc304967478" w:history="1">
        <w:r w:rsidR="00390393" w:rsidRPr="007C2D51">
          <w:rPr>
            <w:rStyle w:val="Hyperlink"/>
          </w:rPr>
          <w:t>Table 6</w:t>
        </w:r>
        <w:r w:rsidR="00390393" w:rsidRPr="007C2D51">
          <w:rPr>
            <w:rStyle w:val="Hyperlink"/>
          </w:rPr>
          <w:noBreakHyphen/>
          <w:t>1 JARC Service Matrix – Distribution of Services by Primary Goal  (Number of services)</w:t>
        </w:r>
        <w:r w:rsidR="00390393" w:rsidRPr="007C2D51">
          <w:rPr>
            <w:webHidden/>
          </w:rPr>
          <w:tab/>
        </w:r>
        <w:r w:rsidRPr="007C2D51">
          <w:rPr>
            <w:webHidden/>
          </w:rPr>
          <w:fldChar w:fldCharType="begin"/>
        </w:r>
        <w:r w:rsidR="00390393" w:rsidRPr="007C2D51">
          <w:rPr>
            <w:webHidden/>
          </w:rPr>
          <w:instrText xml:space="preserve"> PAGEREF _Toc304967478 \h </w:instrText>
        </w:r>
        <w:r w:rsidRPr="007C2D51">
          <w:rPr>
            <w:webHidden/>
          </w:rPr>
        </w:r>
        <w:r w:rsidRPr="007C2D51">
          <w:rPr>
            <w:webHidden/>
          </w:rPr>
          <w:fldChar w:fldCharType="separate"/>
        </w:r>
        <w:r w:rsidR="00910FBA">
          <w:rPr>
            <w:webHidden/>
          </w:rPr>
          <w:t>49</w:t>
        </w:r>
        <w:r w:rsidRPr="007C2D51">
          <w:rPr>
            <w:webHidden/>
          </w:rPr>
          <w:fldChar w:fldCharType="end"/>
        </w:r>
      </w:hyperlink>
    </w:p>
    <w:p w:rsidR="00390393" w:rsidRPr="007C2D51" w:rsidRDefault="00022E2F">
      <w:pPr>
        <w:pStyle w:val="TableofFigures"/>
        <w:rPr>
          <w:rFonts w:eastAsiaTheme="minorEastAsia" w:cstheme="minorBidi"/>
          <w:bCs w:val="0"/>
          <w:iCs w:val="0"/>
          <w:szCs w:val="22"/>
        </w:rPr>
      </w:pPr>
      <w:hyperlink w:anchor="_Toc304967479" w:history="1">
        <w:r w:rsidR="00390393" w:rsidRPr="007C2D51">
          <w:rPr>
            <w:rStyle w:val="Hyperlink"/>
          </w:rPr>
          <w:t>Table 6</w:t>
        </w:r>
        <w:r w:rsidR="00390393" w:rsidRPr="007C2D51">
          <w:rPr>
            <w:rStyle w:val="Hyperlink"/>
          </w:rPr>
          <w:noBreakHyphen/>
          <w:t>2 JARC Service Matrix – Distribution of Services by Primary Goal  (Percentage by row)</w:t>
        </w:r>
        <w:r w:rsidR="00390393" w:rsidRPr="007C2D51">
          <w:rPr>
            <w:webHidden/>
          </w:rPr>
          <w:tab/>
        </w:r>
        <w:r w:rsidRPr="007C2D51">
          <w:rPr>
            <w:webHidden/>
          </w:rPr>
          <w:fldChar w:fldCharType="begin"/>
        </w:r>
        <w:r w:rsidR="00390393" w:rsidRPr="007C2D51">
          <w:rPr>
            <w:webHidden/>
          </w:rPr>
          <w:instrText xml:space="preserve"> PAGEREF _Toc304967479 \h </w:instrText>
        </w:r>
        <w:r w:rsidRPr="007C2D51">
          <w:rPr>
            <w:webHidden/>
          </w:rPr>
        </w:r>
        <w:r w:rsidRPr="007C2D51">
          <w:rPr>
            <w:webHidden/>
          </w:rPr>
          <w:fldChar w:fldCharType="separate"/>
        </w:r>
        <w:r w:rsidR="00910FBA">
          <w:rPr>
            <w:webHidden/>
          </w:rPr>
          <w:t>50</w:t>
        </w:r>
        <w:r w:rsidRPr="007C2D51">
          <w:rPr>
            <w:webHidden/>
          </w:rPr>
          <w:fldChar w:fldCharType="end"/>
        </w:r>
      </w:hyperlink>
    </w:p>
    <w:p w:rsidR="00390393" w:rsidRPr="007C2D51" w:rsidRDefault="00022E2F">
      <w:pPr>
        <w:pStyle w:val="TableofFigures"/>
        <w:rPr>
          <w:rFonts w:eastAsiaTheme="minorEastAsia" w:cstheme="minorBidi"/>
          <w:bCs w:val="0"/>
          <w:iCs w:val="0"/>
          <w:szCs w:val="22"/>
        </w:rPr>
      </w:pPr>
      <w:hyperlink w:anchor="_Toc304967480" w:history="1">
        <w:r w:rsidR="00390393" w:rsidRPr="007C2D51">
          <w:rPr>
            <w:rStyle w:val="Hyperlink"/>
          </w:rPr>
          <w:t>Table 6</w:t>
        </w:r>
        <w:r w:rsidR="00390393" w:rsidRPr="007C2D51">
          <w:rPr>
            <w:rStyle w:val="Hyperlink"/>
          </w:rPr>
          <w:noBreakHyphen/>
          <w:t>3 JARC Service Matrix – Distribution of Services by Primary Goal  (Percentage by column)</w:t>
        </w:r>
        <w:r w:rsidR="00390393" w:rsidRPr="007C2D51">
          <w:rPr>
            <w:webHidden/>
          </w:rPr>
          <w:tab/>
        </w:r>
        <w:r w:rsidRPr="007C2D51">
          <w:rPr>
            <w:webHidden/>
          </w:rPr>
          <w:fldChar w:fldCharType="begin"/>
        </w:r>
        <w:r w:rsidR="00390393" w:rsidRPr="007C2D51">
          <w:rPr>
            <w:webHidden/>
          </w:rPr>
          <w:instrText xml:space="preserve"> PAGEREF _Toc304967480 \h </w:instrText>
        </w:r>
        <w:r w:rsidRPr="007C2D51">
          <w:rPr>
            <w:webHidden/>
          </w:rPr>
        </w:r>
        <w:r w:rsidRPr="007C2D51">
          <w:rPr>
            <w:webHidden/>
          </w:rPr>
          <w:fldChar w:fldCharType="separate"/>
        </w:r>
        <w:r w:rsidR="00910FBA">
          <w:rPr>
            <w:webHidden/>
          </w:rPr>
          <w:t>51</w:t>
        </w:r>
        <w:r w:rsidRPr="007C2D51">
          <w:rPr>
            <w:webHidden/>
          </w:rPr>
          <w:fldChar w:fldCharType="end"/>
        </w:r>
      </w:hyperlink>
    </w:p>
    <w:p w:rsidR="00390393" w:rsidRPr="007C2D51" w:rsidRDefault="00022E2F">
      <w:pPr>
        <w:pStyle w:val="TableofFigures"/>
        <w:rPr>
          <w:rFonts w:eastAsiaTheme="minorEastAsia" w:cstheme="minorBidi"/>
          <w:bCs w:val="0"/>
          <w:iCs w:val="0"/>
          <w:szCs w:val="22"/>
        </w:rPr>
      </w:pPr>
      <w:hyperlink w:anchor="_Toc304967481" w:history="1">
        <w:r w:rsidR="00390393" w:rsidRPr="007C2D51">
          <w:rPr>
            <w:rStyle w:val="Hyperlink"/>
          </w:rPr>
          <w:t>Table 6</w:t>
        </w:r>
        <w:r w:rsidR="00390393" w:rsidRPr="007C2D51">
          <w:rPr>
            <w:rStyle w:val="Hyperlink"/>
          </w:rPr>
          <w:noBreakHyphen/>
          <w:t>4 JARC Service Matrix – Service Outputs by Primary Goal</w:t>
        </w:r>
        <w:r w:rsidR="00390393" w:rsidRPr="007C2D51">
          <w:rPr>
            <w:webHidden/>
          </w:rPr>
          <w:tab/>
        </w:r>
        <w:r w:rsidRPr="007C2D51">
          <w:rPr>
            <w:webHidden/>
          </w:rPr>
          <w:fldChar w:fldCharType="begin"/>
        </w:r>
        <w:r w:rsidR="00390393" w:rsidRPr="007C2D51">
          <w:rPr>
            <w:webHidden/>
          </w:rPr>
          <w:instrText xml:space="preserve"> PAGEREF _Toc304967481 \h </w:instrText>
        </w:r>
        <w:r w:rsidRPr="007C2D51">
          <w:rPr>
            <w:webHidden/>
          </w:rPr>
        </w:r>
        <w:r w:rsidRPr="007C2D51">
          <w:rPr>
            <w:webHidden/>
          </w:rPr>
          <w:fldChar w:fldCharType="separate"/>
        </w:r>
        <w:r w:rsidR="00910FBA">
          <w:rPr>
            <w:webHidden/>
          </w:rPr>
          <w:t>52</w:t>
        </w:r>
        <w:r w:rsidRPr="007C2D51">
          <w:rPr>
            <w:webHidden/>
          </w:rPr>
          <w:fldChar w:fldCharType="end"/>
        </w:r>
      </w:hyperlink>
    </w:p>
    <w:p w:rsidR="00E37ABC" w:rsidRPr="007C2D51" w:rsidRDefault="00022E2F" w:rsidP="00963292">
      <w:pPr>
        <w:pStyle w:val="TOC1"/>
        <w:rPr>
          <w:noProof w:val="0"/>
        </w:rPr>
      </w:pPr>
      <w:r w:rsidRPr="007C2D51">
        <w:rPr>
          <w:noProof w:val="0"/>
        </w:rPr>
        <w:fldChar w:fldCharType="end"/>
      </w:r>
      <w:r w:rsidR="00D70FF5" w:rsidRPr="007C2D51">
        <w:rPr>
          <w:noProof w:val="0"/>
        </w:rPr>
        <w:br w:type="page"/>
      </w:r>
    </w:p>
    <w:p w:rsidR="00B46770" w:rsidRPr="007C2D51" w:rsidRDefault="00DE7704" w:rsidP="00BE3A28">
      <w:pPr>
        <w:pStyle w:val="FrontHeading"/>
      </w:pPr>
      <w:r w:rsidRPr="007C2D51">
        <w:lastRenderedPageBreak/>
        <w:t>List of</w:t>
      </w:r>
      <w:r w:rsidR="00B46770" w:rsidRPr="007C2D51">
        <w:t xml:space="preserve"> Figures</w:t>
      </w:r>
    </w:p>
    <w:p w:rsidR="00390393" w:rsidRPr="007C2D51" w:rsidRDefault="00022E2F">
      <w:pPr>
        <w:pStyle w:val="TableofFigures"/>
        <w:rPr>
          <w:rFonts w:eastAsiaTheme="minorEastAsia" w:cstheme="minorBidi"/>
          <w:bCs w:val="0"/>
          <w:iCs w:val="0"/>
          <w:szCs w:val="22"/>
        </w:rPr>
      </w:pPr>
      <w:r w:rsidRPr="00022E2F">
        <w:rPr>
          <w:rFonts w:asciiTheme="majorHAnsi" w:hAnsiTheme="majorHAnsi"/>
          <w:noProof w:val="0"/>
          <w:color w:val="FEB80A" w:themeColor="accent2"/>
          <w:sz w:val="40"/>
          <w:szCs w:val="32"/>
        </w:rPr>
        <w:fldChar w:fldCharType="begin"/>
      </w:r>
      <w:r w:rsidR="00E37ABC" w:rsidRPr="007C2D51">
        <w:rPr>
          <w:rFonts w:asciiTheme="majorHAnsi" w:hAnsiTheme="majorHAnsi"/>
          <w:noProof w:val="0"/>
          <w:color w:val="FEB80A" w:themeColor="accent2"/>
          <w:sz w:val="40"/>
          <w:szCs w:val="32"/>
        </w:rPr>
        <w:instrText xml:space="preserve"> TOC \h \z \c "Figure" </w:instrText>
      </w:r>
      <w:r w:rsidRPr="00022E2F">
        <w:rPr>
          <w:rFonts w:asciiTheme="majorHAnsi" w:hAnsiTheme="majorHAnsi"/>
          <w:noProof w:val="0"/>
          <w:color w:val="FEB80A" w:themeColor="accent2"/>
          <w:sz w:val="40"/>
          <w:szCs w:val="32"/>
        </w:rPr>
        <w:fldChar w:fldCharType="separate"/>
      </w:r>
      <w:hyperlink w:anchor="_Toc304967482" w:history="1">
        <w:r w:rsidR="00390393" w:rsidRPr="007C2D51">
          <w:rPr>
            <w:rStyle w:val="Hyperlink"/>
          </w:rPr>
          <w:t>Figure 1</w:t>
        </w:r>
        <w:r w:rsidR="00390393" w:rsidRPr="007C2D51">
          <w:rPr>
            <w:rStyle w:val="Hyperlink"/>
          </w:rPr>
          <w:noBreakHyphen/>
          <w:t>1 FTA JARC Funding, 2005 - 2010</w:t>
        </w:r>
        <w:r w:rsidR="00390393" w:rsidRPr="007C2D51">
          <w:rPr>
            <w:webHidden/>
          </w:rPr>
          <w:tab/>
        </w:r>
        <w:r w:rsidRPr="007C2D51">
          <w:rPr>
            <w:webHidden/>
          </w:rPr>
          <w:fldChar w:fldCharType="begin"/>
        </w:r>
        <w:r w:rsidR="00390393" w:rsidRPr="007C2D51">
          <w:rPr>
            <w:webHidden/>
          </w:rPr>
          <w:instrText xml:space="preserve"> PAGEREF _Toc304967482 \h </w:instrText>
        </w:r>
        <w:r w:rsidRPr="007C2D51">
          <w:rPr>
            <w:webHidden/>
          </w:rPr>
        </w:r>
        <w:r w:rsidRPr="007C2D51">
          <w:rPr>
            <w:webHidden/>
          </w:rPr>
          <w:fldChar w:fldCharType="separate"/>
        </w:r>
        <w:r w:rsidR="00910FBA">
          <w:rPr>
            <w:webHidden/>
          </w:rPr>
          <w:t>2</w:t>
        </w:r>
        <w:r w:rsidRPr="007C2D51">
          <w:rPr>
            <w:webHidden/>
          </w:rPr>
          <w:fldChar w:fldCharType="end"/>
        </w:r>
      </w:hyperlink>
    </w:p>
    <w:p w:rsidR="00390393" w:rsidRPr="007C2D51" w:rsidRDefault="00022E2F">
      <w:pPr>
        <w:pStyle w:val="TableofFigures"/>
        <w:rPr>
          <w:rFonts w:eastAsiaTheme="minorEastAsia" w:cstheme="minorBidi"/>
          <w:bCs w:val="0"/>
          <w:iCs w:val="0"/>
          <w:szCs w:val="22"/>
        </w:rPr>
      </w:pPr>
      <w:hyperlink w:anchor="_Toc304967483" w:history="1">
        <w:r w:rsidR="00390393" w:rsidRPr="007C2D51">
          <w:rPr>
            <w:rStyle w:val="Hyperlink"/>
          </w:rPr>
          <w:t>Figure 2</w:t>
        </w:r>
        <w:r w:rsidR="00390393" w:rsidRPr="007C2D51">
          <w:rPr>
            <w:rStyle w:val="Hyperlink"/>
          </w:rPr>
          <w:noBreakHyphen/>
          <w:t>1 Email Outreach, February – May 2011</w:t>
        </w:r>
        <w:r w:rsidR="00390393" w:rsidRPr="007C2D51">
          <w:rPr>
            <w:webHidden/>
          </w:rPr>
          <w:tab/>
        </w:r>
        <w:r w:rsidRPr="007C2D51">
          <w:rPr>
            <w:webHidden/>
          </w:rPr>
          <w:fldChar w:fldCharType="begin"/>
        </w:r>
        <w:r w:rsidR="00390393" w:rsidRPr="007C2D51">
          <w:rPr>
            <w:webHidden/>
          </w:rPr>
          <w:instrText xml:space="preserve"> PAGEREF _Toc304967483 \h </w:instrText>
        </w:r>
        <w:r w:rsidRPr="007C2D51">
          <w:rPr>
            <w:webHidden/>
          </w:rPr>
        </w:r>
        <w:r w:rsidRPr="007C2D51">
          <w:rPr>
            <w:webHidden/>
          </w:rPr>
          <w:fldChar w:fldCharType="separate"/>
        </w:r>
        <w:r w:rsidR="00910FBA">
          <w:rPr>
            <w:webHidden/>
          </w:rPr>
          <w:t>10</w:t>
        </w:r>
        <w:r w:rsidRPr="007C2D51">
          <w:rPr>
            <w:webHidden/>
          </w:rPr>
          <w:fldChar w:fldCharType="end"/>
        </w:r>
      </w:hyperlink>
    </w:p>
    <w:p w:rsidR="00390393" w:rsidRPr="007C2D51" w:rsidRDefault="00022E2F">
      <w:pPr>
        <w:pStyle w:val="TableofFigures"/>
        <w:rPr>
          <w:rFonts w:eastAsiaTheme="minorEastAsia" w:cstheme="minorBidi"/>
          <w:bCs w:val="0"/>
          <w:iCs w:val="0"/>
          <w:szCs w:val="22"/>
        </w:rPr>
      </w:pPr>
      <w:hyperlink w:anchor="_Toc304967484" w:history="1">
        <w:r w:rsidR="00390393" w:rsidRPr="007C2D51">
          <w:rPr>
            <w:rStyle w:val="Hyperlink"/>
          </w:rPr>
          <w:t>Figure 3</w:t>
        </w:r>
        <w:r w:rsidR="00390393" w:rsidRPr="007C2D51">
          <w:rPr>
            <w:rStyle w:val="Hyperlink"/>
          </w:rPr>
          <w:noBreakHyphen/>
          <w:t>1 JARC Services by Type</w:t>
        </w:r>
        <w:r w:rsidR="00390393" w:rsidRPr="007C2D51">
          <w:rPr>
            <w:webHidden/>
          </w:rPr>
          <w:tab/>
        </w:r>
        <w:r w:rsidRPr="007C2D51">
          <w:rPr>
            <w:webHidden/>
          </w:rPr>
          <w:fldChar w:fldCharType="begin"/>
        </w:r>
        <w:r w:rsidR="00390393" w:rsidRPr="007C2D51">
          <w:rPr>
            <w:webHidden/>
          </w:rPr>
          <w:instrText xml:space="preserve"> PAGEREF _Toc304967484 \h </w:instrText>
        </w:r>
        <w:r w:rsidRPr="007C2D51">
          <w:rPr>
            <w:webHidden/>
          </w:rPr>
        </w:r>
        <w:r w:rsidRPr="007C2D51">
          <w:rPr>
            <w:webHidden/>
          </w:rPr>
          <w:fldChar w:fldCharType="separate"/>
        </w:r>
        <w:r w:rsidR="00910FBA">
          <w:rPr>
            <w:webHidden/>
          </w:rPr>
          <w:t>16</w:t>
        </w:r>
        <w:r w:rsidRPr="007C2D51">
          <w:rPr>
            <w:webHidden/>
          </w:rPr>
          <w:fldChar w:fldCharType="end"/>
        </w:r>
      </w:hyperlink>
    </w:p>
    <w:p w:rsidR="00390393" w:rsidRPr="007C2D51" w:rsidRDefault="00022E2F">
      <w:pPr>
        <w:pStyle w:val="TableofFigures"/>
        <w:rPr>
          <w:rFonts w:eastAsiaTheme="minorEastAsia" w:cstheme="minorBidi"/>
          <w:bCs w:val="0"/>
          <w:iCs w:val="0"/>
          <w:szCs w:val="22"/>
        </w:rPr>
      </w:pPr>
      <w:hyperlink w:anchor="_Toc304967485" w:history="1">
        <w:r w:rsidR="00390393" w:rsidRPr="007C2D51">
          <w:rPr>
            <w:rStyle w:val="Hyperlink"/>
          </w:rPr>
          <w:t>Figure 3</w:t>
        </w:r>
        <w:r w:rsidR="00390393" w:rsidRPr="007C2D51">
          <w:rPr>
            <w:rStyle w:val="Hyperlink"/>
          </w:rPr>
          <w:noBreakHyphen/>
          <w:t>2 JARC Services by Type  (Program Detail)</w:t>
        </w:r>
        <w:r w:rsidR="00390393" w:rsidRPr="007C2D51">
          <w:rPr>
            <w:webHidden/>
          </w:rPr>
          <w:tab/>
        </w:r>
        <w:r w:rsidRPr="007C2D51">
          <w:rPr>
            <w:webHidden/>
          </w:rPr>
          <w:fldChar w:fldCharType="begin"/>
        </w:r>
        <w:r w:rsidR="00390393" w:rsidRPr="007C2D51">
          <w:rPr>
            <w:webHidden/>
          </w:rPr>
          <w:instrText xml:space="preserve"> PAGEREF _Toc304967485 \h </w:instrText>
        </w:r>
        <w:r w:rsidRPr="007C2D51">
          <w:rPr>
            <w:webHidden/>
          </w:rPr>
        </w:r>
        <w:r w:rsidRPr="007C2D51">
          <w:rPr>
            <w:webHidden/>
          </w:rPr>
          <w:fldChar w:fldCharType="separate"/>
        </w:r>
        <w:r w:rsidR="00910FBA">
          <w:rPr>
            <w:webHidden/>
          </w:rPr>
          <w:t>17</w:t>
        </w:r>
        <w:r w:rsidRPr="007C2D51">
          <w:rPr>
            <w:webHidden/>
          </w:rPr>
          <w:fldChar w:fldCharType="end"/>
        </w:r>
      </w:hyperlink>
    </w:p>
    <w:p w:rsidR="00390393" w:rsidRPr="007C2D51" w:rsidRDefault="00022E2F">
      <w:pPr>
        <w:pStyle w:val="TableofFigures"/>
        <w:rPr>
          <w:rFonts w:eastAsiaTheme="minorEastAsia" w:cstheme="minorBidi"/>
          <w:bCs w:val="0"/>
          <w:iCs w:val="0"/>
          <w:szCs w:val="22"/>
        </w:rPr>
      </w:pPr>
      <w:hyperlink w:anchor="_Toc304967486" w:history="1">
        <w:r w:rsidR="00390393" w:rsidRPr="007C2D51">
          <w:rPr>
            <w:rStyle w:val="Hyperlink"/>
          </w:rPr>
          <w:t>Figure 3</w:t>
        </w:r>
        <w:r w:rsidR="00390393" w:rsidRPr="007C2D51">
          <w:rPr>
            <w:rStyle w:val="Hyperlink"/>
          </w:rPr>
          <w:noBreakHyphen/>
          <w:t>3 JARC Services by Type FY 2006 – FY 2010</w:t>
        </w:r>
        <w:r w:rsidR="00390393" w:rsidRPr="007C2D51">
          <w:rPr>
            <w:webHidden/>
          </w:rPr>
          <w:tab/>
        </w:r>
        <w:r w:rsidRPr="007C2D51">
          <w:rPr>
            <w:webHidden/>
          </w:rPr>
          <w:fldChar w:fldCharType="begin"/>
        </w:r>
        <w:r w:rsidR="00390393" w:rsidRPr="007C2D51">
          <w:rPr>
            <w:webHidden/>
          </w:rPr>
          <w:instrText xml:space="preserve"> PAGEREF _Toc304967486 \h </w:instrText>
        </w:r>
        <w:r w:rsidRPr="007C2D51">
          <w:rPr>
            <w:webHidden/>
          </w:rPr>
        </w:r>
        <w:r w:rsidRPr="007C2D51">
          <w:rPr>
            <w:webHidden/>
          </w:rPr>
          <w:fldChar w:fldCharType="separate"/>
        </w:r>
        <w:r w:rsidR="00910FBA">
          <w:rPr>
            <w:webHidden/>
          </w:rPr>
          <w:t>18</w:t>
        </w:r>
        <w:r w:rsidRPr="007C2D51">
          <w:rPr>
            <w:webHidden/>
          </w:rPr>
          <w:fldChar w:fldCharType="end"/>
        </w:r>
      </w:hyperlink>
    </w:p>
    <w:p w:rsidR="00390393" w:rsidRPr="007C2D51" w:rsidRDefault="00022E2F">
      <w:pPr>
        <w:pStyle w:val="TableofFigures"/>
        <w:rPr>
          <w:rFonts w:eastAsiaTheme="minorEastAsia" w:cstheme="minorBidi"/>
          <w:bCs w:val="0"/>
          <w:iCs w:val="0"/>
          <w:szCs w:val="22"/>
        </w:rPr>
      </w:pPr>
      <w:hyperlink w:anchor="_Toc304967487" w:history="1">
        <w:r w:rsidR="00390393" w:rsidRPr="007C2D51">
          <w:rPr>
            <w:rStyle w:val="Hyperlink"/>
          </w:rPr>
          <w:t>Figure 3</w:t>
        </w:r>
        <w:r w:rsidR="00390393" w:rsidRPr="007C2D51">
          <w:rPr>
            <w:rStyle w:val="Hyperlink"/>
          </w:rPr>
          <w:noBreakHyphen/>
          <w:t>4 JARC Services by Type and Size of Urbanized Area  (Percentage by Row)</w:t>
        </w:r>
        <w:r w:rsidR="00390393" w:rsidRPr="007C2D51">
          <w:rPr>
            <w:webHidden/>
          </w:rPr>
          <w:tab/>
        </w:r>
        <w:r w:rsidRPr="007C2D51">
          <w:rPr>
            <w:webHidden/>
          </w:rPr>
          <w:fldChar w:fldCharType="begin"/>
        </w:r>
        <w:r w:rsidR="00390393" w:rsidRPr="007C2D51">
          <w:rPr>
            <w:webHidden/>
          </w:rPr>
          <w:instrText xml:space="preserve"> PAGEREF _Toc304967487 \h </w:instrText>
        </w:r>
        <w:r w:rsidRPr="007C2D51">
          <w:rPr>
            <w:webHidden/>
          </w:rPr>
        </w:r>
        <w:r w:rsidRPr="007C2D51">
          <w:rPr>
            <w:webHidden/>
          </w:rPr>
          <w:fldChar w:fldCharType="separate"/>
        </w:r>
        <w:r w:rsidR="00910FBA">
          <w:rPr>
            <w:webHidden/>
          </w:rPr>
          <w:t>23</w:t>
        </w:r>
        <w:r w:rsidRPr="007C2D51">
          <w:rPr>
            <w:webHidden/>
          </w:rPr>
          <w:fldChar w:fldCharType="end"/>
        </w:r>
      </w:hyperlink>
    </w:p>
    <w:p w:rsidR="00390393" w:rsidRPr="007C2D51" w:rsidRDefault="00022E2F">
      <w:pPr>
        <w:pStyle w:val="TableofFigures"/>
        <w:rPr>
          <w:rFonts w:eastAsiaTheme="minorEastAsia" w:cstheme="minorBidi"/>
          <w:bCs w:val="0"/>
          <w:iCs w:val="0"/>
          <w:szCs w:val="22"/>
        </w:rPr>
      </w:pPr>
      <w:hyperlink w:anchor="_Toc304967488" w:history="1">
        <w:r w:rsidR="00390393" w:rsidRPr="007C2D51">
          <w:rPr>
            <w:rStyle w:val="Hyperlink"/>
          </w:rPr>
          <w:t>Figure 3</w:t>
        </w:r>
        <w:r w:rsidR="00390393" w:rsidRPr="007C2D51">
          <w:rPr>
            <w:rStyle w:val="Hyperlink"/>
          </w:rPr>
          <w:noBreakHyphen/>
          <w:t>5 JARC Services by Type and Size of Urbanized Area  (Percentage by Column)</w:t>
        </w:r>
        <w:r w:rsidR="00390393" w:rsidRPr="007C2D51">
          <w:rPr>
            <w:webHidden/>
          </w:rPr>
          <w:tab/>
        </w:r>
        <w:r w:rsidRPr="007C2D51">
          <w:rPr>
            <w:webHidden/>
          </w:rPr>
          <w:fldChar w:fldCharType="begin"/>
        </w:r>
        <w:r w:rsidR="00390393" w:rsidRPr="007C2D51">
          <w:rPr>
            <w:webHidden/>
          </w:rPr>
          <w:instrText xml:space="preserve"> PAGEREF _Toc304967488 \h </w:instrText>
        </w:r>
        <w:r w:rsidRPr="007C2D51">
          <w:rPr>
            <w:webHidden/>
          </w:rPr>
        </w:r>
        <w:r w:rsidRPr="007C2D51">
          <w:rPr>
            <w:webHidden/>
          </w:rPr>
          <w:fldChar w:fldCharType="separate"/>
        </w:r>
        <w:r w:rsidR="00910FBA">
          <w:rPr>
            <w:webHidden/>
          </w:rPr>
          <w:t>25</w:t>
        </w:r>
        <w:r w:rsidRPr="007C2D51">
          <w:rPr>
            <w:webHidden/>
          </w:rPr>
          <w:fldChar w:fldCharType="end"/>
        </w:r>
      </w:hyperlink>
    </w:p>
    <w:p w:rsidR="00390393" w:rsidRPr="007C2D51" w:rsidRDefault="00022E2F">
      <w:pPr>
        <w:pStyle w:val="TableofFigures"/>
        <w:rPr>
          <w:rFonts w:eastAsiaTheme="minorEastAsia" w:cstheme="minorBidi"/>
          <w:bCs w:val="0"/>
          <w:iCs w:val="0"/>
          <w:szCs w:val="22"/>
        </w:rPr>
      </w:pPr>
      <w:hyperlink w:anchor="_Toc304967489" w:history="1">
        <w:r w:rsidR="00390393" w:rsidRPr="007C2D51">
          <w:rPr>
            <w:rStyle w:val="Hyperlink"/>
          </w:rPr>
          <w:t>Figure 3</w:t>
        </w:r>
        <w:r w:rsidR="00390393" w:rsidRPr="007C2D51">
          <w:rPr>
            <w:rStyle w:val="Hyperlink"/>
          </w:rPr>
          <w:noBreakHyphen/>
          <w:t>6 JARC Services by Size of Urbanized Area FY 2006 – FY 2010</w:t>
        </w:r>
        <w:r w:rsidR="00390393" w:rsidRPr="007C2D51">
          <w:rPr>
            <w:webHidden/>
          </w:rPr>
          <w:tab/>
        </w:r>
        <w:r w:rsidRPr="007C2D51">
          <w:rPr>
            <w:webHidden/>
          </w:rPr>
          <w:fldChar w:fldCharType="begin"/>
        </w:r>
        <w:r w:rsidR="00390393" w:rsidRPr="007C2D51">
          <w:rPr>
            <w:webHidden/>
          </w:rPr>
          <w:instrText xml:space="preserve"> PAGEREF _Toc304967489 \h </w:instrText>
        </w:r>
        <w:r w:rsidRPr="007C2D51">
          <w:rPr>
            <w:webHidden/>
          </w:rPr>
        </w:r>
        <w:r w:rsidRPr="007C2D51">
          <w:rPr>
            <w:webHidden/>
          </w:rPr>
          <w:fldChar w:fldCharType="separate"/>
        </w:r>
        <w:r w:rsidR="00910FBA">
          <w:rPr>
            <w:webHidden/>
          </w:rPr>
          <w:t>26</w:t>
        </w:r>
        <w:r w:rsidRPr="007C2D51">
          <w:rPr>
            <w:webHidden/>
          </w:rPr>
          <w:fldChar w:fldCharType="end"/>
        </w:r>
      </w:hyperlink>
    </w:p>
    <w:p w:rsidR="00390393" w:rsidRPr="007C2D51" w:rsidRDefault="00022E2F">
      <w:pPr>
        <w:pStyle w:val="TableofFigures"/>
        <w:rPr>
          <w:rFonts w:eastAsiaTheme="minorEastAsia" w:cstheme="minorBidi"/>
          <w:bCs w:val="0"/>
          <w:iCs w:val="0"/>
          <w:szCs w:val="22"/>
        </w:rPr>
      </w:pPr>
      <w:hyperlink w:anchor="_Toc304967490" w:history="1">
        <w:r w:rsidR="00390393" w:rsidRPr="007C2D51">
          <w:rPr>
            <w:rStyle w:val="Hyperlink"/>
          </w:rPr>
          <w:t>Figure 4</w:t>
        </w:r>
        <w:r w:rsidR="00390393" w:rsidRPr="007C2D51">
          <w:rPr>
            <w:rStyle w:val="Hyperlink"/>
          </w:rPr>
          <w:noBreakHyphen/>
          <w:t>1 One-Way Trips by Service Type  (Thousands of Trips)</w:t>
        </w:r>
        <w:r w:rsidR="00390393" w:rsidRPr="007C2D51">
          <w:rPr>
            <w:webHidden/>
          </w:rPr>
          <w:tab/>
        </w:r>
        <w:r w:rsidRPr="007C2D51">
          <w:rPr>
            <w:webHidden/>
          </w:rPr>
          <w:fldChar w:fldCharType="begin"/>
        </w:r>
        <w:r w:rsidR="00390393" w:rsidRPr="007C2D51">
          <w:rPr>
            <w:webHidden/>
          </w:rPr>
          <w:instrText xml:space="preserve"> PAGEREF _Toc304967490 \h </w:instrText>
        </w:r>
        <w:r w:rsidRPr="007C2D51">
          <w:rPr>
            <w:webHidden/>
          </w:rPr>
        </w:r>
        <w:r w:rsidRPr="007C2D51">
          <w:rPr>
            <w:webHidden/>
          </w:rPr>
          <w:fldChar w:fldCharType="separate"/>
        </w:r>
        <w:r w:rsidR="00910FBA">
          <w:rPr>
            <w:webHidden/>
          </w:rPr>
          <w:t>30</w:t>
        </w:r>
        <w:r w:rsidRPr="007C2D51">
          <w:rPr>
            <w:webHidden/>
          </w:rPr>
          <w:fldChar w:fldCharType="end"/>
        </w:r>
      </w:hyperlink>
    </w:p>
    <w:p w:rsidR="00390393" w:rsidRPr="007C2D51" w:rsidRDefault="00022E2F">
      <w:pPr>
        <w:pStyle w:val="TableofFigures"/>
        <w:rPr>
          <w:rFonts w:eastAsiaTheme="minorEastAsia" w:cstheme="minorBidi"/>
          <w:bCs w:val="0"/>
          <w:iCs w:val="0"/>
          <w:szCs w:val="22"/>
        </w:rPr>
      </w:pPr>
      <w:hyperlink w:anchor="_Toc304967491" w:history="1">
        <w:r w:rsidR="00390393" w:rsidRPr="007C2D51">
          <w:rPr>
            <w:rStyle w:val="Hyperlink"/>
          </w:rPr>
          <w:t>Figure 4</w:t>
        </w:r>
        <w:r w:rsidR="00390393" w:rsidRPr="007C2D51">
          <w:rPr>
            <w:rStyle w:val="Hyperlink"/>
          </w:rPr>
          <w:noBreakHyphen/>
          <w:t>2 One-Way Trips by Service Type and Size of Urbanized Area  (Percentage by Row)</w:t>
        </w:r>
        <w:r w:rsidR="00390393" w:rsidRPr="007C2D51">
          <w:rPr>
            <w:webHidden/>
          </w:rPr>
          <w:tab/>
        </w:r>
        <w:r w:rsidRPr="007C2D51">
          <w:rPr>
            <w:webHidden/>
          </w:rPr>
          <w:fldChar w:fldCharType="begin"/>
        </w:r>
        <w:r w:rsidR="00390393" w:rsidRPr="007C2D51">
          <w:rPr>
            <w:webHidden/>
          </w:rPr>
          <w:instrText xml:space="preserve"> PAGEREF _Toc304967491 \h </w:instrText>
        </w:r>
        <w:r w:rsidRPr="007C2D51">
          <w:rPr>
            <w:webHidden/>
          </w:rPr>
        </w:r>
        <w:r w:rsidRPr="007C2D51">
          <w:rPr>
            <w:webHidden/>
          </w:rPr>
          <w:fldChar w:fldCharType="separate"/>
        </w:r>
        <w:r w:rsidR="00910FBA">
          <w:rPr>
            <w:webHidden/>
          </w:rPr>
          <w:t>33</w:t>
        </w:r>
        <w:r w:rsidRPr="007C2D51">
          <w:rPr>
            <w:webHidden/>
          </w:rPr>
          <w:fldChar w:fldCharType="end"/>
        </w:r>
      </w:hyperlink>
    </w:p>
    <w:p w:rsidR="00390393" w:rsidRPr="007C2D51" w:rsidRDefault="00022E2F">
      <w:pPr>
        <w:pStyle w:val="TableofFigures"/>
        <w:rPr>
          <w:rFonts w:eastAsiaTheme="minorEastAsia" w:cstheme="minorBidi"/>
          <w:bCs w:val="0"/>
          <w:iCs w:val="0"/>
          <w:szCs w:val="22"/>
        </w:rPr>
      </w:pPr>
      <w:hyperlink w:anchor="_Toc304967492" w:history="1">
        <w:r w:rsidR="00390393" w:rsidRPr="007C2D51">
          <w:rPr>
            <w:rStyle w:val="Hyperlink"/>
          </w:rPr>
          <w:t>Figure 4</w:t>
        </w:r>
        <w:r w:rsidR="00390393" w:rsidRPr="007C2D51">
          <w:rPr>
            <w:rStyle w:val="Hyperlink"/>
          </w:rPr>
          <w:noBreakHyphen/>
          <w:t>3 One-Way Trips by Service Type and Size of Urbanized Area  (Percentage by Column)</w:t>
        </w:r>
        <w:r w:rsidR="00390393" w:rsidRPr="007C2D51">
          <w:rPr>
            <w:webHidden/>
          </w:rPr>
          <w:tab/>
        </w:r>
        <w:r w:rsidRPr="007C2D51">
          <w:rPr>
            <w:webHidden/>
          </w:rPr>
          <w:fldChar w:fldCharType="begin"/>
        </w:r>
        <w:r w:rsidR="00390393" w:rsidRPr="007C2D51">
          <w:rPr>
            <w:webHidden/>
          </w:rPr>
          <w:instrText xml:space="preserve"> PAGEREF _Toc304967492 \h </w:instrText>
        </w:r>
        <w:r w:rsidRPr="007C2D51">
          <w:rPr>
            <w:webHidden/>
          </w:rPr>
        </w:r>
        <w:r w:rsidRPr="007C2D51">
          <w:rPr>
            <w:webHidden/>
          </w:rPr>
          <w:fldChar w:fldCharType="separate"/>
        </w:r>
        <w:r w:rsidR="00910FBA">
          <w:rPr>
            <w:webHidden/>
          </w:rPr>
          <w:t>35</w:t>
        </w:r>
        <w:r w:rsidRPr="007C2D51">
          <w:rPr>
            <w:webHidden/>
          </w:rPr>
          <w:fldChar w:fldCharType="end"/>
        </w:r>
      </w:hyperlink>
    </w:p>
    <w:p w:rsidR="00390393" w:rsidRPr="007C2D51" w:rsidRDefault="00022E2F">
      <w:pPr>
        <w:pStyle w:val="TableofFigures"/>
        <w:rPr>
          <w:rFonts w:eastAsiaTheme="minorEastAsia" w:cstheme="minorBidi"/>
          <w:bCs w:val="0"/>
          <w:iCs w:val="0"/>
          <w:szCs w:val="22"/>
        </w:rPr>
      </w:pPr>
      <w:hyperlink w:anchor="_Toc304967493" w:history="1">
        <w:r w:rsidR="00390393" w:rsidRPr="007C2D51">
          <w:rPr>
            <w:rStyle w:val="Hyperlink"/>
          </w:rPr>
          <w:t>Figure 4</w:t>
        </w:r>
        <w:r w:rsidR="00390393" w:rsidRPr="007C2D51">
          <w:rPr>
            <w:rStyle w:val="Hyperlink"/>
          </w:rPr>
          <w:noBreakHyphen/>
          <w:t>4 Comparison of Services and One-Way Trips  (Percentage by Column)</w:t>
        </w:r>
        <w:r w:rsidR="00390393" w:rsidRPr="007C2D51">
          <w:rPr>
            <w:webHidden/>
          </w:rPr>
          <w:tab/>
        </w:r>
        <w:r w:rsidRPr="007C2D51">
          <w:rPr>
            <w:webHidden/>
          </w:rPr>
          <w:fldChar w:fldCharType="begin"/>
        </w:r>
        <w:r w:rsidR="00390393" w:rsidRPr="007C2D51">
          <w:rPr>
            <w:webHidden/>
          </w:rPr>
          <w:instrText xml:space="preserve"> PAGEREF _Toc304967493 \h </w:instrText>
        </w:r>
        <w:r w:rsidRPr="007C2D51">
          <w:rPr>
            <w:webHidden/>
          </w:rPr>
        </w:r>
        <w:r w:rsidRPr="007C2D51">
          <w:rPr>
            <w:webHidden/>
          </w:rPr>
          <w:fldChar w:fldCharType="separate"/>
        </w:r>
        <w:r w:rsidR="00910FBA">
          <w:rPr>
            <w:webHidden/>
          </w:rPr>
          <w:t>38</w:t>
        </w:r>
        <w:r w:rsidRPr="007C2D51">
          <w:rPr>
            <w:webHidden/>
          </w:rPr>
          <w:fldChar w:fldCharType="end"/>
        </w:r>
      </w:hyperlink>
    </w:p>
    <w:p w:rsidR="00390393" w:rsidRPr="007C2D51" w:rsidRDefault="00022E2F">
      <w:pPr>
        <w:pStyle w:val="TableofFigures"/>
        <w:rPr>
          <w:rFonts w:eastAsiaTheme="minorEastAsia" w:cstheme="minorBidi"/>
          <w:bCs w:val="0"/>
          <w:iCs w:val="0"/>
          <w:szCs w:val="22"/>
        </w:rPr>
      </w:pPr>
      <w:hyperlink w:anchor="_Toc304967494" w:history="1">
        <w:r w:rsidR="00390393" w:rsidRPr="007C2D51">
          <w:rPr>
            <w:rStyle w:val="Hyperlink"/>
          </w:rPr>
          <w:t>Figure 6</w:t>
        </w:r>
        <w:r w:rsidR="00390393" w:rsidRPr="007C2D51">
          <w:rPr>
            <w:rStyle w:val="Hyperlink"/>
          </w:rPr>
          <w:noBreakHyphen/>
          <w:t>1 JARC Services by Primary Goal FY 2007 – FY 2010</w:t>
        </w:r>
        <w:r w:rsidR="00390393" w:rsidRPr="007C2D51">
          <w:rPr>
            <w:webHidden/>
          </w:rPr>
          <w:tab/>
        </w:r>
        <w:r w:rsidRPr="007C2D51">
          <w:rPr>
            <w:webHidden/>
          </w:rPr>
          <w:fldChar w:fldCharType="begin"/>
        </w:r>
        <w:r w:rsidR="00390393" w:rsidRPr="007C2D51">
          <w:rPr>
            <w:webHidden/>
          </w:rPr>
          <w:instrText xml:space="preserve"> PAGEREF _Toc304967494 \h </w:instrText>
        </w:r>
        <w:r w:rsidRPr="007C2D51">
          <w:rPr>
            <w:webHidden/>
          </w:rPr>
        </w:r>
        <w:r w:rsidRPr="007C2D51">
          <w:rPr>
            <w:webHidden/>
          </w:rPr>
          <w:fldChar w:fldCharType="separate"/>
        </w:r>
        <w:r w:rsidR="00910FBA">
          <w:rPr>
            <w:webHidden/>
          </w:rPr>
          <w:t>46</w:t>
        </w:r>
        <w:r w:rsidRPr="007C2D51">
          <w:rPr>
            <w:webHidden/>
          </w:rPr>
          <w:fldChar w:fldCharType="end"/>
        </w:r>
      </w:hyperlink>
    </w:p>
    <w:p w:rsidR="000D40B1" w:rsidRPr="007C2D51" w:rsidRDefault="00022E2F" w:rsidP="00367924">
      <w:pPr>
        <w:pStyle w:val="TOC1"/>
        <w:rPr>
          <w:noProof w:val="0"/>
        </w:rPr>
      </w:pPr>
      <w:r w:rsidRPr="007C2D51">
        <w:rPr>
          <w:noProof w:val="0"/>
        </w:rPr>
        <w:fldChar w:fldCharType="end"/>
      </w:r>
    </w:p>
    <w:p w:rsidR="00F36FAC" w:rsidRPr="007C2D51" w:rsidRDefault="00F36FAC" w:rsidP="000F0692">
      <w:pPr>
        <w:sectPr w:rsidR="00F36FAC" w:rsidRPr="007C2D51">
          <w:footerReference w:type="first" r:id="rId13"/>
          <w:pgSz w:w="12240" w:h="15840"/>
          <w:pgMar w:top="1440" w:right="1440" w:bottom="1440" w:left="1440" w:header="720" w:footer="720" w:gutter="0"/>
          <w:pgNumType w:fmt="lowerRoman" w:start="1"/>
          <w:cols w:space="720"/>
          <w:titlePg/>
          <w:docGrid w:linePitch="360"/>
        </w:sectPr>
      </w:pPr>
    </w:p>
    <w:p w:rsidR="009905BB" w:rsidRPr="007C2D51" w:rsidRDefault="00211F2F" w:rsidP="00E61646">
      <w:pPr>
        <w:pStyle w:val="Heading1"/>
      </w:pPr>
      <w:bookmarkStart w:id="10" w:name="_Toc304965679"/>
      <w:r w:rsidRPr="007C2D51">
        <w:lastRenderedPageBreak/>
        <w:t>Introduction</w:t>
      </w:r>
      <w:bookmarkEnd w:id="10"/>
    </w:p>
    <w:p w:rsidR="00892115" w:rsidRPr="007C2D51" w:rsidRDefault="00E36225">
      <w:pPr>
        <w:pStyle w:val="BodyText"/>
      </w:pPr>
      <w:r w:rsidRPr="007C2D51">
        <w:t>The Job Access Reverse Commute (JARC</w:t>
      </w:r>
      <w:r w:rsidR="00E53CF6" w:rsidRPr="007C2D51">
        <w:t>)</w:t>
      </w:r>
      <w:r w:rsidRPr="007C2D51">
        <w:t xml:space="preserve"> was developed to address the unique transportation challenges that welfare recipients and low-income individuals face in finding and keeping jobs</w:t>
      </w:r>
      <w:r w:rsidR="00CE332B" w:rsidRPr="007C2D51">
        <w:t xml:space="preserve">.  </w:t>
      </w:r>
      <w:r w:rsidRPr="007C2D51">
        <w:t>It also addresses issues related to accessing jobs located in suburban areas, which are difficult to reach from urban and rural areas</w:t>
      </w:r>
      <w:r w:rsidR="00CE332B" w:rsidRPr="007C2D51">
        <w:t xml:space="preserve">.  </w:t>
      </w:r>
    </w:p>
    <w:p w:rsidR="00892115" w:rsidRPr="007C2D51" w:rsidRDefault="00E53CF6">
      <w:pPr>
        <w:pStyle w:val="BodyText"/>
      </w:pPr>
      <w:r w:rsidRPr="007C2D51">
        <w:t>JARC was established in 1999 under Section 3037 of the Transportation Equity Act for the 21st Century (TEA-21)</w:t>
      </w:r>
      <w:r w:rsidR="00CE332B" w:rsidRPr="007C2D51">
        <w:t xml:space="preserve">.  </w:t>
      </w:r>
      <w:r w:rsidR="00E36225" w:rsidRPr="007C2D51">
        <w:t xml:space="preserve">Initially, Section 3037 required </w:t>
      </w:r>
      <w:r w:rsidRPr="007C2D51">
        <w:t>the Federal Transit Administration (FTA) to select</w:t>
      </w:r>
      <w:r w:rsidR="008844B6" w:rsidRPr="007C2D51">
        <w:t xml:space="preserve"> </w:t>
      </w:r>
      <w:r w:rsidR="00E36225" w:rsidRPr="007C2D51">
        <w:t xml:space="preserve">JARC projects through a national competition based on </w:t>
      </w:r>
      <w:r w:rsidRPr="007C2D51">
        <w:t xml:space="preserve">criteria defined by statute, and FTA used </w:t>
      </w:r>
      <w:r w:rsidR="00565472" w:rsidRPr="007C2D51">
        <w:t>a competitive process to select projects</w:t>
      </w:r>
      <w:r w:rsidR="00E36225" w:rsidRPr="007C2D51">
        <w:t xml:space="preserve"> for funding appropriated in FY 1999 through FY 2002</w:t>
      </w:r>
      <w:r w:rsidR="00CE332B" w:rsidRPr="007C2D51">
        <w:t xml:space="preserve">.  </w:t>
      </w:r>
      <w:r w:rsidR="00E36225" w:rsidRPr="007C2D51">
        <w:t>However, beginning in FY 2000, Congress also began designating specific projects and recipients to receive JARC funding in the conference reports accompanying the annual appropriations acts, and directed FTA to honor those designations</w:t>
      </w:r>
      <w:r w:rsidR="00CE332B" w:rsidRPr="007C2D51">
        <w:t xml:space="preserve">.  </w:t>
      </w:r>
      <w:r w:rsidR="00E36225" w:rsidRPr="007C2D51">
        <w:t>Each year more projects were Congressionally designated until finally, by FY 2003, all JARC project funding was allocated through directives</w:t>
      </w:r>
      <w:r w:rsidR="00CE332B" w:rsidRPr="007C2D51">
        <w:t xml:space="preserve">.  </w:t>
      </w:r>
    </w:p>
    <w:p w:rsidR="00892115" w:rsidRPr="007C2D51" w:rsidRDefault="00E36225">
      <w:pPr>
        <w:pStyle w:val="BodyText"/>
      </w:pPr>
      <w:r w:rsidRPr="007C2D51">
        <w:t>Enacted in 2005, the Safe, Accountable, Flexible, Efficient Transportation Equity Act: A Legacy for Users (SAFETEA-LU) repealed Section 3037</w:t>
      </w:r>
      <w:r w:rsidR="009E6FF1" w:rsidRPr="007C2D51">
        <w:t>,</w:t>
      </w:r>
      <w:r w:rsidRPr="007C2D51">
        <w:t xml:space="preserve"> and JARC was transitioned into a formula-based program under Section 5316 of the new Act</w:t>
      </w:r>
      <w:r w:rsidR="00CE332B" w:rsidRPr="007C2D51">
        <w:t xml:space="preserve">.  </w:t>
      </w:r>
      <w:r w:rsidR="00565472" w:rsidRPr="007C2D51">
        <w:t xml:space="preserve">The new formula </w:t>
      </w:r>
      <w:r w:rsidR="00050FB0" w:rsidRPr="007C2D51">
        <w:t>was intended</w:t>
      </w:r>
      <w:r w:rsidRPr="007C2D51">
        <w:t xml:space="preserve"> to provide an equitable funding distribution to states and communities as well as a stable and reliable funding source</w:t>
      </w:r>
      <w:r w:rsidR="00CE332B" w:rsidRPr="007C2D51">
        <w:t xml:space="preserve">.  </w:t>
      </w:r>
      <w:r w:rsidRPr="007C2D51">
        <w:t>States and public bodies are eligible designated recipients</w:t>
      </w:r>
      <w:r w:rsidR="00565472" w:rsidRPr="007C2D51">
        <w:t xml:space="preserve">, and </w:t>
      </w:r>
      <w:r w:rsidR="00050FB0" w:rsidRPr="007C2D51">
        <w:t>they may</w:t>
      </w:r>
      <w:r w:rsidRPr="007C2D51">
        <w:t xml:space="preserve"> distribute JARC grants to subrecipients through a competitive selection process</w:t>
      </w:r>
      <w:r w:rsidR="00CE332B" w:rsidRPr="007C2D51">
        <w:t xml:space="preserve">.  </w:t>
      </w:r>
      <w:r w:rsidRPr="007C2D51">
        <w:t>Eligible subrecipients are private non-profit organizations, state or local governments, and operators of public transportation services including private operators of public transportation services</w:t>
      </w:r>
      <w:r w:rsidR="00CE332B" w:rsidRPr="007C2D51">
        <w:t xml:space="preserve">.  </w:t>
      </w:r>
    </w:p>
    <w:p w:rsidR="00892115" w:rsidRPr="007C2D51" w:rsidRDefault="00565472">
      <w:pPr>
        <w:pStyle w:val="BodyText"/>
      </w:pPr>
      <w:r w:rsidRPr="007C2D51">
        <w:t>JARC f</w:t>
      </w:r>
      <w:r w:rsidR="00E36225" w:rsidRPr="007C2D51">
        <w:t>unds are allocated among large urban, small urban, and non-urbanized/rural areas as follows:</w:t>
      </w:r>
    </w:p>
    <w:p w:rsidR="00892115" w:rsidRPr="007C2D51" w:rsidRDefault="00871AD1">
      <w:pPr>
        <w:pStyle w:val="ListBullet"/>
      </w:pPr>
      <w:r w:rsidRPr="007C2D51">
        <w:t xml:space="preserve">60% of funds go to designated recipients in large urban areas with populations </w:t>
      </w:r>
      <w:r w:rsidR="00F94A2C" w:rsidRPr="007C2D51">
        <w:t xml:space="preserve">of </w:t>
      </w:r>
      <w:r w:rsidRPr="007C2D51">
        <w:t xml:space="preserve">200,000 and </w:t>
      </w:r>
      <w:r w:rsidR="00F94A2C" w:rsidRPr="007C2D51">
        <w:t>over</w:t>
      </w:r>
      <w:r w:rsidRPr="007C2D51">
        <w:t>,</w:t>
      </w:r>
    </w:p>
    <w:p w:rsidR="00892115" w:rsidRPr="007C2D51" w:rsidRDefault="00871AD1">
      <w:pPr>
        <w:pStyle w:val="ListBullet"/>
      </w:pPr>
      <w:r w:rsidRPr="007C2D51">
        <w:t>20% of funds go to states for small urban areas under 200,000, and</w:t>
      </w:r>
    </w:p>
    <w:p w:rsidR="00892115" w:rsidRPr="007C2D51" w:rsidRDefault="00871AD1">
      <w:pPr>
        <w:pStyle w:val="ListBullet"/>
      </w:pPr>
      <w:r w:rsidRPr="007C2D51">
        <w:t>20% of funds go to states for non-urbanized/rural areas</w:t>
      </w:r>
      <w:r w:rsidR="00CE332B" w:rsidRPr="007C2D51">
        <w:t xml:space="preserve">.  </w:t>
      </w:r>
    </w:p>
    <w:p w:rsidR="00892115" w:rsidRPr="007C2D51" w:rsidRDefault="00E36225">
      <w:pPr>
        <w:pStyle w:val="BodyText"/>
      </w:pPr>
      <w:r w:rsidRPr="007C2D51">
        <w:t xml:space="preserve">States may transfer funds between urbanized and non-urbanized area programs </w:t>
      </w:r>
    </w:p>
    <w:p w:rsidR="00892115" w:rsidRPr="007C2D51" w:rsidRDefault="00E36225">
      <w:pPr>
        <w:pStyle w:val="BodyText"/>
      </w:pPr>
      <w:r w:rsidRPr="007C2D51">
        <w:t>The JARC formula is based on the number of eligible low-income and welfare recipients</w:t>
      </w:r>
      <w:r w:rsidR="00CE332B" w:rsidRPr="007C2D51">
        <w:t xml:space="preserve">.  </w:t>
      </w:r>
      <w:r w:rsidRPr="007C2D51">
        <w:t>SAFETEA-LU authorized a total of $</w:t>
      </w:r>
      <w:r w:rsidR="00616032" w:rsidRPr="007C2D51">
        <w:t xml:space="preserve">727 </w:t>
      </w:r>
      <w:r w:rsidRPr="007C2D51">
        <w:t xml:space="preserve">million for JARC grants from FY 2005 through FY </w:t>
      </w:r>
      <w:r w:rsidR="00616032" w:rsidRPr="007C2D51">
        <w:t>2009</w:t>
      </w:r>
      <w:r w:rsidR="00CE332B" w:rsidRPr="007C2D51">
        <w:t xml:space="preserve">.  </w:t>
      </w:r>
      <w:r w:rsidR="008029EB" w:rsidRPr="007C2D51">
        <w:t xml:space="preserve">Starting in FY 2010, </w:t>
      </w:r>
      <w:r w:rsidR="00130044" w:rsidRPr="007C2D51">
        <w:t>Congress continued to authorize funding for the JARC program through a series of continuing resolutions.</w:t>
      </w:r>
      <w:r w:rsidR="008029EB" w:rsidRPr="007C2D51">
        <w:t xml:space="preserve">  (See </w:t>
      </w:r>
      <w:r w:rsidR="00823565" w:rsidRPr="007C2D51">
        <w:t>Figur</w:t>
      </w:r>
      <w:r w:rsidR="008029EB" w:rsidRPr="007C2D51">
        <w:t>e 1-1.)</w:t>
      </w:r>
    </w:p>
    <w:p w:rsidR="0018730B" w:rsidRPr="007C2D51" w:rsidRDefault="0018730B">
      <w:r w:rsidRPr="007C2D51">
        <w:br w:type="page"/>
      </w:r>
    </w:p>
    <w:p w:rsidR="00823565" w:rsidRPr="007C2D51" w:rsidRDefault="00823565" w:rsidP="00DD3473">
      <w:pPr>
        <w:pStyle w:val="NoSpacing"/>
      </w:pPr>
      <w:r w:rsidRPr="007C2D51">
        <w:rPr>
          <w:noProof/>
          <w:lang w:eastAsia="en-US"/>
        </w:rPr>
        <w:lastRenderedPageBreak/>
        <w:drawing>
          <wp:anchor distT="0" distB="0" distL="114300" distR="114300" simplePos="0" relativeHeight="251724800" behindDoc="0" locked="0" layoutInCell="1" allowOverlap="1">
            <wp:simplePos x="0" y="0"/>
            <wp:positionH relativeFrom="margin">
              <wp:posOffset>628650</wp:posOffset>
            </wp:positionH>
            <wp:positionV relativeFrom="paragraph">
              <wp:posOffset>28575</wp:posOffset>
            </wp:positionV>
            <wp:extent cx="4570095" cy="3194050"/>
            <wp:effectExtent l="0" t="0" r="0" b="0"/>
            <wp:wrapTopAndBottom/>
            <wp:docPr id="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bookmarkStart w:id="11" w:name="_Toc242869860"/>
      <w:bookmarkStart w:id="12" w:name="_Toc244660192"/>
    </w:p>
    <w:p w:rsidR="00823565" w:rsidRPr="007C2D51" w:rsidRDefault="00823565" w:rsidP="00823565">
      <w:pPr>
        <w:pStyle w:val="Caption"/>
      </w:pPr>
      <w:bookmarkStart w:id="13" w:name="_Toc304967482"/>
      <w:r w:rsidRPr="007C2D51">
        <w:t xml:space="preserve">Figure </w:t>
      </w:r>
      <w:fldSimple w:instr=" STYLEREF 1 \s ">
        <w:r w:rsidR="00F35ACC">
          <w:rPr>
            <w:noProof/>
          </w:rPr>
          <w:t>1</w:t>
        </w:r>
      </w:fldSimple>
      <w:r w:rsidR="0009713B" w:rsidRPr="007C2D51">
        <w:noBreakHyphen/>
      </w:r>
      <w:fldSimple w:instr=" SEQ Figure \* ARABIC \s 1 ">
        <w:r w:rsidR="00F35ACC">
          <w:rPr>
            <w:noProof/>
          </w:rPr>
          <w:t>1</w:t>
        </w:r>
      </w:fldSimple>
      <w:r w:rsidRPr="007C2D51">
        <w:br/>
        <w:t>FTA JARC Funding, 2005 - 2010</w:t>
      </w:r>
      <w:bookmarkEnd w:id="13"/>
    </w:p>
    <w:p w:rsidR="00823565" w:rsidRPr="007C2D51" w:rsidRDefault="00823565" w:rsidP="00823565"/>
    <w:p w:rsidR="00362897" w:rsidRPr="007C2D51" w:rsidRDefault="00362897" w:rsidP="00AB34CA">
      <w:pPr>
        <w:pStyle w:val="Heading2"/>
      </w:pPr>
      <w:bookmarkStart w:id="14" w:name="_Toc304965680"/>
      <w:r w:rsidRPr="007C2D51">
        <w:t>JARC Program Performance Evaluation</w:t>
      </w:r>
      <w:bookmarkEnd w:id="11"/>
      <w:bookmarkEnd w:id="12"/>
      <w:bookmarkEnd w:id="14"/>
    </w:p>
    <w:p w:rsidR="00892115" w:rsidRPr="007C2D51" w:rsidRDefault="00362897">
      <w:pPr>
        <w:pStyle w:val="BodyText"/>
      </w:pPr>
      <w:r w:rsidRPr="007C2D51">
        <w:t>FTA contracted with C</w:t>
      </w:r>
      <w:r w:rsidR="00182183" w:rsidRPr="007C2D51">
        <w:t>ommonwealth Environmental Services</w:t>
      </w:r>
      <w:r w:rsidRPr="007C2D51">
        <w:t>, Inc</w:t>
      </w:r>
      <w:r w:rsidR="00CE332B" w:rsidRPr="007C2D51">
        <w:t>.</w:t>
      </w:r>
      <w:r w:rsidR="00483BC0" w:rsidRPr="007C2D51">
        <w:t xml:space="preserve"> (</w:t>
      </w:r>
      <w:r w:rsidR="00182183" w:rsidRPr="007C2D51">
        <w:t>CES)</w:t>
      </w:r>
      <w:r w:rsidRPr="007C2D51">
        <w:t xml:space="preserve"> and its subcontractor TranSystems, to manage </w:t>
      </w:r>
      <w:r w:rsidR="00B75752" w:rsidRPr="007C2D51">
        <w:t xml:space="preserve">online </w:t>
      </w:r>
      <w:r w:rsidRPr="007C2D51">
        <w:t xml:space="preserve">data collection and analysis for the FY </w:t>
      </w:r>
      <w:r w:rsidR="00ED1F38" w:rsidRPr="007C2D51">
        <w:t>20</w:t>
      </w:r>
      <w:r w:rsidR="002A6C6B" w:rsidRPr="007C2D51">
        <w:t>10</w:t>
      </w:r>
      <w:r w:rsidR="006F1ACD" w:rsidRPr="007C2D51">
        <w:t xml:space="preserve"> JARC / </w:t>
      </w:r>
      <w:r w:rsidRPr="007C2D51">
        <w:t xml:space="preserve">New </w:t>
      </w:r>
      <w:r w:rsidR="0034146F" w:rsidRPr="007C2D51">
        <w:t xml:space="preserve">Freedom (NF) </w:t>
      </w:r>
      <w:r w:rsidRPr="007C2D51">
        <w:t>Program Performance Evaluation</w:t>
      </w:r>
      <w:r w:rsidR="00CE332B" w:rsidRPr="007C2D51">
        <w:t xml:space="preserve">.  </w:t>
      </w:r>
      <w:r w:rsidRPr="007C2D51">
        <w:t xml:space="preserve">Individuals from both firms have been key evaluators of the JARC program since 2002 and developed the JARC / NF Program Performance Evaluation system currently being used to evaluate </w:t>
      </w:r>
      <w:r w:rsidR="0034146F" w:rsidRPr="007C2D51">
        <w:t xml:space="preserve">both </w:t>
      </w:r>
      <w:r w:rsidRPr="007C2D51">
        <w:t>programs.</w:t>
      </w:r>
      <w:r w:rsidR="006F1ACD" w:rsidRPr="007C2D51">
        <w:rPr>
          <w:rStyle w:val="FootnoteReference"/>
        </w:rPr>
        <w:footnoteReference w:id="1"/>
      </w:r>
      <w:r w:rsidRPr="007C2D51">
        <w:t xml:space="preserve">  </w:t>
      </w:r>
      <w:r w:rsidR="00B56248" w:rsidRPr="007C2D51">
        <w:t>This volume presents findings for the JARC program only</w:t>
      </w:r>
      <w:r w:rsidR="00CE332B" w:rsidRPr="007C2D51">
        <w:t xml:space="preserve">.  </w:t>
      </w:r>
      <w:r w:rsidR="00B56248" w:rsidRPr="007C2D51">
        <w:t>Findings for the New Freedom program are presented in a separate report</w:t>
      </w:r>
      <w:r w:rsidR="00CE332B" w:rsidRPr="007C2D51">
        <w:t xml:space="preserve">.  </w:t>
      </w:r>
    </w:p>
    <w:p w:rsidR="00892115" w:rsidRPr="007C2D51" w:rsidRDefault="00362897">
      <w:pPr>
        <w:pStyle w:val="BodyText"/>
      </w:pPr>
      <w:r w:rsidRPr="007C2D51">
        <w:t xml:space="preserve">Under the Government Performance Results Act (GPRA), FTA is required to “establish performance goals to define the level of performance” and to also “establish performance indicators to be used in measuring relevant outputs, service levels, and outcomes” for each of </w:t>
      </w:r>
      <w:r w:rsidRPr="007C2D51">
        <w:lastRenderedPageBreak/>
        <w:t>its programs</w:t>
      </w:r>
      <w:r w:rsidR="00CE332B" w:rsidRPr="007C2D51">
        <w:t xml:space="preserve">.  </w:t>
      </w:r>
      <w:r w:rsidRPr="007C2D51">
        <w:t xml:space="preserve">In addition, FTA is capturing overall program measures to be used with the GPRA and the Performance Assessment Rating Tool process for the </w:t>
      </w:r>
      <w:r w:rsidR="00FC1555" w:rsidRPr="007C2D51">
        <w:t>US</w:t>
      </w:r>
      <w:r w:rsidR="000118B0" w:rsidRPr="007C2D51">
        <w:t xml:space="preserve"> </w:t>
      </w:r>
      <w:r w:rsidRPr="007C2D51">
        <w:t>Office of Management and Budget</w:t>
      </w:r>
      <w:r w:rsidR="00CE332B" w:rsidRPr="007C2D51">
        <w:t xml:space="preserve">.  </w:t>
      </w:r>
    </w:p>
    <w:p w:rsidR="00892115" w:rsidRPr="007C2D51" w:rsidRDefault="00362897">
      <w:pPr>
        <w:pStyle w:val="BodyText"/>
      </w:pPr>
      <w:r w:rsidRPr="007C2D51">
        <w:t xml:space="preserve">FTA has established two key performance measures for </w:t>
      </w:r>
      <w:r w:rsidR="003A43D6" w:rsidRPr="007C2D51">
        <w:t xml:space="preserve">the </w:t>
      </w:r>
      <w:r w:rsidRPr="007C2D51">
        <w:t>JARC program:</w:t>
      </w:r>
    </w:p>
    <w:p w:rsidR="004845C1" w:rsidRPr="007C2D51" w:rsidRDefault="004845C1" w:rsidP="004845C1">
      <w:pPr>
        <w:pStyle w:val="ListBullet"/>
      </w:pPr>
      <w:r w:rsidRPr="007C2D51">
        <w:t xml:space="preserve">One-way trips provided </w:t>
      </w:r>
    </w:p>
    <w:p w:rsidR="00362897" w:rsidRPr="007C2D51" w:rsidRDefault="00362897" w:rsidP="00362897">
      <w:pPr>
        <w:pStyle w:val="ListBullet"/>
      </w:pPr>
      <w:r w:rsidRPr="007C2D51">
        <w:t>Jobs accessed</w:t>
      </w:r>
    </w:p>
    <w:p w:rsidR="00892115" w:rsidRPr="007C2D51" w:rsidRDefault="00022E2F" w:rsidP="00505D37">
      <w:pPr>
        <w:pStyle w:val="BodyText"/>
      </w:pPr>
      <w: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38" type="#_x0000_t65" style="position:absolute;margin-left:227.8pt;margin-top:191.5pt;width:239.15pt;height:153.45pt;z-index:251737088;mso-position-horizontal-relative:margin;mso-position-vertical-relative:margin" fillcolor="white [3201]" strokecolor="#fed36b [1941]" strokeweight="1pt">
            <v:fill color2="#fee29c [1301]" focusposition="1" focussize="" focus="100%" type="gradient"/>
            <v:shadow on="t" type="perspective" color="#825c00 [1605]" opacity=".5" offset="1pt" offset2="-3pt"/>
            <v:textbox>
              <w:txbxContent>
                <w:p w:rsidR="00F15767" w:rsidRPr="009C79C5" w:rsidRDefault="00F15767">
                  <w:pPr>
                    <w:rPr>
                      <w:i/>
                    </w:rPr>
                  </w:pPr>
                  <w:r w:rsidRPr="009C79C5">
                    <w:rPr>
                      <w:i/>
                    </w:rPr>
                    <w:t>The CSI Ferry Shuttle has proven to be transformative to our community. It has enhanced public access to our campus, particularly for low-income and minority populations. Our campus is now the second most popular transit destination on Staten Island, with the CSI Ferry shuttle delivering an average of 1,950 riders a day on full operating days.</w:t>
                  </w:r>
                </w:p>
                <w:p w:rsidR="00F15767" w:rsidRDefault="00F15767">
                  <w:r>
                    <w:t>College of Staten Island</w:t>
                  </w:r>
                  <w:r>
                    <w:br/>
                    <w:t>New York State DOT</w:t>
                  </w:r>
                </w:p>
              </w:txbxContent>
            </v:textbox>
            <w10:wrap type="square" anchorx="margin" anchory="margin"/>
          </v:shape>
        </w:pict>
      </w:r>
      <w:r w:rsidR="007C35C1" w:rsidRPr="007C2D51">
        <w:rPr>
          <w:rStyle w:val="BodyTextChar1"/>
          <w:rFonts w:eastAsiaTheme="minorHAnsi"/>
        </w:rPr>
        <w:t xml:space="preserve">The majority of JARC-funded programs can report one or both of these measures.  However, </w:t>
      </w:r>
      <w:r w:rsidR="00E4781C" w:rsidRPr="007C2D51">
        <w:rPr>
          <w:rStyle w:val="BodyTextChar1"/>
          <w:rFonts w:eastAsiaTheme="minorHAnsi"/>
        </w:rPr>
        <w:t>J</w:t>
      </w:r>
      <w:r w:rsidR="007C35C1" w:rsidRPr="007C2D51">
        <w:rPr>
          <w:rStyle w:val="BodyTextChar1"/>
          <w:rFonts w:eastAsiaTheme="minorHAnsi"/>
        </w:rPr>
        <w:t xml:space="preserve">ARC </w:t>
      </w:r>
      <w:r w:rsidR="00E4781C" w:rsidRPr="007C2D51">
        <w:rPr>
          <w:rStyle w:val="BodyTextChar1"/>
          <w:rFonts w:eastAsiaTheme="minorHAnsi"/>
        </w:rPr>
        <w:t>grants</w:t>
      </w:r>
      <w:r w:rsidR="007C35C1" w:rsidRPr="007C2D51">
        <w:rPr>
          <w:rStyle w:val="BodyTextChar1"/>
          <w:rFonts w:eastAsiaTheme="minorHAnsi"/>
        </w:rPr>
        <w:t xml:space="preserve"> also support programs like one-stop centers and vehicle loan programs that provide indirect benefits.  To ensure that these programs are represented in the overall analysis, </w:t>
      </w:r>
      <w:r w:rsidR="00505D37" w:rsidRPr="007C2D51">
        <w:rPr>
          <w:rStyle w:val="BodyTextChar1"/>
          <w:rFonts w:eastAsiaTheme="minorHAnsi"/>
        </w:rPr>
        <w:t>FTA established a protocol for reporting on JARC and, later, New Freedom services.  With the assistance of the JARC / NF Advisory Committee, which includes representatives from transit agencies</w:t>
      </w:r>
      <w:r w:rsidR="00E16CBA" w:rsidRPr="007C2D51">
        <w:rPr>
          <w:rStyle w:val="BodyTextChar1"/>
          <w:rFonts w:eastAsiaTheme="minorHAnsi"/>
        </w:rPr>
        <w:t>, metropolitan planning organizations,</w:t>
      </w:r>
      <w:r w:rsidR="00505D37" w:rsidRPr="007C2D51">
        <w:rPr>
          <w:rStyle w:val="BodyTextChar1"/>
          <w:rFonts w:eastAsiaTheme="minorHAnsi"/>
        </w:rPr>
        <w:t xml:space="preserve"> and state DOTs, the consultant team developed a reporting matrix</w:t>
      </w:r>
      <w:r w:rsidR="007C35C1" w:rsidRPr="007C2D51">
        <w:rPr>
          <w:rStyle w:val="BodyTextChar1"/>
          <w:rFonts w:eastAsiaTheme="minorHAnsi"/>
        </w:rPr>
        <w:t xml:space="preserve"> </w:t>
      </w:r>
      <w:r w:rsidR="00505D37" w:rsidRPr="007C2D51">
        <w:rPr>
          <w:rStyle w:val="BodyTextChar1"/>
          <w:rFonts w:eastAsiaTheme="minorHAnsi"/>
        </w:rPr>
        <w:t xml:space="preserve">for capturing relevant information about the range of JARC and NF services. </w:t>
      </w:r>
      <w:r w:rsidR="006F1ACD" w:rsidRPr="007C2D51">
        <w:t xml:space="preserve">The matrix </w:t>
      </w:r>
      <w:r w:rsidR="00693C38" w:rsidRPr="007C2D51">
        <w:t xml:space="preserve">asks </w:t>
      </w:r>
      <w:r w:rsidR="006F1ACD" w:rsidRPr="007C2D51">
        <w:t xml:space="preserve">grant recipients to categorize </w:t>
      </w:r>
      <w:r w:rsidR="00145109" w:rsidRPr="007C2D51">
        <w:t>their programs</w:t>
      </w:r>
      <w:r w:rsidR="006F1ACD" w:rsidRPr="007C2D51">
        <w:t xml:space="preserve"> based on two criteria: project type and primary project goal</w:t>
      </w:r>
      <w:r w:rsidR="00CE332B" w:rsidRPr="007C2D51">
        <w:t xml:space="preserve">.  </w:t>
      </w:r>
    </w:p>
    <w:p w:rsidR="00892115" w:rsidRPr="007C2D51" w:rsidRDefault="00362897">
      <w:pPr>
        <w:pStyle w:val="BodyText"/>
      </w:pPr>
      <w:r w:rsidRPr="007C2D51">
        <w:t xml:space="preserve">The reporting matrix includes </w:t>
      </w:r>
      <w:r w:rsidR="00C74FED">
        <w:t>four</w:t>
      </w:r>
      <w:r w:rsidR="00C74FED" w:rsidRPr="007C2D51">
        <w:t xml:space="preserve"> </w:t>
      </w:r>
      <w:r w:rsidRPr="007C2D51">
        <w:t xml:space="preserve">basic </w:t>
      </w:r>
      <w:r w:rsidR="00693C38" w:rsidRPr="007C2D51">
        <w:t xml:space="preserve">project types: </w:t>
      </w:r>
    </w:p>
    <w:p w:rsidR="00362897" w:rsidRPr="007C2D51" w:rsidRDefault="00362897" w:rsidP="00362897">
      <w:pPr>
        <w:pStyle w:val="ListBullet"/>
      </w:pPr>
      <w:r w:rsidRPr="007C2D51">
        <w:rPr>
          <w:b/>
        </w:rPr>
        <w:t>Trip-based services</w:t>
      </w:r>
      <w:r w:rsidRPr="007C2D51">
        <w:t>, which provide transportation directly to individuals.</w:t>
      </w:r>
    </w:p>
    <w:p w:rsidR="00362897" w:rsidRPr="007C2D51" w:rsidRDefault="00362897" w:rsidP="00362897">
      <w:pPr>
        <w:pStyle w:val="ListBullet"/>
      </w:pPr>
      <w:r w:rsidRPr="007C2D51">
        <w:rPr>
          <w:b/>
        </w:rPr>
        <w:t>Information-based services</w:t>
      </w:r>
      <w:r w:rsidRPr="007C2D51">
        <w:t>, which provide information about transportation services to individuals but do not provide direct transportation services.</w:t>
      </w:r>
    </w:p>
    <w:p w:rsidR="00362897" w:rsidRPr="007C2D51" w:rsidRDefault="00362897" w:rsidP="00362897">
      <w:pPr>
        <w:pStyle w:val="ListBullet"/>
      </w:pPr>
      <w:r w:rsidRPr="007C2D51">
        <w:rPr>
          <w:b/>
        </w:rPr>
        <w:t>Capital investment projects</w:t>
      </w:r>
      <w:r w:rsidRPr="007C2D51">
        <w:t>, which include facilities and infrastructure to support transportation services</w:t>
      </w:r>
      <w:r w:rsidR="00CE332B" w:rsidRPr="007C2D51">
        <w:t xml:space="preserve">.  </w:t>
      </w:r>
    </w:p>
    <w:p w:rsidR="002A6C6B" w:rsidRPr="007C2D51" w:rsidRDefault="002A6C6B" w:rsidP="00362897">
      <w:pPr>
        <w:pStyle w:val="ListBullet"/>
      </w:pPr>
      <w:r w:rsidRPr="007C2D51">
        <w:rPr>
          <w:b/>
        </w:rPr>
        <w:t>Planning studies</w:t>
      </w:r>
      <w:r w:rsidRPr="007C2D51">
        <w:t>, which include feasibility studies.</w:t>
      </w:r>
    </w:p>
    <w:p w:rsidR="00892115" w:rsidRPr="007C2D51" w:rsidRDefault="00362897">
      <w:pPr>
        <w:pStyle w:val="BodyText"/>
      </w:pPr>
      <w:r w:rsidRPr="007C2D51">
        <w:t xml:space="preserve">In keeping with Federal reporting requirements, the five primary program goals are: </w:t>
      </w:r>
    </w:p>
    <w:p w:rsidR="00362897" w:rsidRPr="007C2D51" w:rsidRDefault="00362897" w:rsidP="00362897">
      <w:pPr>
        <w:pStyle w:val="ListBullet"/>
      </w:pPr>
      <w:r w:rsidRPr="007C2D51">
        <w:rPr>
          <w:b/>
        </w:rPr>
        <w:t>Expanded geographic coverage</w:t>
      </w:r>
      <w:r w:rsidRPr="007C2D51">
        <w:t>, which includes increasing the coverage area for a service (typically for trip-based or capital investment projects).</w:t>
      </w:r>
    </w:p>
    <w:p w:rsidR="00362897" w:rsidRPr="007C2D51" w:rsidRDefault="00362897" w:rsidP="00362897">
      <w:pPr>
        <w:pStyle w:val="ListBullet"/>
      </w:pPr>
      <w:r w:rsidRPr="007C2D51">
        <w:rPr>
          <w:b/>
        </w:rPr>
        <w:t>Extended hours or days of service</w:t>
      </w:r>
      <w:r w:rsidRPr="007C2D51">
        <w:t>, which includes adding hours and/or days to existing services (typically for trip-based or capital investment projects).</w:t>
      </w:r>
    </w:p>
    <w:p w:rsidR="00362897" w:rsidRPr="007C2D51" w:rsidRDefault="00362897" w:rsidP="00362897">
      <w:pPr>
        <w:pStyle w:val="ListBullet"/>
      </w:pPr>
      <w:r w:rsidRPr="007C2D51">
        <w:rPr>
          <w:b/>
        </w:rPr>
        <w:t>Improved system capacity</w:t>
      </w:r>
      <w:r w:rsidRPr="007C2D51">
        <w:t>, which includes adding resources that result in additional quantities of service (typically for trip-based or capital investment projects).</w:t>
      </w:r>
    </w:p>
    <w:p w:rsidR="00362897" w:rsidRPr="007C2D51" w:rsidRDefault="00362897" w:rsidP="00362897">
      <w:pPr>
        <w:pStyle w:val="ListBullet"/>
      </w:pPr>
      <w:r w:rsidRPr="007C2D51">
        <w:rPr>
          <w:b/>
        </w:rPr>
        <w:t>Improved access or improved connections</w:t>
      </w:r>
      <w:r w:rsidRPr="007C2D51">
        <w:t>, which include projects that improve an individual’s ability to travel (typically trip-based services but also some information-based services such as mobility mangers or capital investment projects such as vehicle loan programs).</w:t>
      </w:r>
    </w:p>
    <w:p w:rsidR="00362897" w:rsidRPr="007C2D51" w:rsidRDefault="00362897" w:rsidP="00362897">
      <w:pPr>
        <w:pStyle w:val="ListBullet"/>
      </w:pPr>
      <w:r w:rsidRPr="007C2D51">
        <w:rPr>
          <w:b/>
        </w:rPr>
        <w:lastRenderedPageBreak/>
        <w:t>Improved customer knowledge</w:t>
      </w:r>
      <w:r w:rsidRPr="007C2D51">
        <w:t>, which provides additional resources for information-based services especially customer information and training programs.</w:t>
      </w:r>
    </w:p>
    <w:p w:rsidR="00892115" w:rsidRPr="007C2D51" w:rsidRDefault="000B581A">
      <w:pPr>
        <w:pStyle w:val="BodyText"/>
      </w:pPr>
      <w:r w:rsidRPr="007C2D51">
        <w:t xml:space="preserve">Based on the combination of service type and primary goal, the cells in the matrix identify the type of service output data to be provided by the reporting grantee. The output measures typically include the number of one-way trips for trip-based programs, the number of customer contacts for information-based services, and the number of units provided for capital investment projects. </w:t>
      </w:r>
      <w:r w:rsidR="00B75752" w:rsidRPr="007C2D51">
        <w:t xml:space="preserve"> In some cases, grantees are asked to provide descriptive information. </w:t>
      </w:r>
      <w:r w:rsidR="00362897" w:rsidRPr="007C2D51">
        <w:t>The JARC service matrix also c</w:t>
      </w:r>
      <w:r w:rsidR="00B75752" w:rsidRPr="007C2D51">
        <w:t>ollect</w:t>
      </w:r>
      <w:r w:rsidR="00362897" w:rsidRPr="007C2D51">
        <w:t>s information from grant recipients used to develop the jobs accessed measure</w:t>
      </w:r>
      <w:r w:rsidR="00145109" w:rsidRPr="007C2D51">
        <w:t>, including geographic coverage and route length</w:t>
      </w:r>
      <w:r w:rsidR="00CE332B" w:rsidRPr="007C2D51">
        <w:t xml:space="preserve">.  </w:t>
      </w:r>
      <w:r w:rsidR="00362897" w:rsidRPr="007C2D51">
        <w:t>A more detailed description of the service reporting matrix is included in Appendix A.</w:t>
      </w:r>
    </w:p>
    <w:p w:rsidR="00892115" w:rsidRPr="007C2D51" w:rsidRDefault="00C449D9">
      <w:pPr>
        <w:pStyle w:val="BodyText"/>
      </w:pPr>
      <w:r w:rsidRPr="007C2D51">
        <w:t>In addition to providing the basic reporting elements required for the JARC evaluation, grant recipients were asked to complete brief profiles describing each service</w:t>
      </w:r>
      <w:r w:rsidR="00CE332B" w:rsidRPr="007C2D51">
        <w:t xml:space="preserve">.  </w:t>
      </w:r>
      <w:r w:rsidRPr="007C2D51">
        <w:t>The profiles include a description of the service, lessons learned, how the local service is evaluated, and major accomplishments of the program</w:t>
      </w:r>
      <w:r w:rsidR="00CE332B" w:rsidRPr="007C2D51">
        <w:t xml:space="preserve">.  </w:t>
      </w:r>
      <w:r w:rsidR="0034146F" w:rsidRPr="007C2D51">
        <w:t>Recipients were also asked to identify the service area (generally city/county and state)</w:t>
      </w:r>
      <w:r w:rsidR="00CE332B" w:rsidRPr="007C2D51">
        <w:t xml:space="preserve">.  </w:t>
      </w:r>
      <w:r w:rsidR="0034146F" w:rsidRPr="007C2D51">
        <w:t xml:space="preserve">The profile </w:t>
      </w:r>
      <w:r w:rsidRPr="007C2D51">
        <w:t>information helps to illustrate the breadth and depth of the projects funded by the</w:t>
      </w:r>
      <w:r w:rsidR="0034146F" w:rsidRPr="007C2D51">
        <w:t xml:space="preserve"> JARC</w:t>
      </w:r>
      <w:r w:rsidRPr="007C2D51">
        <w:t xml:space="preserve"> program and provides particularly useful information about the nature of the information-based and capital investment projects that do not lend themselves to traditional FTA data reporting</w:t>
      </w:r>
      <w:r w:rsidR="00CE332B" w:rsidRPr="007C2D51">
        <w:t xml:space="preserve">.  </w:t>
      </w:r>
      <w:r w:rsidR="00105CF4" w:rsidRPr="007C2D51">
        <w:t>Profiles for JARC services are presented in an appendix to this report under separate cover</w:t>
      </w:r>
      <w:r w:rsidR="00CE332B" w:rsidRPr="007C2D51">
        <w:t xml:space="preserve">.  </w:t>
      </w:r>
      <w:r w:rsidR="00105CF4" w:rsidRPr="007C2D51">
        <w:t>For convenience, they are organized into 10 stand-alone volumes based on the FTA region of the designated recipient</w:t>
      </w:r>
      <w:r w:rsidR="00CE332B" w:rsidRPr="007C2D51">
        <w:t xml:space="preserve">.  </w:t>
      </w:r>
    </w:p>
    <w:p w:rsidR="00362897" w:rsidRPr="007C2D51" w:rsidRDefault="00362897" w:rsidP="00105CF4">
      <w:pPr>
        <w:pStyle w:val="Heading2"/>
      </w:pPr>
      <w:bookmarkStart w:id="15" w:name="_Toc304965681"/>
      <w:r w:rsidRPr="007C2D51">
        <w:t xml:space="preserve">Summary of FY </w:t>
      </w:r>
      <w:r w:rsidR="00616032" w:rsidRPr="007C2D51">
        <w:t>20</w:t>
      </w:r>
      <w:r w:rsidR="002A6C6B" w:rsidRPr="007C2D51">
        <w:t>10</w:t>
      </w:r>
      <w:r w:rsidR="00616032" w:rsidRPr="007C2D51">
        <w:t xml:space="preserve"> </w:t>
      </w:r>
      <w:r w:rsidR="00105CF4" w:rsidRPr="007C2D51">
        <w:t>A</w:t>
      </w:r>
      <w:r w:rsidRPr="007C2D51">
        <w:t>nalysis</w:t>
      </w:r>
      <w:bookmarkEnd w:id="15"/>
    </w:p>
    <w:p w:rsidR="002A6C6B" w:rsidRPr="007C2D51" w:rsidRDefault="002A6C6B" w:rsidP="002A6C6B">
      <w:pPr>
        <w:pStyle w:val="BodyText"/>
      </w:pPr>
      <w:r w:rsidRPr="007C2D51">
        <w:t>A total of 18</w:t>
      </w:r>
      <w:r w:rsidR="000B581A" w:rsidRPr="007C2D51">
        <w:t>8</w:t>
      </w:r>
      <w:r w:rsidRPr="007C2D51">
        <w:t xml:space="preserve"> grant recipients submitted complete reports for 10</w:t>
      </w:r>
      <w:r w:rsidR="000B581A" w:rsidRPr="007C2D51">
        <w:t>27</w:t>
      </w:r>
      <w:r w:rsidRPr="007C2D51">
        <w:t xml:space="preserve"> JARC-funded services in FY 2010.  Key findings include:</w:t>
      </w:r>
    </w:p>
    <w:p w:rsidR="000B581A" w:rsidRPr="007C2D51" w:rsidRDefault="000B581A" w:rsidP="000B581A">
      <w:pPr>
        <w:pStyle w:val="ListBullet"/>
      </w:pPr>
      <w:r w:rsidRPr="007C2D51">
        <w:t>JARC-supported services provided 55.3 million one-way trips.</w:t>
      </w:r>
    </w:p>
    <w:p w:rsidR="000B581A" w:rsidRPr="007C2D51" w:rsidRDefault="000B581A" w:rsidP="000B581A">
      <w:pPr>
        <w:pStyle w:val="ListBullet"/>
      </w:pPr>
      <w:r w:rsidRPr="007C2D51">
        <w:t xml:space="preserve">JARC-supported services made 53.6 million jobs accessible, which included 26.5 million low-wage jobs.  In addition, 15.9 million jobs were likely reached during the service year.  </w:t>
      </w:r>
    </w:p>
    <w:p w:rsidR="000B581A" w:rsidRPr="007C2D51" w:rsidRDefault="000B581A" w:rsidP="000B581A">
      <w:pPr>
        <w:pStyle w:val="ListBullet"/>
      </w:pPr>
      <w:r w:rsidRPr="007C2D51">
        <w:t xml:space="preserve">Out of the active JARC-funded services, most were trip-based (79%).  The remaining projects comprised information-based programs (12%), capital investments (8%), and planning studies (1%).  </w:t>
      </w:r>
    </w:p>
    <w:p w:rsidR="000B581A" w:rsidRPr="007C2D51" w:rsidRDefault="000B581A" w:rsidP="000B581A">
      <w:pPr>
        <w:pStyle w:val="ListBullet"/>
      </w:pPr>
      <w:r w:rsidRPr="007C2D51">
        <w:t xml:space="preserve">Just under half of JARC-supported services operated in large urbanized areas (47%) and 30% could be found in non-urbanized or rural communities. </w:t>
      </w:r>
    </w:p>
    <w:p w:rsidR="00362897" w:rsidRPr="007C2D51" w:rsidRDefault="00362897" w:rsidP="00222E82">
      <w:pPr>
        <w:pStyle w:val="Heading3"/>
      </w:pPr>
      <w:r w:rsidRPr="007C2D51">
        <w:t>Year-to-</w:t>
      </w:r>
      <w:r w:rsidR="00222E82" w:rsidRPr="007C2D51">
        <w:t>y</w:t>
      </w:r>
      <w:r w:rsidRPr="007C2D51">
        <w:t xml:space="preserve">ear </w:t>
      </w:r>
      <w:r w:rsidR="00222E82" w:rsidRPr="007C2D51">
        <w:t>c</w:t>
      </w:r>
      <w:r w:rsidRPr="007C2D51">
        <w:t>omparisons</w:t>
      </w:r>
    </w:p>
    <w:p w:rsidR="00892115" w:rsidRPr="007C2D51" w:rsidRDefault="00362897">
      <w:pPr>
        <w:pStyle w:val="BodyText"/>
      </w:pPr>
      <w:r w:rsidRPr="007C2D51">
        <w:t xml:space="preserve">The current data collection effort, conducted in </w:t>
      </w:r>
      <w:r w:rsidR="00616032" w:rsidRPr="007C2D51">
        <w:t>201</w:t>
      </w:r>
      <w:r w:rsidR="002A6C6B" w:rsidRPr="007C2D51">
        <w:t>1</w:t>
      </w:r>
      <w:r w:rsidRPr="007C2D51">
        <w:t xml:space="preserve">, covered </w:t>
      </w:r>
      <w:r w:rsidR="00616032" w:rsidRPr="007C2D51">
        <w:t xml:space="preserve">JARC services in operation during </w:t>
      </w:r>
      <w:r w:rsidR="001D2571" w:rsidRPr="007C2D51">
        <w:t xml:space="preserve">Federal </w:t>
      </w:r>
      <w:r w:rsidR="00616032" w:rsidRPr="007C2D51">
        <w:t>FY 20</w:t>
      </w:r>
      <w:r w:rsidR="002A6C6B" w:rsidRPr="007C2D51">
        <w:t>10</w:t>
      </w:r>
      <w:r w:rsidR="00616032" w:rsidRPr="007C2D51">
        <w:t xml:space="preserve"> (October 1, 200</w:t>
      </w:r>
      <w:r w:rsidR="002A6C6B" w:rsidRPr="007C2D51">
        <w:t>9</w:t>
      </w:r>
      <w:r w:rsidR="00616032" w:rsidRPr="007C2D51">
        <w:t>, through September 30, 20</w:t>
      </w:r>
      <w:r w:rsidR="002A6C6B" w:rsidRPr="007C2D51">
        <w:t>10</w:t>
      </w:r>
      <w:r w:rsidR="00616032" w:rsidRPr="007C2D51">
        <w:t>)</w:t>
      </w:r>
      <w:r w:rsidR="00CE332B" w:rsidRPr="007C2D51">
        <w:t xml:space="preserve">.  </w:t>
      </w:r>
      <w:r w:rsidRPr="007C2D51">
        <w:t xml:space="preserve">When relevant, this analysis will make comparisons </w:t>
      </w:r>
      <w:r w:rsidR="00616032" w:rsidRPr="007C2D51">
        <w:t>with information reported in previous years</w:t>
      </w:r>
      <w:r w:rsidR="00CE332B" w:rsidRPr="007C2D51">
        <w:t xml:space="preserve">.  </w:t>
      </w:r>
      <w:r w:rsidRPr="007C2D51">
        <w:t>When making year-to-year comparisons, it is important to recognize that annual fluctuations in service provision may not necessarily reflect trends in program performance</w:t>
      </w:r>
      <w:r w:rsidR="00CE332B" w:rsidRPr="007C2D51">
        <w:t xml:space="preserve">.  </w:t>
      </w:r>
      <w:r w:rsidRPr="007C2D51">
        <w:t>Instead, several factors may influence these annual changes.</w:t>
      </w:r>
    </w:p>
    <w:p w:rsidR="00892115" w:rsidRPr="007C2D51" w:rsidRDefault="00362897">
      <w:pPr>
        <w:pStyle w:val="BodyText"/>
      </w:pPr>
      <w:r w:rsidRPr="007C2D51">
        <w:lastRenderedPageBreak/>
        <w:t xml:space="preserve">First, as </w:t>
      </w:r>
      <w:r w:rsidR="0032004E" w:rsidRPr="007C2D51">
        <w:t xml:space="preserve">described </w:t>
      </w:r>
      <w:r w:rsidRPr="007C2D51">
        <w:t>above, JARC has evolved over time from a national competitive grant program to a congressionally directed grant program to a formula-based grant program with a local selection process</w:t>
      </w:r>
      <w:r w:rsidR="00CE332B" w:rsidRPr="007C2D51">
        <w:t xml:space="preserve">.  </w:t>
      </w:r>
      <w:r w:rsidRPr="007C2D51">
        <w:t>As a result, the grant recipients</w:t>
      </w:r>
      <w:r w:rsidR="0032004E" w:rsidRPr="007C2D51">
        <w:t>,</w:t>
      </w:r>
      <w:r w:rsidRPr="007C2D51">
        <w:t xml:space="preserve"> and particularly the subrecipients</w:t>
      </w:r>
      <w:r w:rsidR="0032004E" w:rsidRPr="007C2D51">
        <w:t>,</w:t>
      </w:r>
      <w:r w:rsidRPr="007C2D51">
        <w:t xml:space="preserve"> have changed and will continue to change over time as </w:t>
      </w:r>
      <w:r w:rsidR="00F57EF4" w:rsidRPr="007C2D51">
        <w:t>programs adapt to meet changing local needs</w:t>
      </w:r>
      <w:r w:rsidR="00CE332B" w:rsidRPr="007C2D51">
        <w:t xml:space="preserve">.  </w:t>
      </w:r>
      <w:r w:rsidR="00C449D9" w:rsidRPr="007C2D51">
        <w:t>In addition, grant recipients with programs funded through the TEA-21 program (“earmarks”) were asked not to report</w:t>
      </w:r>
      <w:r w:rsidR="002461BA" w:rsidRPr="007C2D51">
        <w:t>, a practice FTA initiated for the FY 2009 data collection and analysis</w:t>
      </w:r>
      <w:r w:rsidR="00CE332B" w:rsidRPr="007C2D51">
        <w:t xml:space="preserve">.  </w:t>
      </w:r>
      <w:r w:rsidR="00105CF4" w:rsidRPr="007C2D51">
        <w:t>Instead, FTA chose to focus its data-analysis efforts on the programs supported through Section 5316</w:t>
      </w:r>
      <w:r w:rsidR="00CE332B" w:rsidRPr="007C2D51">
        <w:t xml:space="preserve">.  </w:t>
      </w:r>
    </w:p>
    <w:p w:rsidR="00892115" w:rsidRPr="007C2D51" w:rsidRDefault="00362897">
      <w:pPr>
        <w:pStyle w:val="BodyText"/>
      </w:pPr>
      <w:r w:rsidRPr="007C2D51">
        <w:t>Table 1-</w:t>
      </w:r>
      <w:r w:rsidR="009F1D32" w:rsidRPr="007C2D51">
        <w:t>1</w:t>
      </w:r>
      <w:r w:rsidR="00105CF4" w:rsidRPr="007C2D51">
        <w:t xml:space="preserve"> illustrates</w:t>
      </w:r>
      <w:r w:rsidRPr="007C2D51">
        <w:t xml:space="preserve"> the change in the number of grant recipients reporting in FY 2006 through FY 20</w:t>
      </w:r>
      <w:r w:rsidR="002A6C6B" w:rsidRPr="007C2D51">
        <w:t>10</w:t>
      </w:r>
      <w:r w:rsidR="00CE332B" w:rsidRPr="007C2D51">
        <w:t xml:space="preserve">.  </w:t>
      </w:r>
      <w:r w:rsidRPr="007C2D51">
        <w:t xml:space="preserve">As the table shows, the number of JARC-supported services dropped in FY 2007 and then </w:t>
      </w:r>
      <w:r w:rsidR="002A6C6B" w:rsidRPr="007C2D51">
        <w:t>showed annual increases through FY 2010</w:t>
      </w:r>
      <w:r w:rsidR="00CE332B" w:rsidRPr="007C2D51">
        <w:t xml:space="preserve">.  </w:t>
      </w:r>
      <w:r w:rsidRPr="007C2D51">
        <w:t>The change in JARC services demonstrates the transition from earmark to formula, as older service</w:t>
      </w:r>
      <w:r w:rsidR="00105CF4" w:rsidRPr="007C2D51">
        <w:t>s</w:t>
      </w:r>
      <w:r w:rsidRPr="007C2D51">
        <w:t xml:space="preserve"> ended and newer ones </w:t>
      </w:r>
      <w:r w:rsidR="00105CF4" w:rsidRPr="007C2D51">
        <w:t>were introduced</w:t>
      </w:r>
      <w:r w:rsidR="00CE332B" w:rsidRPr="007C2D51">
        <w:t xml:space="preserve">.  </w:t>
      </w:r>
      <w:r w:rsidR="007136EA" w:rsidRPr="007C2D51">
        <w:t>Growth</w:t>
      </w:r>
      <w:r w:rsidRPr="007C2D51">
        <w:t xml:space="preserve"> can be expected to level off in future years as the number of recipients stabilizes</w:t>
      </w:r>
      <w:r w:rsidR="00F57EF4" w:rsidRPr="007C2D51">
        <w:t xml:space="preserve"> under the formula-based program</w:t>
      </w:r>
      <w:r w:rsidR="00CE332B" w:rsidRPr="007C2D51">
        <w:t xml:space="preserve">.  </w:t>
      </w:r>
    </w:p>
    <w:p w:rsidR="0018730B" w:rsidRPr="007C2D51" w:rsidRDefault="0018730B" w:rsidP="0018730B">
      <w:pPr>
        <w:pStyle w:val="Caption"/>
      </w:pPr>
      <w:bookmarkStart w:id="16" w:name="_Toc244658126"/>
      <w:bookmarkStart w:id="17" w:name="_Toc242869948"/>
      <w:bookmarkStart w:id="18" w:name="_Toc304967465"/>
      <w:r w:rsidRPr="007C2D51">
        <w:t xml:space="preserve">Table </w:t>
      </w:r>
      <w:r w:rsidR="00022E2F" w:rsidRPr="007C2D51">
        <w:fldChar w:fldCharType="begin"/>
      </w:r>
      <w:r w:rsidR="00FB3E36" w:rsidRPr="007C2D51">
        <w:instrText xml:space="preserve"> STYLEREF 1 \s </w:instrText>
      </w:r>
      <w:r w:rsidR="00022E2F" w:rsidRPr="007C2D51">
        <w:fldChar w:fldCharType="separate"/>
      </w:r>
      <w:r w:rsidR="00F35ACC">
        <w:rPr>
          <w:noProof/>
        </w:rPr>
        <w:t>1</w:t>
      </w:r>
      <w:r w:rsidR="00022E2F" w:rsidRPr="007C2D51">
        <w:fldChar w:fldCharType="end"/>
      </w:r>
      <w:r w:rsidR="00FB3E36" w:rsidRPr="007C2D51">
        <w:noBreakHyphen/>
      </w:r>
      <w:r w:rsidR="00022E2F" w:rsidRPr="007C2D51">
        <w:fldChar w:fldCharType="begin"/>
      </w:r>
      <w:r w:rsidR="00FB3E36" w:rsidRPr="007C2D51">
        <w:instrText xml:space="preserve"> SEQ Table \* ARABIC \s 1 </w:instrText>
      </w:r>
      <w:r w:rsidR="00022E2F" w:rsidRPr="007C2D51">
        <w:fldChar w:fldCharType="separate"/>
      </w:r>
      <w:r w:rsidR="00F35ACC">
        <w:rPr>
          <w:noProof/>
        </w:rPr>
        <w:t>1</w:t>
      </w:r>
      <w:r w:rsidR="00022E2F" w:rsidRPr="007C2D51">
        <w:fldChar w:fldCharType="end"/>
      </w:r>
      <w:r w:rsidRPr="007C2D51">
        <w:br/>
        <w:t xml:space="preserve">JARC Services </w:t>
      </w:r>
      <w:r w:rsidR="00C33158" w:rsidRPr="007C2D51">
        <w:t xml:space="preserve">Reported </w:t>
      </w:r>
      <w:r w:rsidRPr="007C2D51">
        <w:t>by Fiscal Year</w:t>
      </w:r>
      <w:bookmarkEnd w:id="16"/>
      <w:bookmarkEnd w:id="17"/>
      <w:bookmarkEnd w:id="18"/>
    </w:p>
    <w:tbl>
      <w:tblPr>
        <w:tblStyle w:val="LightList-Accent6"/>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41"/>
        <w:gridCol w:w="1010"/>
        <w:gridCol w:w="929"/>
        <w:gridCol w:w="1010"/>
        <w:gridCol w:w="929"/>
        <w:gridCol w:w="1584"/>
      </w:tblGrid>
      <w:tr w:rsidR="00426440" w:rsidRPr="007C2D51" w:rsidTr="00E218F6">
        <w:trPr>
          <w:cnfStyle w:val="100000000000"/>
          <w:jc w:val="center"/>
        </w:trPr>
        <w:tc>
          <w:tcPr>
            <w:cnfStyle w:val="001000000000"/>
            <w:tcW w:w="0" w:type="auto"/>
          </w:tcPr>
          <w:p w:rsidR="00426440" w:rsidRPr="007C2D51" w:rsidRDefault="00426440" w:rsidP="00C061E8"/>
        </w:tc>
        <w:tc>
          <w:tcPr>
            <w:cnfStyle w:val="000010000000"/>
            <w:tcW w:w="0" w:type="auto"/>
            <w:gridSpan w:val="2"/>
            <w:tcBorders>
              <w:top w:val="none" w:sz="0" w:space="0" w:color="auto"/>
              <w:left w:val="none" w:sz="0" w:space="0" w:color="auto"/>
              <w:right w:val="none" w:sz="0" w:space="0" w:color="auto"/>
            </w:tcBorders>
            <w:vAlign w:val="bottom"/>
          </w:tcPr>
          <w:p w:rsidR="00426440" w:rsidRPr="007C2D51" w:rsidRDefault="00426440" w:rsidP="00426440">
            <w:pPr>
              <w:jc w:val="center"/>
            </w:pPr>
            <w:r w:rsidRPr="007C2D51">
              <w:t>JARC Recipients</w:t>
            </w:r>
          </w:p>
        </w:tc>
        <w:tc>
          <w:tcPr>
            <w:tcW w:w="0" w:type="auto"/>
            <w:gridSpan w:val="2"/>
            <w:vAlign w:val="bottom"/>
          </w:tcPr>
          <w:p w:rsidR="00426440" w:rsidRPr="007C2D51" w:rsidRDefault="00426440" w:rsidP="00426440">
            <w:pPr>
              <w:jc w:val="center"/>
              <w:cnfStyle w:val="100000000000"/>
            </w:pPr>
            <w:r w:rsidRPr="007C2D51">
              <w:t>JARC Services</w:t>
            </w:r>
          </w:p>
        </w:tc>
        <w:tc>
          <w:tcPr>
            <w:cnfStyle w:val="000010000000"/>
            <w:tcW w:w="0" w:type="auto"/>
            <w:tcBorders>
              <w:top w:val="none" w:sz="0" w:space="0" w:color="auto"/>
              <w:left w:val="none" w:sz="0" w:space="0" w:color="auto"/>
              <w:right w:val="none" w:sz="0" w:space="0" w:color="auto"/>
            </w:tcBorders>
            <w:vAlign w:val="bottom"/>
          </w:tcPr>
          <w:p w:rsidR="00426440" w:rsidRPr="007C2D51" w:rsidRDefault="00426440" w:rsidP="00426440">
            <w:pPr>
              <w:jc w:val="center"/>
            </w:pPr>
            <w:r w:rsidRPr="007C2D51">
              <w:t>Reporting</w:t>
            </w:r>
          </w:p>
        </w:tc>
      </w:tr>
      <w:tr w:rsidR="00426440" w:rsidRPr="007C2D51" w:rsidTr="00E218F6">
        <w:trPr>
          <w:cnfStyle w:val="000000100000"/>
          <w:jc w:val="center"/>
        </w:trPr>
        <w:tc>
          <w:tcPr>
            <w:cnfStyle w:val="001000000000"/>
            <w:tcW w:w="0" w:type="auto"/>
            <w:tcBorders>
              <w:top w:val="none" w:sz="0" w:space="0" w:color="auto"/>
              <w:left w:val="none" w:sz="0" w:space="0" w:color="auto"/>
              <w:bottom w:val="none" w:sz="0" w:space="0" w:color="auto"/>
            </w:tcBorders>
            <w:vAlign w:val="bottom"/>
          </w:tcPr>
          <w:p w:rsidR="00426440" w:rsidRPr="007C2D51" w:rsidRDefault="00426440" w:rsidP="00426440">
            <w:r w:rsidRPr="007C2D51">
              <w:t>Fiscal Year</w:t>
            </w:r>
          </w:p>
        </w:tc>
        <w:tc>
          <w:tcPr>
            <w:cnfStyle w:val="000010000000"/>
            <w:tcW w:w="0" w:type="auto"/>
            <w:tcBorders>
              <w:top w:val="none" w:sz="0" w:space="0" w:color="auto"/>
              <w:left w:val="none" w:sz="0" w:space="0" w:color="auto"/>
              <w:bottom w:val="none" w:sz="0" w:space="0" w:color="auto"/>
              <w:right w:val="none" w:sz="0" w:space="0" w:color="auto"/>
            </w:tcBorders>
            <w:vAlign w:val="bottom"/>
          </w:tcPr>
          <w:p w:rsidR="00426440" w:rsidRPr="007C2D51" w:rsidRDefault="00426440" w:rsidP="00426440">
            <w:pPr>
              <w:jc w:val="center"/>
              <w:rPr>
                <w:b/>
              </w:rPr>
            </w:pPr>
            <w:r w:rsidRPr="007C2D51">
              <w:rPr>
                <w:b/>
              </w:rPr>
              <w:t>Number</w:t>
            </w:r>
          </w:p>
        </w:tc>
        <w:tc>
          <w:tcPr>
            <w:tcW w:w="0" w:type="auto"/>
            <w:tcBorders>
              <w:top w:val="none" w:sz="0" w:space="0" w:color="auto"/>
              <w:bottom w:val="none" w:sz="0" w:space="0" w:color="auto"/>
            </w:tcBorders>
            <w:vAlign w:val="bottom"/>
          </w:tcPr>
          <w:p w:rsidR="00426440" w:rsidRPr="007C2D51" w:rsidRDefault="00426440" w:rsidP="00426440">
            <w:pPr>
              <w:jc w:val="center"/>
              <w:cnfStyle w:val="000000100000"/>
              <w:rPr>
                <w:b/>
              </w:rPr>
            </w:pPr>
            <w:r w:rsidRPr="007C2D51">
              <w:rPr>
                <w:b/>
              </w:rPr>
              <w:t>Change</w:t>
            </w:r>
          </w:p>
        </w:tc>
        <w:tc>
          <w:tcPr>
            <w:cnfStyle w:val="000010000000"/>
            <w:tcW w:w="0" w:type="auto"/>
            <w:tcBorders>
              <w:top w:val="none" w:sz="0" w:space="0" w:color="auto"/>
              <w:left w:val="none" w:sz="0" w:space="0" w:color="auto"/>
              <w:bottom w:val="none" w:sz="0" w:space="0" w:color="auto"/>
              <w:right w:val="none" w:sz="0" w:space="0" w:color="auto"/>
            </w:tcBorders>
            <w:vAlign w:val="bottom"/>
          </w:tcPr>
          <w:p w:rsidR="00426440" w:rsidRPr="007C2D51" w:rsidRDefault="00426440" w:rsidP="00426440">
            <w:pPr>
              <w:jc w:val="center"/>
              <w:rPr>
                <w:b/>
              </w:rPr>
            </w:pPr>
            <w:r w:rsidRPr="007C2D51">
              <w:rPr>
                <w:b/>
              </w:rPr>
              <w:t>Number</w:t>
            </w:r>
          </w:p>
        </w:tc>
        <w:tc>
          <w:tcPr>
            <w:tcW w:w="0" w:type="auto"/>
            <w:tcBorders>
              <w:top w:val="none" w:sz="0" w:space="0" w:color="auto"/>
              <w:bottom w:val="none" w:sz="0" w:space="0" w:color="auto"/>
            </w:tcBorders>
            <w:vAlign w:val="bottom"/>
          </w:tcPr>
          <w:p w:rsidR="00426440" w:rsidRPr="007C2D51" w:rsidRDefault="00426440" w:rsidP="00426440">
            <w:pPr>
              <w:jc w:val="center"/>
              <w:cnfStyle w:val="000000100000"/>
              <w:rPr>
                <w:b/>
              </w:rPr>
            </w:pPr>
            <w:r w:rsidRPr="007C2D51">
              <w:rPr>
                <w:b/>
              </w:rPr>
              <w:t>Change</w:t>
            </w:r>
          </w:p>
        </w:tc>
        <w:tc>
          <w:tcPr>
            <w:cnfStyle w:val="000010000000"/>
            <w:tcW w:w="0" w:type="auto"/>
            <w:tcBorders>
              <w:top w:val="none" w:sz="0" w:space="0" w:color="auto"/>
              <w:left w:val="none" w:sz="0" w:space="0" w:color="auto"/>
              <w:bottom w:val="none" w:sz="0" w:space="0" w:color="auto"/>
              <w:right w:val="none" w:sz="0" w:space="0" w:color="auto"/>
            </w:tcBorders>
            <w:vAlign w:val="bottom"/>
          </w:tcPr>
          <w:p w:rsidR="00426440" w:rsidRPr="007C2D51" w:rsidRDefault="00426440" w:rsidP="00426440">
            <w:pPr>
              <w:jc w:val="center"/>
              <w:rPr>
                <w:b/>
              </w:rPr>
            </w:pPr>
            <w:r w:rsidRPr="007C2D51">
              <w:rPr>
                <w:b/>
              </w:rPr>
              <w:t>Response Rate</w:t>
            </w:r>
          </w:p>
        </w:tc>
      </w:tr>
      <w:tr w:rsidR="00426440" w:rsidRPr="007C2D51" w:rsidTr="00E218F6">
        <w:trPr>
          <w:jc w:val="center"/>
        </w:trPr>
        <w:tc>
          <w:tcPr>
            <w:cnfStyle w:val="001000000000"/>
            <w:tcW w:w="0" w:type="auto"/>
            <w:vAlign w:val="bottom"/>
          </w:tcPr>
          <w:p w:rsidR="00426440" w:rsidRPr="007C2D51" w:rsidRDefault="00426440" w:rsidP="00426440">
            <w:r w:rsidRPr="007C2D51">
              <w:t>FY 2006</w:t>
            </w:r>
          </w:p>
        </w:tc>
        <w:tc>
          <w:tcPr>
            <w:cnfStyle w:val="000010000000"/>
            <w:tcW w:w="0" w:type="auto"/>
            <w:tcBorders>
              <w:left w:val="none" w:sz="0" w:space="0" w:color="auto"/>
              <w:right w:val="none" w:sz="0" w:space="0" w:color="auto"/>
            </w:tcBorders>
            <w:vAlign w:val="bottom"/>
          </w:tcPr>
          <w:p w:rsidR="00426440" w:rsidRPr="007C2D51" w:rsidRDefault="00426440" w:rsidP="00426440">
            <w:pPr>
              <w:jc w:val="right"/>
            </w:pPr>
            <w:r w:rsidRPr="007C2D51">
              <w:t>155</w:t>
            </w:r>
          </w:p>
        </w:tc>
        <w:tc>
          <w:tcPr>
            <w:tcW w:w="0" w:type="auto"/>
            <w:vAlign w:val="bottom"/>
          </w:tcPr>
          <w:p w:rsidR="00426440" w:rsidRPr="007C2D51" w:rsidRDefault="00426440" w:rsidP="00426440">
            <w:pPr>
              <w:jc w:val="right"/>
              <w:cnfStyle w:val="000000000000"/>
            </w:pPr>
            <w:r w:rsidRPr="007C2D51">
              <w:t>-</w:t>
            </w:r>
          </w:p>
        </w:tc>
        <w:tc>
          <w:tcPr>
            <w:cnfStyle w:val="000010000000"/>
            <w:tcW w:w="0" w:type="auto"/>
            <w:tcBorders>
              <w:left w:val="none" w:sz="0" w:space="0" w:color="auto"/>
              <w:right w:val="none" w:sz="0" w:space="0" w:color="auto"/>
            </w:tcBorders>
            <w:vAlign w:val="bottom"/>
          </w:tcPr>
          <w:p w:rsidR="00426440" w:rsidRPr="007C2D51" w:rsidRDefault="00426440" w:rsidP="00426440">
            <w:pPr>
              <w:jc w:val="right"/>
            </w:pPr>
            <w:r w:rsidRPr="007C2D51">
              <w:t>645</w:t>
            </w:r>
          </w:p>
        </w:tc>
        <w:tc>
          <w:tcPr>
            <w:tcW w:w="0" w:type="auto"/>
            <w:vAlign w:val="bottom"/>
          </w:tcPr>
          <w:p w:rsidR="00426440" w:rsidRPr="007C2D51" w:rsidRDefault="00426440" w:rsidP="00426440">
            <w:pPr>
              <w:jc w:val="right"/>
              <w:cnfStyle w:val="000000000000"/>
              <w:rPr>
                <w:b/>
              </w:rPr>
            </w:pPr>
            <w:r w:rsidRPr="007C2D51">
              <w:rPr>
                <w:b/>
              </w:rPr>
              <w:t>-</w:t>
            </w:r>
          </w:p>
        </w:tc>
        <w:tc>
          <w:tcPr>
            <w:cnfStyle w:val="000010000000"/>
            <w:tcW w:w="0" w:type="auto"/>
            <w:tcBorders>
              <w:left w:val="none" w:sz="0" w:space="0" w:color="auto"/>
              <w:right w:val="none" w:sz="0" w:space="0" w:color="auto"/>
            </w:tcBorders>
            <w:vAlign w:val="bottom"/>
          </w:tcPr>
          <w:p w:rsidR="00426440" w:rsidRPr="007C2D51" w:rsidRDefault="00426440" w:rsidP="00426440">
            <w:pPr>
              <w:jc w:val="right"/>
            </w:pPr>
            <w:r w:rsidRPr="007C2D51">
              <w:t>92%</w:t>
            </w:r>
          </w:p>
        </w:tc>
      </w:tr>
      <w:tr w:rsidR="00426440" w:rsidRPr="007C2D51" w:rsidTr="00E218F6">
        <w:trPr>
          <w:cnfStyle w:val="000000100000"/>
          <w:jc w:val="center"/>
        </w:trPr>
        <w:tc>
          <w:tcPr>
            <w:cnfStyle w:val="001000000000"/>
            <w:tcW w:w="0" w:type="auto"/>
            <w:tcBorders>
              <w:top w:val="none" w:sz="0" w:space="0" w:color="auto"/>
              <w:left w:val="none" w:sz="0" w:space="0" w:color="auto"/>
              <w:bottom w:val="none" w:sz="0" w:space="0" w:color="auto"/>
            </w:tcBorders>
            <w:vAlign w:val="bottom"/>
          </w:tcPr>
          <w:p w:rsidR="00426440" w:rsidRPr="007C2D51" w:rsidRDefault="00426440" w:rsidP="00426440">
            <w:r w:rsidRPr="007C2D51">
              <w:t>FY 2007</w:t>
            </w:r>
          </w:p>
        </w:tc>
        <w:tc>
          <w:tcPr>
            <w:cnfStyle w:val="000010000000"/>
            <w:tcW w:w="0" w:type="auto"/>
            <w:tcBorders>
              <w:top w:val="none" w:sz="0" w:space="0" w:color="auto"/>
              <w:left w:val="none" w:sz="0" w:space="0" w:color="auto"/>
              <w:bottom w:val="none" w:sz="0" w:space="0" w:color="auto"/>
              <w:right w:val="none" w:sz="0" w:space="0" w:color="auto"/>
            </w:tcBorders>
            <w:vAlign w:val="bottom"/>
          </w:tcPr>
          <w:p w:rsidR="00426440" w:rsidRPr="007C2D51" w:rsidRDefault="00426440" w:rsidP="00426440">
            <w:pPr>
              <w:jc w:val="right"/>
            </w:pPr>
            <w:r w:rsidRPr="007C2D51">
              <w:t>121</w:t>
            </w:r>
          </w:p>
        </w:tc>
        <w:tc>
          <w:tcPr>
            <w:tcW w:w="0" w:type="auto"/>
            <w:tcBorders>
              <w:top w:val="none" w:sz="0" w:space="0" w:color="auto"/>
              <w:bottom w:val="none" w:sz="0" w:space="0" w:color="auto"/>
            </w:tcBorders>
            <w:vAlign w:val="bottom"/>
          </w:tcPr>
          <w:p w:rsidR="00426440" w:rsidRPr="007C2D51" w:rsidRDefault="00426440" w:rsidP="00426440">
            <w:pPr>
              <w:jc w:val="right"/>
              <w:cnfStyle w:val="000000100000"/>
            </w:pPr>
            <w:r w:rsidRPr="007C2D51">
              <w:t>-22%</w:t>
            </w:r>
          </w:p>
        </w:tc>
        <w:tc>
          <w:tcPr>
            <w:cnfStyle w:val="000010000000"/>
            <w:tcW w:w="0" w:type="auto"/>
            <w:tcBorders>
              <w:top w:val="none" w:sz="0" w:space="0" w:color="auto"/>
              <w:left w:val="none" w:sz="0" w:space="0" w:color="auto"/>
              <w:bottom w:val="none" w:sz="0" w:space="0" w:color="auto"/>
              <w:right w:val="none" w:sz="0" w:space="0" w:color="auto"/>
            </w:tcBorders>
            <w:vAlign w:val="bottom"/>
          </w:tcPr>
          <w:p w:rsidR="00426440" w:rsidRPr="007C2D51" w:rsidRDefault="00426440" w:rsidP="00426440">
            <w:pPr>
              <w:jc w:val="right"/>
            </w:pPr>
            <w:r w:rsidRPr="007C2D51">
              <w:t>587</w:t>
            </w:r>
          </w:p>
        </w:tc>
        <w:tc>
          <w:tcPr>
            <w:tcW w:w="0" w:type="auto"/>
            <w:tcBorders>
              <w:top w:val="none" w:sz="0" w:space="0" w:color="auto"/>
              <w:bottom w:val="none" w:sz="0" w:space="0" w:color="auto"/>
            </w:tcBorders>
            <w:vAlign w:val="bottom"/>
          </w:tcPr>
          <w:p w:rsidR="00426440" w:rsidRPr="007C2D51" w:rsidRDefault="00426440" w:rsidP="00426440">
            <w:pPr>
              <w:jc w:val="right"/>
              <w:cnfStyle w:val="000000100000"/>
            </w:pPr>
            <w:r w:rsidRPr="007C2D51">
              <w:t>-9%</w:t>
            </w:r>
          </w:p>
        </w:tc>
        <w:tc>
          <w:tcPr>
            <w:cnfStyle w:val="000010000000"/>
            <w:tcW w:w="0" w:type="auto"/>
            <w:tcBorders>
              <w:top w:val="none" w:sz="0" w:space="0" w:color="auto"/>
              <w:left w:val="none" w:sz="0" w:space="0" w:color="auto"/>
              <w:bottom w:val="none" w:sz="0" w:space="0" w:color="auto"/>
              <w:right w:val="none" w:sz="0" w:space="0" w:color="auto"/>
            </w:tcBorders>
            <w:vAlign w:val="bottom"/>
          </w:tcPr>
          <w:p w:rsidR="00426440" w:rsidRPr="007C2D51" w:rsidRDefault="00426440" w:rsidP="00426440">
            <w:pPr>
              <w:jc w:val="right"/>
            </w:pPr>
            <w:r w:rsidRPr="007C2D51">
              <w:t>74%</w:t>
            </w:r>
          </w:p>
        </w:tc>
      </w:tr>
      <w:tr w:rsidR="00426440" w:rsidRPr="007C2D51" w:rsidTr="00E218F6">
        <w:trPr>
          <w:jc w:val="center"/>
        </w:trPr>
        <w:tc>
          <w:tcPr>
            <w:cnfStyle w:val="001000000000"/>
            <w:tcW w:w="0" w:type="auto"/>
            <w:vAlign w:val="bottom"/>
          </w:tcPr>
          <w:p w:rsidR="00426440" w:rsidRPr="007C2D51" w:rsidRDefault="00426440" w:rsidP="00426440">
            <w:r w:rsidRPr="007C2D51">
              <w:t>FY 2008</w:t>
            </w:r>
          </w:p>
        </w:tc>
        <w:tc>
          <w:tcPr>
            <w:cnfStyle w:val="000010000000"/>
            <w:tcW w:w="0" w:type="auto"/>
            <w:tcBorders>
              <w:left w:val="none" w:sz="0" w:space="0" w:color="auto"/>
              <w:right w:val="none" w:sz="0" w:space="0" w:color="auto"/>
            </w:tcBorders>
            <w:vAlign w:val="bottom"/>
          </w:tcPr>
          <w:p w:rsidR="00426440" w:rsidRPr="007C2D51" w:rsidRDefault="00426440" w:rsidP="00426440">
            <w:pPr>
              <w:jc w:val="right"/>
            </w:pPr>
            <w:r w:rsidRPr="007C2D51">
              <w:t>147</w:t>
            </w:r>
          </w:p>
        </w:tc>
        <w:tc>
          <w:tcPr>
            <w:tcW w:w="0" w:type="auto"/>
            <w:vAlign w:val="bottom"/>
          </w:tcPr>
          <w:p w:rsidR="00426440" w:rsidRPr="007C2D51" w:rsidRDefault="00426440" w:rsidP="00426440">
            <w:pPr>
              <w:jc w:val="right"/>
              <w:cnfStyle w:val="000000000000"/>
            </w:pPr>
            <w:r w:rsidRPr="007C2D51">
              <w:t>+21%</w:t>
            </w:r>
          </w:p>
        </w:tc>
        <w:tc>
          <w:tcPr>
            <w:cnfStyle w:val="000010000000"/>
            <w:tcW w:w="0" w:type="auto"/>
            <w:tcBorders>
              <w:left w:val="none" w:sz="0" w:space="0" w:color="auto"/>
              <w:right w:val="none" w:sz="0" w:space="0" w:color="auto"/>
            </w:tcBorders>
            <w:vAlign w:val="bottom"/>
          </w:tcPr>
          <w:p w:rsidR="00426440" w:rsidRPr="007C2D51" w:rsidRDefault="00426440" w:rsidP="00426440">
            <w:pPr>
              <w:jc w:val="right"/>
            </w:pPr>
            <w:r w:rsidRPr="007C2D51">
              <w:t>681</w:t>
            </w:r>
          </w:p>
        </w:tc>
        <w:tc>
          <w:tcPr>
            <w:tcW w:w="0" w:type="auto"/>
            <w:vAlign w:val="bottom"/>
          </w:tcPr>
          <w:p w:rsidR="00426440" w:rsidRPr="007C2D51" w:rsidRDefault="00426440" w:rsidP="00426440">
            <w:pPr>
              <w:jc w:val="right"/>
              <w:cnfStyle w:val="000000000000"/>
            </w:pPr>
            <w:r w:rsidRPr="007C2D51">
              <w:t>+16%</w:t>
            </w:r>
          </w:p>
        </w:tc>
        <w:tc>
          <w:tcPr>
            <w:cnfStyle w:val="000010000000"/>
            <w:tcW w:w="0" w:type="auto"/>
            <w:tcBorders>
              <w:left w:val="none" w:sz="0" w:space="0" w:color="auto"/>
              <w:right w:val="none" w:sz="0" w:space="0" w:color="auto"/>
            </w:tcBorders>
            <w:vAlign w:val="bottom"/>
          </w:tcPr>
          <w:p w:rsidR="00426440" w:rsidRPr="007C2D51" w:rsidRDefault="00426440" w:rsidP="00426440">
            <w:pPr>
              <w:jc w:val="right"/>
            </w:pPr>
            <w:r w:rsidRPr="007C2D51">
              <w:t>74%</w:t>
            </w:r>
          </w:p>
        </w:tc>
      </w:tr>
      <w:tr w:rsidR="00426440" w:rsidRPr="007C2D51" w:rsidTr="00E218F6">
        <w:trPr>
          <w:cnfStyle w:val="000000100000"/>
          <w:jc w:val="center"/>
        </w:trPr>
        <w:tc>
          <w:tcPr>
            <w:cnfStyle w:val="001000000000"/>
            <w:tcW w:w="0" w:type="auto"/>
            <w:tcBorders>
              <w:top w:val="none" w:sz="0" w:space="0" w:color="auto"/>
              <w:left w:val="none" w:sz="0" w:space="0" w:color="auto"/>
              <w:bottom w:val="none" w:sz="0" w:space="0" w:color="auto"/>
            </w:tcBorders>
            <w:vAlign w:val="bottom"/>
          </w:tcPr>
          <w:p w:rsidR="00426440" w:rsidRPr="007C2D51" w:rsidRDefault="00426440" w:rsidP="00426440">
            <w:pPr>
              <w:tabs>
                <w:tab w:val="right" w:pos="1750"/>
              </w:tabs>
            </w:pPr>
            <w:r w:rsidRPr="007C2D51">
              <w:t>FY 2009</w:t>
            </w:r>
          </w:p>
        </w:tc>
        <w:tc>
          <w:tcPr>
            <w:cnfStyle w:val="000010000000"/>
            <w:tcW w:w="0" w:type="auto"/>
            <w:tcBorders>
              <w:top w:val="none" w:sz="0" w:space="0" w:color="auto"/>
              <w:left w:val="none" w:sz="0" w:space="0" w:color="auto"/>
              <w:bottom w:val="none" w:sz="0" w:space="0" w:color="auto"/>
              <w:right w:val="none" w:sz="0" w:space="0" w:color="auto"/>
            </w:tcBorders>
            <w:vAlign w:val="bottom"/>
          </w:tcPr>
          <w:p w:rsidR="00426440" w:rsidRPr="007C2D51" w:rsidRDefault="00426440" w:rsidP="00426440">
            <w:pPr>
              <w:jc w:val="right"/>
            </w:pPr>
            <w:r w:rsidRPr="007C2D51">
              <w:t>171</w:t>
            </w:r>
          </w:p>
        </w:tc>
        <w:tc>
          <w:tcPr>
            <w:tcW w:w="0" w:type="auto"/>
            <w:tcBorders>
              <w:top w:val="none" w:sz="0" w:space="0" w:color="auto"/>
              <w:bottom w:val="none" w:sz="0" w:space="0" w:color="auto"/>
            </w:tcBorders>
            <w:vAlign w:val="bottom"/>
          </w:tcPr>
          <w:p w:rsidR="00426440" w:rsidRPr="007C2D51" w:rsidRDefault="00426440" w:rsidP="00426440">
            <w:pPr>
              <w:jc w:val="right"/>
              <w:cnfStyle w:val="000000100000"/>
            </w:pPr>
            <w:r w:rsidRPr="007C2D51">
              <w:t>+16%</w:t>
            </w:r>
          </w:p>
        </w:tc>
        <w:tc>
          <w:tcPr>
            <w:cnfStyle w:val="000010000000"/>
            <w:tcW w:w="0" w:type="auto"/>
            <w:tcBorders>
              <w:top w:val="none" w:sz="0" w:space="0" w:color="auto"/>
              <w:left w:val="none" w:sz="0" w:space="0" w:color="auto"/>
              <w:bottom w:val="none" w:sz="0" w:space="0" w:color="auto"/>
              <w:right w:val="none" w:sz="0" w:space="0" w:color="auto"/>
            </w:tcBorders>
            <w:vAlign w:val="bottom"/>
          </w:tcPr>
          <w:p w:rsidR="00426440" w:rsidRPr="007C2D51" w:rsidRDefault="00426440" w:rsidP="00426440">
            <w:pPr>
              <w:jc w:val="right"/>
            </w:pPr>
            <w:r w:rsidRPr="007C2D51">
              <w:t>910</w:t>
            </w:r>
          </w:p>
        </w:tc>
        <w:tc>
          <w:tcPr>
            <w:tcW w:w="0" w:type="auto"/>
            <w:tcBorders>
              <w:top w:val="none" w:sz="0" w:space="0" w:color="auto"/>
              <w:bottom w:val="none" w:sz="0" w:space="0" w:color="auto"/>
            </w:tcBorders>
            <w:vAlign w:val="bottom"/>
          </w:tcPr>
          <w:p w:rsidR="00426440" w:rsidRPr="007C2D51" w:rsidRDefault="00426440" w:rsidP="00426440">
            <w:pPr>
              <w:jc w:val="right"/>
              <w:cnfStyle w:val="000000100000"/>
            </w:pPr>
            <w:r w:rsidRPr="007C2D51">
              <w:t>+34%</w:t>
            </w:r>
          </w:p>
        </w:tc>
        <w:tc>
          <w:tcPr>
            <w:cnfStyle w:val="000010000000"/>
            <w:tcW w:w="0" w:type="auto"/>
            <w:tcBorders>
              <w:top w:val="none" w:sz="0" w:space="0" w:color="auto"/>
              <w:left w:val="none" w:sz="0" w:space="0" w:color="auto"/>
              <w:bottom w:val="none" w:sz="0" w:space="0" w:color="auto"/>
              <w:right w:val="none" w:sz="0" w:space="0" w:color="auto"/>
            </w:tcBorders>
            <w:vAlign w:val="bottom"/>
          </w:tcPr>
          <w:p w:rsidR="00426440" w:rsidRPr="007C2D51" w:rsidRDefault="00426440" w:rsidP="00426440">
            <w:pPr>
              <w:jc w:val="right"/>
            </w:pPr>
            <w:r w:rsidRPr="007C2D51">
              <w:t>99%</w:t>
            </w:r>
          </w:p>
        </w:tc>
      </w:tr>
      <w:tr w:rsidR="00E61646" w:rsidRPr="007C2D51" w:rsidTr="00E218F6">
        <w:trPr>
          <w:jc w:val="center"/>
        </w:trPr>
        <w:tc>
          <w:tcPr>
            <w:cnfStyle w:val="001000000000"/>
            <w:tcW w:w="0" w:type="auto"/>
            <w:vAlign w:val="bottom"/>
          </w:tcPr>
          <w:p w:rsidR="00E61646" w:rsidRPr="007C2D51" w:rsidRDefault="00E61646" w:rsidP="00130044">
            <w:pPr>
              <w:tabs>
                <w:tab w:val="right" w:pos="1750"/>
              </w:tabs>
            </w:pPr>
            <w:r w:rsidRPr="007C2D51">
              <w:t>FY 20</w:t>
            </w:r>
            <w:r w:rsidR="00130044" w:rsidRPr="007C2D51">
              <w:t>1</w:t>
            </w:r>
            <w:r w:rsidRPr="007C2D51">
              <w:t>0</w:t>
            </w:r>
          </w:p>
        </w:tc>
        <w:tc>
          <w:tcPr>
            <w:cnfStyle w:val="000010000000"/>
            <w:tcW w:w="0" w:type="auto"/>
            <w:tcBorders>
              <w:left w:val="none" w:sz="0" w:space="0" w:color="auto"/>
              <w:bottom w:val="none" w:sz="0" w:space="0" w:color="auto"/>
              <w:right w:val="none" w:sz="0" w:space="0" w:color="auto"/>
            </w:tcBorders>
            <w:vAlign w:val="bottom"/>
          </w:tcPr>
          <w:p w:rsidR="00E61646" w:rsidRPr="007C2D51" w:rsidRDefault="00E61646" w:rsidP="009F1D32">
            <w:pPr>
              <w:jc w:val="right"/>
            </w:pPr>
            <w:r w:rsidRPr="007C2D51">
              <w:t>18</w:t>
            </w:r>
            <w:r w:rsidR="009F1D32" w:rsidRPr="007C2D51">
              <w:t>8</w:t>
            </w:r>
          </w:p>
        </w:tc>
        <w:tc>
          <w:tcPr>
            <w:tcW w:w="0" w:type="auto"/>
            <w:vAlign w:val="bottom"/>
          </w:tcPr>
          <w:p w:rsidR="00E61646" w:rsidRPr="007C2D51" w:rsidRDefault="00A732BC" w:rsidP="009F1D32">
            <w:pPr>
              <w:jc w:val="right"/>
              <w:cnfStyle w:val="000000000000"/>
            </w:pPr>
            <w:r w:rsidRPr="007C2D51">
              <w:t>+1</w:t>
            </w:r>
            <w:r w:rsidR="009F1D32" w:rsidRPr="007C2D51">
              <w:t>0</w:t>
            </w:r>
            <w:r w:rsidRPr="007C2D51">
              <w:t>%</w:t>
            </w:r>
          </w:p>
        </w:tc>
        <w:tc>
          <w:tcPr>
            <w:cnfStyle w:val="000010000000"/>
            <w:tcW w:w="0" w:type="auto"/>
            <w:tcBorders>
              <w:left w:val="none" w:sz="0" w:space="0" w:color="auto"/>
              <w:bottom w:val="none" w:sz="0" w:space="0" w:color="auto"/>
              <w:right w:val="none" w:sz="0" w:space="0" w:color="auto"/>
            </w:tcBorders>
            <w:vAlign w:val="bottom"/>
          </w:tcPr>
          <w:p w:rsidR="00E61646" w:rsidRPr="007C2D51" w:rsidRDefault="009F1D32" w:rsidP="00610F4B">
            <w:pPr>
              <w:jc w:val="right"/>
            </w:pPr>
            <w:r w:rsidRPr="007C2D51">
              <w:t>1027</w:t>
            </w:r>
          </w:p>
        </w:tc>
        <w:tc>
          <w:tcPr>
            <w:tcW w:w="0" w:type="auto"/>
            <w:vAlign w:val="bottom"/>
          </w:tcPr>
          <w:p w:rsidR="00E61646" w:rsidRPr="007C2D51" w:rsidRDefault="00E61646" w:rsidP="00610F4B">
            <w:pPr>
              <w:jc w:val="right"/>
              <w:cnfStyle w:val="000000000000"/>
            </w:pPr>
            <w:r w:rsidRPr="007C2D51">
              <w:t>+1</w:t>
            </w:r>
            <w:r w:rsidR="00610F4B" w:rsidRPr="007C2D51">
              <w:t>3</w:t>
            </w:r>
            <w:r w:rsidRPr="007C2D51">
              <w:t>%</w:t>
            </w:r>
          </w:p>
        </w:tc>
        <w:tc>
          <w:tcPr>
            <w:cnfStyle w:val="000010000000"/>
            <w:tcW w:w="0" w:type="auto"/>
            <w:tcBorders>
              <w:left w:val="none" w:sz="0" w:space="0" w:color="auto"/>
              <w:bottom w:val="none" w:sz="0" w:space="0" w:color="auto"/>
              <w:right w:val="none" w:sz="0" w:space="0" w:color="auto"/>
            </w:tcBorders>
            <w:vAlign w:val="bottom"/>
          </w:tcPr>
          <w:p w:rsidR="00E61646" w:rsidRPr="007C2D51" w:rsidRDefault="009F1D32" w:rsidP="00426440">
            <w:pPr>
              <w:jc w:val="right"/>
            </w:pPr>
            <w:r w:rsidRPr="007C2D51">
              <w:t>99%</w:t>
            </w:r>
          </w:p>
        </w:tc>
      </w:tr>
    </w:tbl>
    <w:p w:rsidR="0018730B" w:rsidRPr="007C2D51" w:rsidRDefault="0018730B" w:rsidP="0018730B"/>
    <w:p w:rsidR="00892115" w:rsidRPr="007C2D51" w:rsidRDefault="00362897">
      <w:pPr>
        <w:pStyle w:val="BodyText"/>
      </w:pPr>
      <w:r w:rsidRPr="007C2D51">
        <w:t>Second</w:t>
      </w:r>
      <w:r w:rsidR="00C231E5" w:rsidRPr="007C2D51">
        <w:t xml:space="preserve">, </w:t>
      </w:r>
      <w:r w:rsidRPr="007C2D51">
        <w:t xml:space="preserve">the JARC </w:t>
      </w:r>
      <w:r w:rsidR="007136EA" w:rsidRPr="007C2D51">
        <w:t xml:space="preserve">program is </w:t>
      </w:r>
      <w:r w:rsidRPr="007C2D51">
        <w:t>designed to support a broad range of services</w:t>
      </w:r>
      <w:r w:rsidR="00CE332B" w:rsidRPr="007C2D51">
        <w:t xml:space="preserve">.  </w:t>
      </w:r>
      <w:r w:rsidRPr="007C2D51">
        <w:t>These include services that provide transportation directly (such as fixed route or user-side subsidies) as well as programs that provide information and investments in capital improvements</w:t>
      </w:r>
      <w:r w:rsidR="00CE332B" w:rsidRPr="007C2D51">
        <w:t xml:space="preserve">.  </w:t>
      </w:r>
      <w:r w:rsidRPr="007C2D51">
        <w:t>As the mix of services changes from year to year, the number of one-way trips and jobs accessed will change accordingly</w:t>
      </w:r>
      <w:r w:rsidR="00CE332B" w:rsidRPr="007C2D51">
        <w:t xml:space="preserve">.  </w:t>
      </w:r>
      <w:r w:rsidR="00324DC6" w:rsidRPr="007C2D51">
        <w:t>In the aggregate, it may not be possible to determine whether this kind of change reflects a decline in program performance or simply a new mix of services offered</w:t>
      </w:r>
      <w:r w:rsidR="00CE332B" w:rsidRPr="007C2D51">
        <w:t xml:space="preserve">.  </w:t>
      </w:r>
      <w:r w:rsidRPr="007C2D51">
        <w:t>For example, if the number of capital investment programs increases, the number of one-way trips and/or jobs accessed may well decrease</w:t>
      </w:r>
      <w:r w:rsidR="00324DC6" w:rsidRPr="007C2D51">
        <w:t xml:space="preserve"> because improvements such as software systems may not translate directly into trips</w:t>
      </w:r>
      <w:r w:rsidR="00CE332B" w:rsidRPr="007C2D51">
        <w:t xml:space="preserve">.  </w:t>
      </w:r>
    </w:p>
    <w:p w:rsidR="00610F4B" w:rsidRPr="007C2D51" w:rsidRDefault="00610F4B">
      <w:pPr>
        <w:pStyle w:val="BodyText"/>
      </w:pPr>
      <w:r w:rsidRPr="007C2D51">
        <w:t xml:space="preserve">Third, an analytical convention adopted for this analysis affected how grant recipients reported one-way trips.  </w:t>
      </w:r>
      <w:bookmarkStart w:id="19" w:name="OLE_LINK1"/>
      <w:r w:rsidRPr="007C2D51">
        <w:t xml:space="preserve">When grant recipients used JARC funds to purchase one or more vehicles that they placed into service, they were asked to report two separate services or programs: a capital investment to purchase the vehicle and a trip-based service (e.g., fixed route) to provide passenger service. In these cases, trips were attributed to the service and not to the capital investment to avoid double counting.  For the same reason, mobility managers that provided service directly were also asked to report on that service separately and to attribute those trips to the service rather than to the mobility manager program. </w:t>
      </w:r>
      <w:bookmarkEnd w:id="19"/>
      <w:r w:rsidRPr="007C2D51">
        <w:t xml:space="preserve"> Assigning all the trips from mobility manager and vehicle investments to trip-based services likely overstated the one-way </w:t>
      </w:r>
      <w:r w:rsidRPr="007C2D51">
        <w:lastRenderedPageBreak/>
        <w:t>trips associated with trip-based service and understated the number of trips associated with capital investments and information-based services.</w:t>
      </w:r>
      <w:r w:rsidRPr="007C2D51" w:rsidDel="0019746A">
        <w:t xml:space="preserve"> </w:t>
      </w:r>
      <w:r w:rsidRPr="007C2D51">
        <w:t xml:space="preserve"> Although this approach did not influence the overall number of trips reported, it affected the distribution of trips by service type.</w:t>
      </w:r>
    </w:p>
    <w:p w:rsidR="008E3632" w:rsidRPr="007C2D51" w:rsidRDefault="00022E2F">
      <w:pPr>
        <w:pStyle w:val="BodyText"/>
      </w:pPr>
      <w:r>
        <w:pict>
          <v:shape id="_x0000_s1039" type="#_x0000_t65" style="position:absolute;margin-left:0;margin-top:0;width:223.5pt;height:140.9pt;z-index:251738112;mso-position-horizontal:left;mso-position-horizontal-relative:margin;mso-position-vertical:top;mso-position-vertical-relative:margin" fillcolor="white [3201]" strokecolor="#fed36b [1941]" strokeweight="1pt">
            <v:fill color2="#fee29c [1301]" focusposition="1" focussize="" focus="100%" type="gradient"/>
            <v:shadow on="t" type="perspective" color="#825c00 [1605]" opacity=".5" offset="1pt" offset2="-3pt"/>
            <v:textbox>
              <w:txbxContent>
                <w:p w:rsidR="00F15767" w:rsidRDefault="00F15767">
                  <w:pPr>
                    <w:rPr>
                      <w:i/>
                    </w:rPr>
                  </w:pPr>
                  <w:r w:rsidRPr="006471A9">
                    <w:rPr>
                      <w:i/>
                    </w:rPr>
                    <w:t>The Community Coaster services low income housing complexes, retail establishments, the train station and a variety of other job providers</w:t>
                  </w:r>
                  <w:r>
                    <w:rPr>
                      <w:i/>
                    </w:rPr>
                    <w:t>,</w:t>
                  </w:r>
                  <w:r w:rsidRPr="006471A9">
                    <w:rPr>
                      <w:i/>
                    </w:rPr>
                    <w:t xml:space="preserve"> such as assisted living communities. It is the only service available in this part of</w:t>
                  </w:r>
                  <w:r>
                    <w:rPr>
                      <w:i/>
                    </w:rPr>
                    <w:t xml:space="preserve"> the county and provides a life</w:t>
                  </w:r>
                  <w:r w:rsidRPr="006471A9">
                    <w:rPr>
                      <w:i/>
                    </w:rPr>
                    <w:t>line to those without an automobile.</w:t>
                  </w:r>
                </w:p>
                <w:p w:rsidR="00F15767" w:rsidRPr="006471A9" w:rsidRDefault="00F15767">
                  <w:pPr>
                    <w:rPr>
                      <w:i/>
                    </w:rPr>
                  </w:pPr>
                  <w:r>
                    <w:rPr>
                      <w:i/>
                    </w:rPr>
                    <w:t>Partnership Transportation Management Association</w:t>
                  </w:r>
                  <w:r>
                    <w:rPr>
                      <w:i/>
                    </w:rPr>
                    <w:br/>
                    <w:t>Southeastern Pennsylvania Transportation Authority</w:t>
                  </w:r>
                </w:p>
              </w:txbxContent>
            </v:textbox>
            <w10:wrap type="square" anchorx="margin" anchory="margin"/>
          </v:shape>
        </w:pict>
      </w:r>
      <w:r w:rsidR="00426440" w:rsidRPr="007C2D51">
        <w:t>Another element affecting comparisons is the difference in survey response rates from year to year</w:t>
      </w:r>
      <w:r w:rsidR="00CE332B" w:rsidRPr="007C2D51">
        <w:t xml:space="preserve">.  </w:t>
      </w:r>
      <w:r w:rsidR="00B40174" w:rsidRPr="007C2D51">
        <w:t>As Table 1-</w:t>
      </w:r>
      <w:r w:rsidR="009F1D32" w:rsidRPr="007C2D51">
        <w:t>1</w:t>
      </w:r>
      <w:r w:rsidR="00B40174" w:rsidRPr="007C2D51">
        <w:t xml:space="preserve"> showed, the response rate ranged from 74% for the FY 2007 / FY 2008 analysis to 99% for the FY 2009 </w:t>
      </w:r>
      <w:r w:rsidR="00130044" w:rsidRPr="007C2D51">
        <w:t xml:space="preserve">and FY 2010 </w:t>
      </w:r>
      <w:r w:rsidR="00B40174" w:rsidRPr="007C2D51">
        <w:t>cycle</w:t>
      </w:r>
      <w:r w:rsidR="00130044" w:rsidRPr="007C2D51">
        <w:t>s</w:t>
      </w:r>
      <w:r w:rsidR="00B40174" w:rsidRPr="007C2D51">
        <w:t>.</w:t>
      </w:r>
    </w:p>
    <w:p w:rsidR="00892115" w:rsidRPr="007C2D51" w:rsidRDefault="00941714">
      <w:pPr>
        <w:pStyle w:val="BodyText"/>
      </w:pPr>
      <w:r w:rsidRPr="007C2D51">
        <w:t>Comparing jobs accessed from year to year is especially difficult</w:t>
      </w:r>
      <w:r w:rsidR="00CE332B" w:rsidRPr="007C2D51">
        <w:t xml:space="preserve">.  </w:t>
      </w:r>
      <w:r w:rsidRPr="007C2D51">
        <w:t xml:space="preserve">Besides reflecting changes in the mix of JARC-supported programs, the number and </w:t>
      </w:r>
      <w:r w:rsidR="00130044" w:rsidRPr="007C2D51">
        <w:t>type</w:t>
      </w:r>
      <w:r w:rsidRPr="007C2D51">
        <w:t xml:space="preserve"> of jobs available is tied directly into local economic conditions</w:t>
      </w:r>
      <w:r w:rsidR="00CE332B" w:rsidRPr="007C2D51">
        <w:t xml:space="preserve">.  </w:t>
      </w:r>
      <w:r w:rsidR="007F33FF" w:rsidRPr="007C2D51">
        <w:t>In addition, the consultant team has worked to refine the methodology for estimating jobs accessed during the past several reporting cycles</w:t>
      </w:r>
      <w:r w:rsidR="00CE332B" w:rsidRPr="007C2D51">
        <w:t xml:space="preserve">.  </w:t>
      </w:r>
      <w:r w:rsidR="007F33FF" w:rsidRPr="007C2D51">
        <w:t xml:space="preserve">These changes have improved the accuracy of the approach, but they make direct </w:t>
      </w:r>
      <w:r w:rsidR="00921A38" w:rsidRPr="007C2D51">
        <w:t xml:space="preserve">“apples-to-apples” </w:t>
      </w:r>
      <w:r w:rsidR="007F33FF" w:rsidRPr="007C2D51">
        <w:t>comparisons impossible</w:t>
      </w:r>
      <w:r w:rsidR="00CE332B" w:rsidRPr="007C2D51">
        <w:t xml:space="preserve">.  </w:t>
      </w:r>
    </w:p>
    <w:p w:rsidR="00892115" w:rsidRPr="007C2D51" w:rsidRDefault="00362897">
      <w:pPr>
        <w:pStyle w:val="BodyText"/>
      </w:pPr>
      <w:r w:rsidRPr="007C2D51">
        <w:t>This is why the matrix approach, introduced for FY 2006 and refined for this data cycle, is especially important</w:t>
      </w:r>
      <w:r w:rsidR="00CE332B" w:rsidRPr="007C2D51">
        <w:t xml:space="preserve">.  </w:t>
      </w:r>
      <w:r w:rsidRPr="007C2D51">
        <w:t>The service matrix captures performance information for all JARC services and reflects the range of choices made at the local level.</w:t>
      </w:r>
    </w:p>
    <w:p w:rsidR="00892115" w:rsidRPr="007C2D51" w:rsidRDefault="00362897">
      <w:pPr>
        <w:pStyle w:val="BodyText"/>
      </w:pPr>
      <w:r w:rsidRPr="007C2D51">
        <w:t xml:space="preserve">While acknowledging these considerations, the data collected still presents a picture of the changing face of the </w:t>
      </w:r>
      <w:r w:rsidR="007136EA" w:rsidRPr="007C2D51">
        <w:t>JARC program</w:t>
      </w:r>
      <w:r w:rsidR="00CE332B" w:rsidRPr="007C2D51">
        <w:t xml:space="preserve">.  </w:t>
      </w:r>
      <w:r w:rsidRPr="007C2D51">
        <w:t xml:space="preserve">Therefore, this analysis: </w:t>
      </w:r>
    </w:p>
    <w:p w:rsidR="00362897" w:rsidRPr="007C2D51" w:rsidRDefault="00362897" w:rsidP="00362897">
      <w:pPr>
        <w:pStyle w:val="ListBullet"/>
      </w:pPr>
      <w:r w:rsidRPr="007C2D51">
        <w:t>Compare</w:t>
      </w:r>
      <w:r w:rsidR="00F3222D" w:rsidRPr="007C2D51">
        <w:t>s</w:t>
      </w:r>
      <w:r w:rsidRPr="007C2D51">
        <w:t xml:space="preserve"> the mix of programs from year-to-year, including service type</w:t>
      </w:r>
      <w:r w:rsidR="00CE332B" w:rsidRPr="007C2D51">
        <w:t xml:space="preserve">.  </w:t>
      </w:r>
      <w:r w:rsidR="00A513B7" w:rsidRPr="007C2D51">
        <w:t>(See Figure 3-3.)</w:t>
      </w:r>
    </w:p>
    <w:p w:rsidR="00362897" w:rsidRPr="007C2D51" w:rsidRDefault="00362897" w:rsidP="00362897">
      <w:pPr>
        <w:pStyle w:val="ListBullet"/>
      </w:pPr>
      <w:r w:rsidRPr="007C2D51">
        <w:t>Compare</w:t>
      </w:r>
      <w:r w:rsidR="00F3222D" w:rsidRPr="007C2D51">
        <w:t>s</w:t>
      </w:r>
      <w:r w:rsidRPr="007C2D51">
        <w:t xml:space="preserve"> the mix of grantees and subrecipients from year to year, including type of operating setting</w:t>
      </w:r>
      <w:r w:rsidR="00CE332B" w:rsidRPr="007C2D51">
        <w:t xml:space="preserve">.  </w:t>
      </w:r>
      <w:r w:rsidR="00A513B7" w:rsidRPr="007C2D51">
        <w:t>(See Figure 3-6.)</w:t>
      </w:r>
    </w:p>
    <w:p w:rsidR="007E7BC2" w:rsidRPr="007C2D51" w:rsidRDefault="007E7BC2" w:rsidP="00362897">
      <w:pPr>
        <w:pStyle w:val="ListBullet"/>
      </w:pPr>
      <w:r w:rsidRPr="007C2D51">
        <w:t>Compares the primary goals for service provided from year to year</w:t>
      </w:r>
      <w:r w:rsidR="00CE332B" w:rsidRPr="007C2D51">
        <w:t xml:space="preserve">.  </w:t>
      </w:r>
      <w:r w:rsidR="00A513B7" w:rsidRPr="007C2D51">
        <w:t>(See Figure 6-1.)</w:t>
      </w:r>
    </w:p>
    <w:p w:rsidR="00362897" w:rsidRPr="007C2D51" w:rsidRDefault="00921A38" w:rsidP="00362897">
      <w:pPr>
        <w:pStyle w:val="ListBullet"/>
      </w:pPr>
      <w:r w:rsidRPr="007C2D51">
        <w:t>Incorporates</w:t>
      </w:r>
      <w:r w:rsidR="00362897" w:rsidRPr="007C2D51">
        <w:t xml:space="preserve"> information from the profiles into the analysis to show the diversity of the JARC program, along with lessons learned and elements of success</w:t>
      </w:r>
      <w:r w:rsidR="00CE332B" w:rsidRPr="007C2D51">
        <w:t xml:space="preserve">.  </w:t>
      </w:r>
      <w:r w:rsidR="004C13F9" w:rsidRPr="007C2D51">
        <w:t>(See sidebars throughout report and full profiles in Appendix C.)</w:t>
      </w:r>
    </w:p>
    <w:p w:rsidR="00CF712C" w:rsidRPr="007C2D51" w:rsidRDefault="00FE35F0" w:rsidP="00AB34CA">
      <w:pPr>
        <w:pStyle w:val="Heading3"/>
      </w:pPr>
      <w:r w:rsidRPr="007C2D51">
        <w:t>Data cleaning and validation</w:t>
      </w:r>
    </w:p>
    <w:p w:rsidR="00892115" w:rsidRPr="007C2D51" w:rsidRDefault="00FE35F0">
      <w:pPr>
        <w:pStyle w:val="BodyText"/>
      </w:pPr>
      <w:r w:rsidRPr="007C2D51">
        <w:t xml:space="preserve">A total of </w:t>
      </w:r>
      <w:r w:rsidR="00130044" w:rsidRPr="007C2D51">
        <w:t>189</w:t>
      </w:r>
      <w:r w:rsidRPr="007C2D51">
        <w:t xml:space="preserve"> grant recipients reported initially on </w:t>
      </w:r>
      <w:r w:rsidR="001369FE" w:rsidRPr="007C2D51">
        <w:t>1047</w:t>
      </w:r>
      <w:r w:rsidRPr="007C2D51">
        <w:t xml:space="preserve"> JARC-supported programs</w:t>
      </w:r>
      <w:r w:rsidR="00CE332B" w:rsidRPr="007C2D51">
        <w:t xml:space="preserve">.  </w:t>
      </w:r>
      <w:r w:rsidRPr="007C2D51">
        <w:t>As a first step in the analysis, the technical team reviewed the records to identify errors, invalid entries, duplicate services, missing data, or other error in data entry.</w:t>
      </w:r>
    </w:p>
    <w:p w:rsidR="00892115" w:rsidRPr="007C2D51" w:rsidRDefault="00FE35F0">
      <w:pPr>
        <w:pStyle w:val="BodyText"/>
      </w:pPr>
      <w:r w:rsidRPr="007C2D51">
        <w:t>Common errors and omissions included the following:</w:t>
      </w:r>
    </w:p>
    <w:p w:rsidR="005D4F9F" w:rsidRPr="007C2D51" w:rsidRDefault="00FE35F0" w:rsidP="005D4F9F">
      <w:pPr>
        <w:pStyle w:val="ListBullet"/>
      </w:pPr>
      <w:r w:rsidRPr="007C2D51">
        <w:rPr>
          <w:b/>
        </w:rPr>
        <w:t>For all services</w:t>
      </w:r>
      <w:r w:rsidRPr="007C2D51">
        <w:t xml:space="preserve"> -- Reporting on service that was not in operation during FY 2</w:t>
      </w:r>
      <w:r w:rsidR="001369FE" w:rsidRPr="007C2D51">
        <w:t>010</w:t>
      </w:r>
    </w:p>
    <w:p w:rsidR="00222E82" w:rsidRPr="007C2D51" w:rsidRDefault="00FE35F0" w:rsidP="005D4F9F">
      <w:pPr>
        <w:pStyle w:val="ListBullet"/>
      </w:pPr>
      <w:r w:rsidRPr="007C2D51">
        <w:rPr>
          <w:b/>
        </w:rPr>
        <w:t>For trip-based services</w:t>
      </w:r>
      <w:r w:rsidRPr="007C2D51">
        <w:t xml:space="preserve"> – </w:t>
      </w:r>
      <w:r w:rsidR="003A43D6" w:rsidRPr="007C2D51">
        <w:t xml:space="preserve">Classifying </w:t>
      </w:r>
      <w:r w:rsidRPr="007C2D51">
        <w:t>demand response services as flexible routes</w:t>
      </w:r>
      <w:r w:rsidR="003A43D6" w:rsidRPr="007C2D51">
        <w:t xml:space="preserve"> and classifying deviated fixed route services as fixed route instead of flexible. </w:t>
      </w:r>
    </w:p>
    <w:p w:rsidR="005D4F9F" w:rsidRPr="007C2D51" w:rsidRDefault="00FE35F0" w:rsidP="005D4F9F">
      <w:pPr>
        <w:pStyle w:val="ListBullet"/>
      </w:pPr>
      <w:r w:rsidRPr="007C2D51">
        <w:rPr>
          <w:b/>
        </w:rPr>
        <w:lastRenderedPageBreak/>
        <w:t>For fixed-route, flexible, and shuttles</w:t>
      </w:r>
      <w:r w:rsidRPr="007C2D51">
        <w:t xml:space="preserve"> – Reporting annual revenue miles instead of route length</w:t>
      </w:r>
    </w:p>
    <w:p w:rsidR="005D4F9F" w:rsidRPr="007C2D51" w:rsidRDefault="00FE35F0" w:rsidP="005D4F9F">
      <w:pPr>
        <w:pStyle w:val="ListBullet"/>
      </w:pPr>
      <w:r w:rsidRPr="007C2D51">
        <w:rPr>
          <w:b/>
        </w:rPr>
        <w:t>For service area</w:t>
      </w:r>
      <w:r w:rsidRPr="007C2D51">
        <w:t xml:space="preserve"> – Indicating “county” or “city” instead of entering the name for the county or city served</w:t>
      </w:r>
    </w:p>
    <w:p w:rsidR="00892115" w:rsidRPr="007C2D51" w:rsidRDefault="00FE35F0">
      <w:pPr>
        <w:pStyle w:val="BodyText"/>
      </w:pPr>
      <w:r w:rsidRPr="007C2D51">
        <w:t>When the errors had a clear solution (e.g., an obvious typographical error in the state name), the team made the corrections without further research</w:t>
      </w:r>
      <w:r w:rsidR="00CE332B" w:rsidRPr="007C2D51">
        <w:t xml:space="preserve">.  </w:t>
      </w:r>
      <w:r w:rsidRPr="007C2D51">
        <w:t>In other cases, the team contacted recipients and/or subrecipients by telephone or email to clarify questions and to obtain updated information</w:t>
      </w:r>
      <w:r w:rsidR="00CE332B" w:rsidRPr="007C2D51">
        <w:t xml:space="preserve">.  </w:t>
      </w:r>
      <w:r w:rsidRPr="007C2D51">
        <w:t xml:space="preserve">The final corrected dataset included </w:t>
      </w:r>
      <w:r w:rsidR="00185C7D" w:rsidRPr="007C2D51">
        <w:t>188</w:t>
      </w:r>
      <w:r w:rsidRPr="007C2D51">
        <w:t xml:space="preserve"> grant recipients reporting on </w:t>
      </w:r>
      <w:r w:rsidR="001369FE" w:rsidRPr="007C2D51">
        <w:t>10</w:t>
      </w:r>
      <w:r w:rsidR="009F1D32" w:rsidRPr="007C2D51">
        <w:t>27</w:t>
      </w:r>
      <w:r w:rsidRPr="007C2D51">
        <w:t xml:space="preserve"> JARC-supported services</w:t>
      </w:r>
      <w:r w:rsidR="00CE332B" w:rsidRPr="007C2D51">
        <w:t xml:space="preserve">.  </w:t>
      </w:r>
      <w:r w:rsidRPr="007C2D51">
        <w:t>This analysis is based on the final validated dataset</w:t>
      </w:r>
      <w:r w:rsidR="00CE332B" w:rsidRPr="007C2D51">
        <w:t xml:space="preserve">.  </w:t>
      </w:r>
    </w:p>
    <w:p w:rsidR="00362897" w:rsidRPr="007C2D51" w:rsidRDefault="00362897" w:rsidP="00AB34CA">
      <w:pPr>
        <w:pStyle w:val="Heading3"/>
      </w:pPr>
      <w:r w:rsidRPr="007C2D51">
        <w:t>Data presentation</w:t>
      </w:r>
    </w:p>
    <w:p w:rsidR="00892115" w:rsidRPr="007C2D51" w:rsidRDefault="00362897">
      <w:pPr>
        <w:pStyle w:val="BodyText"/>
      </w:pPr>
      <w:r w:rsidRPr="007C2D51">
        <w:t xml:space="preserve">Most of the tables and charts included </w:t>
      </w:r>
      <w:r w:rsidR="00222E82" w:rsidRPr="007C2D51">
        <w:t>in this report</w:t>
      </w:r>
      <w:r w:rsidRPr="007C2D51">
        <w:t xml:space="preserve"> present data in percentage terms rather than raw numbers</w:t>
      </w:r>
      <w:r w:rsidR="00CE332B" w:rsidRPr="007C2D51">
        <w:t xml:space="preserve">.  </w:t>
      </w:r>
      <w:r w:rsidRPr="007C2D51">
        <w:t xml:space="preserve">Because the number of services and one-way trips varies by service type, percentages provide a better opportunity to </w:t>
      </w:r>
      <w:r w:rsidR="00222E82" w:rsidRPr="007C2D51">
        <w:t>compare</w:t>
      </w:r>
      <w:r w:rsidRPr="007C2D51">
        <w:t xml:space="preserve"> programs</w:t>
      </w:r>
      <w:r w:rsidR="00CE332B" w:rsidRPr="007C2D51">
        <w:t xml:space="preserve">.  </w:t>
      </w:r>
      <w:r w:rsidRPr="007C2D51">
        <w:t>In most cases, the percentages are presented in two ways – summed by table row (usually service type) and summed by table column (e.g., size of urbanized area)</w:t>
      </w:r>
      <w:r w:rsidR="00CE332B" w:rsidRPr="007C2D51">
        <w:t xml:space="preserve">.  </w:t>
      </w:r>
      <w:r w:rsidR="009F1D32" w:rsidRPr="007C2D51">
        <w:t xml:space="preserve">In Chapter 6, which presents data collected in the context of the </w:t>
      </w:r>
      <w:r w:rsidR="00D65BD5" w:rsidRPr="007C2D51">
        <w:t>JARC</w:t>
      </w:r>
      <w:r w:rsidR="009F1D32" w:rsidRPr="007C2D51">
        <w:t xml:space="preserve"> service matrix, information is presented in the order used on the data collection forms. Otherwise, throughout the report, charts and tables are sorted by percentage, rather than program type.</w:t>
      </w:r>
    </w:p>
    <w:p w:rsidR="00362897" w:rsidRPr="007C2D51" w:rsidRDefault="00362897" w:rsidP="00AB34CA">
      <w:pPr>
        <w:pStyle w:val="Heading2"/>
      </w:pPr>
      <w:bookmarkStart w:id="20" w:name="_Toc242869862"/>
      <w:bookmarkStart w:id="21" w:name="_Toc244660194"/>
      <w:bookmarkStart w:id="22" w:name="_Toc304965682"/>
      <w:r w:rsidRPr="007C2D51">
        <w:t xml:space="preserve">Document </w:t>
      </w:r>
      <w:bookmarkEnd w:id="20"/>
      <w:r w:rsidRPr="007C2D51">
        <w:t>Overview</w:t>
      </w:r>
      <w:bookmarkEnd w:id="21"/>
      <w:bookmarkEnd w:id="22"/>
    </w:p>
    <w:p w:rsidR="00892115" w:rsidRPr="007C2D51" w:rsidRDefault="00362897">
      <w:pPr>
        <w:pStyle w:val="BodyText"/>
      </w:pPr>
      <w:r w:rsidRPr="007C2D51">
        <w:t xml:space="preserve">The remainder of this document provides information about the process and results of the JARC </w:t>
      </w:r>
      <w:r w:rsidR="00AE47D2" w:rsidRPr="007C2D51">
        <w:t>service evaluation for FY 20</w:t>
      </w:r>
      <w:r w:rsidR="00D56012" w:rsidRPr="007C2D51">
        <w:t>10</w:t>
      </w:r>
      <w:r w:rsidR="00CE332B" w:rsidRPr="007C2D51">
        <w:t xml:space="preserve">.  </w:t>
      </w:r>
      <w:r w:rsidR="00E3459B" w:rsidRPr="007C2D51">
        <w:t>Chapter 2</w:t>
      </w:r>
      <w:r w:rsidRPr="007C2D51">
        <w:t xml:space="preserve"> </w:t>
      </w:r>
      <w:r w:rsidR="00E3459B" w:rsidRPr="007C2D51">
        <w:t xml:space="preserve">summarizes the </w:t>
      </w:r>
      <w:r w:rsidRPr="007C2D51">
        <w:t>data collection process</w:t>
      </w:r>
      <w:r w:rsidR="00CE332B" w:rsidRPr="007C2D51">
        <w:t xml:space="preserve">.  </w:t>
      </w:r>
      <w:r w:rsidR="00E3459B" w:rsidRPr="007C2D51">
        <w:t>Results of the JARC evaluation are presented in Chapters 3-6:</w:t>
      </w:r>
    </w:p>
    <w:p w:rsidR="00E3459B" w:rsidRPr="007C2D51" w:rsidRDefault="00E3459B" w:rsidP="00E3459B">
      <w:pPr>
        <w:pStyle w:val="ListBullet"/>
      </w:pPr>
      <w:r w:rsidRPr="007C2D51">
        <w:t>Chapter 3 presents an overview of JARC services, including the distribution of service types.</w:t>
      </w:r>
    </w:p>
    <w:p w:rsidR="00E3459B" w:rsidRPr="007C2D51" w:rsidRDefault="00E3459B" w:rsidP="00E3459B">
      <w:pPr>
        <w:pStyle w:val="ListBullet"/>
      </w:pPr>
      <w:r w:rsidRPr="007C2D51">
        <w:t>Chapter 4 summarizes ridership on JARC services.</w:t>
      </w:r>
    </w:p>
    <w:p w:rsidR="00E3459B" w:rsidRPr="007C2D51" w:rsidRDefault="00E3459B" w:rsidP="00E3459B">
      <w:pPr>
        <w:pStyle w:val="ListBullet"/>
      </w:pPr>
      <w:r w:rsidRPr="007C2D51">
        <w:t>Chapter 5 includes an estimation of jobs accessed.</w:t>
      </w:r>
    </w:p>
    <w:p w:rsidR="00E3459B" w:rsidRPr="007C2D51" w:rsidRDefault="00E3459B" w:rsidP="00E3459B">
      <w:pPr>
        <w:pStyle w:val="ListBullet"/>
      </w:pPr>
      <w:r w:rsidRPr="007C2D51">
        <w:t>Chapter 6 uses to matrix format to present findings on program goals and outputs.</w:t>
      </w:r>
    </w:p>
    <w:p w:rsidR="00BD1A4D" w:rsidRPr="007C2D51" w:rsidRDefault="00BD1A4D" w:rsidP="00E3459B">
      <w:pPr>
        <w:pStyle w:val="ListBullet"/>
      </w:pPr>
      <w:r w:rsidRPr="007C2D51">
        <w:t>Chapter 7 recaps the evaluation findings.</w:t>
      </w:r>
    </w:p>
    <w:p w:rsidR="00892115" w:rsidRPr="007C2D51" w:rsidRDefault="00362897">
      <w:pPr>
        <w:pStyle w:val="BodyText"/>
      </w:pPr>
      <w:r w:rsidRPr="007C2D51">
        <w:t>Appendix A summarizes the service matrix approach and Appendix B provides an overview of the methodology used to estimated jobs accessed for JARC programs</w:t>
      </w:r>
      <w:r w:rsidR="00CE332B" w:rsidRPr="007C2D51">
        <w:t xml:space="preserve">.  </w:t>
      </w:r>
      <w:r w:rsidR="00C81878" w:rsidRPr="007C2D51">
        <w:t xml:space="preserve">Appendix C includes the </w:t>
      </w:r>
      <w:r w:rsidR="00E3459B" w:rsidRPr="007C2D51">
        <w:t>JARC service profiles</w:t>
      </w:r>
      <w:r w:rsidR="00C81878" w:rsidRPr="007C2D51">
        <w:t>, which</w:t>
      </w:r>
      <w:r w:rsidR="00E3459B" w:rsidRPr="007C2D51">
        <w:t xml:space="preserve"> are presented </w:t>
      </w:r>
      <w:r w:rsidR="00324DC6" w:rsidRPr="007C2D51">
        <w:t xml:space="preserve">under separate cover </w:t>
      </w:r>
      <w:r w:rsidR="00E3459B" w:rsidRPr="007C2D51">
        <w:t xml:space="preserve">as a set of </w:t>
      </w:r>
      <w:r w:rsidR="00C81878" w:rsidRPr="007C2D51">
        <w:t xml:space="preserve">10 </w:t>
      </w:r>
      <w:r w:rsidR="00E3459B" w:rsidRPr="007C2D51">
        <w:t>separate documents based on FTA regions</w:t>
      </w:r>
      <w:r w:rsidR="00CE332B" w:rsidRPr="007C2D51">
        <w:t xml:space="preserve">.  </w:t>
      </w:r>
    </w:p>
    <w:p w:rsidR="001550A7" w:rsidRPr="007C2D51" w:rsidRDefault="001550A7">
      <w:r w:rsidRPr="007C2D51">
        <w:br w:type="page"/>
      </w:r>
    </w:p>
    <w:p w:rsidR="001550A7" w:rsidRPr="007C2D51" w:rsidRDefault="001550A7" w:rsidP="001A0F5F">
      <w:pPr>
        <w:pStyle w:val="Heading1"/>
      </w:pPr>
      <w:bookmarkStart w:id="23" w:name="_Toc242869863"/>
      <w:bookmarkStart w:id="24" w:name="_Toc244660195"/>
      <w:bookmarkStart w:id="25" w:name="_Toc304965683"/>
      <w:r w:rsidRPr="007C2D51">
        <w:lastRenderedPageBreak/>
        <w:t xml:space="preserve">Data </w:t>
      </w:r>
      <w:bookmarkEnd w:id="23"/>
      <w:bookmarkEnd w:id="24"/>
      <w:r w:rsidR="007C5771" w:rsidRPr="007C2D51">
        <w:t>Collection</w:t>
      </w:r>
      <w:bookmarkEnd w:id="25"/>
    </w:p>
    <w:p w:rsidR="00185C7D" w:rsidRPr="007C2D51" w:rsidRDefault="00185C7D" w:rsidP="00185C7D">
      <w:pPr>
        <w:pStyle w:val="BodyText"/>
      </w:pPr>
      <w:r w:rsidRPr="007C2D51">
        <w:t xml:space="preserve">Consistent with previous years, New Freedom grantees were asked to use an online form for reporting on FY 2010 New Freedom services. To streamline the data collection process, FTA collected reports for the JARC and NF grant programs at the same time using a single portal. This chapter describes the combined data collection activities for the JARC and NF programs. </w:t>
      </w:r>
    </w:p>
    <w:p w:rsidR="00185C7D" w:rsidRPr="007C2D51" w:rsidRDefault="00185C7D" w:rsidP="00185C7D">
      <w:pPr>
        <w:pStyle w:val="BodyText"/>
      </w:pPr>
      <w:r w:rsidRPr="007C2D51">
        <w:t xml:space="preserve">The team’s focus during the data collection phase is to maximize the percentage of recipients reporting. For FY 2010, 99% of recipients </w:t>
      </w:r>
      <w:r w:rsidR="00787CCE" w:rsidRPr="007C2D51">
        <w:t xml:space="preserve">in the reporting universe </w:t>
      </w:r>
      <w:r w:rsidRPr="007C2D51">
        <w:t xml:space="preserve">either reported or indicated that they had no reporting obligation. This matched the reporting rate for the previous cycle and was accomplished by: </w:t>
      </w:r>
    </w:p>
    <w:p w:rsidR="00185C7D" w:rsidRPr="007C2D51" w:rsidRDefault="00185C7D" w:rsidP="00185C7D">
      <w:pPr>
        <w:pStyle w:val="ListBullet"/>
      </w:pPr>
      <w:r w:rsidRPr="007C2D51">
        <w:rPr>
          <w:color w:val="000000"/>
        </w:rPr>
        <w:t>V</w:t>
      </w:r>
      <w:r w:rsidRPr="007C2D51">
        <w:t xml:space="preserve">erifying recipient contacts and reporting requirements in advance of data collection </w:t>
      </w:r>
    </w:p>
    <w:p w:rsidR="00185C7D" w:rsidRPr="007C2D51" w:rsidRDefault="00185C7D" w:rsidP="00185C7D">
      <w:pPr>
        <w:pStyle w:val="ListBullet"/>
      </w:pPr>
      <w:r w:rsidRPr="007C2D51">
        <w:t>Following up repeatedly with non-responding recipients</w:t>
      </w:r>
    </w:p>
    <w:p w:rsidR="00185C7D" w:rsidRPr="007C2D51" w:rsidRDefault="00185C7D" w:rsidP="00185C7D">
      <w:pPr>
        <w:pStyle w:val="BodyText"/>
      </w:pPr>
      <w:r w:rsidRPr="007C2D51">
        <w:t xml:space="preserve">The team provided support to recipients via email, an updated support website, and by two webinars. </w:t>
      </w:r>
    </w:p>
    <w:p w:rsidR="00185C7D" w:rsidRPr="007C2D51" w:rsidRDefault="00185C7D" w:rsidP="00185C7D">
      <w:pPr>
        <w:pStyle w:val="BodyText"/>
      </w:pPr>
      <w:r w:rsidRPr="007C2D51">
        <w:t>This chapter provides additional details on the data collection process.</w:t>
      </w:r>
    </w:p>
    <w:p w:rsidR="00185C7D" w:rsidRPr="007C2D51" w:rsidRDefault="00185C7D" w:rsidP="00185C7D">
      <w:pPr>
        <w:pStyle w:val="Heading2"/>
        <w:tabs>
          <w:tab w:val="num" w:pos="720"/>
        </w:tabs>
        <w:spacing w:before="240" w:after="60" w:line="240" w:lineRule="auto"/>
        <w:ind w:left="1080" w:hanging="1080"/>
        <w:rPr>
          <w:color w:val="0070C0"/>
        </w:rPr>
      </w:pPr>
      <w:bookmarkStart w:id="26" w:name="_Toc242790839"/>
      <w:bookmarkStart w:id="27" w:name="_Toc242343681"/>
      <w:bookmarkStart w:id="28" w:name="_Toc242358730"/>
      <w:bookmarkStart w:id="29" w:name="_Toc303175075"/>
      <w:bookmarkStart w:id="30" w:name="_Toc304965684"/>
      <w:bookmarkStart w:id="31" w:name="_Toc242869864"/>
      <w:bookmarkStart w:id="32" w:name="_Toc244660196"/>
      <w:bookmarkEnd w:id="26"/>
      <w:bookmarkEnd w:id="27"/>
      <w:bookmarkEnd w:id="28"/>
      <w:r w:rsidRPr="007C2D51">
        <w:rPr>
          <w:color w:val="0070C0"/>
        </w:rPr>
        <w:t>Reporting Universe</w:t>
      </w:r>
      <w:bookmarkEnd w:id="29"/>
      <w:bookmarkEnd w:id="30"/>
    </w:p>
    <w:p w:rsidR="00185C7D" w:rsidRPr="007C2D51" w:rsidRDefault="00185C7D" w:rsidP="00185C7D">
      <w:pPr>
        <w:pStyle w:val="BodyText"/>
      </w:pPr>
      <w:r w:rsidRPr="007C2D51">
        <w:t xml:space="preserve">As in prior years, FTA required recipients to report for the FY 2010 reporting cycle if they provided JARC- or New Freedom-funded services at any time between October 1, 2009, and September 30, 2010. The reporting requirement was based on actual service dates rather than the year the funds were awarded, obligated, or spent. </w:t>
      </w:r>
    </w:p>
    <w:p w:rsidR="00185C7D" w:rsidRPr="007C2D51" w:rsidRDefault="00185C7D" w:rsidP="00185C7D">
      <w:pPr>
        <w:pStyle w:val="BodyText"/>
      </w:pPr>
      <w:r w:rsidRPr="007C2D51">
        <w:t xml:space="preserve">Starting with the FY 2009 reporting cycle, FTA directed the team to exclude congressionally designated earmark projects, which were funded prior to SAFETEA-LU. By excluding these projects, FTA could focus the JARC and New Freedom reporting efforts on a consistent universe of designated recipients reporting on programs funded through the formula programs established through SAFETEA-LU. </w:t>
      </w:r>
    </w:p>
    <w:p w:rsidR="00185C7D" w:rsidRPr="007C2D51" w:rsidRDefault="00185C7D" w:rsidP="00185C7D">
      <w:pPr>
        <w:pStyle w:val="BodyText"/>
      </w:pPr>
      <w:r w:rsidRPr="007C2D51">
        <w:t xml:space="preserve">Through its TEAM system, FTA tracks the status of JARC and New Freedom grants. However, TEAM does not track when agencies actually provide funded services. </w:t>
      </w:r>
    </w:p>
    <w:p w:rsidR="00185C7D" w:rsidRPr="007C2D51" w:rsidRDefault="00185C7D" w:rsidP="00185C7D">
      <w:pPr>
        <w:pStyle w:val="BodyText"/>
      </w:pPr>
      <w:r w:rsidRPr="007C2D51">
        <w:t>As in past years, FTA provided the team with a list of 241 agencies with open JARC or New Freedom grants in FY 2010, which was used as a superset of the agencies required to report. The team then contacted each recipient in the superset to determine whether the recipient had a reporting obligation for FY 2010. The goal was to have every recipient in the superset either report on JARC and/or New Freedom services or to indicate that no services were provided during the reporting fiscal year.</w:t>
      </w:r>
    </w:p>
    <w:p w:rsidR="00185C7D" w:rsidRPr="007C2D51" w:rsidRDefault="00185C7D" w:rsidP="00185C7D">
      <w:pPr>
        <w:pStyle w:val="BodyText"/>
      </w:pPr>
      <w:r w:rsidRPr="007C2D51">
        <w:t>Reporting performance is measured as the ratio of the number of recipients who have either reported or indicated they had no reporting obligation to the number of recipients in the superset.  For FY 2010, this percentage was 99%.</w:t>
      </w:r>
    </w:p>
    <w:p w:rsidR="00185C7D" w:rsidRPr="007C2D51" w:rsidRDefault="00185C7D" w:rsidP="00185C7D">
      <w:pPr>
        <w:pStyle w:val="Heading2"/>
        <w:tabs>
          <w:tab w:val="num" w:pos="360"/>
        </w:tabs>
        <w:spacing w:before="240" w:after="60" w:line="240" w:lineRule="auto"/>
        <w:rPr>
          <w:color w:val="0070C0"/>
        </w:rPr>
      </w:pPr>
      <w:bookmarkStart w:id="33" w:name="_Toc242869866"/>
      <w:bookmarkStart w:id="34" w:name="_Toc244660198"/>
      <w:bookmarkStart w:id="35" w:name="_Toc303175076"/>
      <w:bookmarkStart w:id="36" w:name="_Toc304965685"/>
      <w:bookmarkEnd w:id="31"/>
      <w:bookmarkEnd w:id="32"/>
      <w:r w:rsidRPr="007C2D51">
        <w:rPr>
          <w:color w:val="0070C0"/>
        </w:rPr>
        <w:lastRenderedPageBreak/>
        <w:t>Recipient Outreach, Tracking, and Follow</w:t>
      </w:r>
      <w:bookmarkEnd w:id="33"/>
      <w:r w:rsidRPr="007C2D51">
        <w:rPr>
          <w:color w:val="0070C0"/>
        </w:rPr>
        <w:t xml:space="preserve"> Up</w:t>
      </w:r>
      <w:bookmarkEnd w:id="34"/>
      <w:bookmarkEnd w:id="35"/>
      <w:bookmarkEnd w:id="36"/>
    </w:p>
    <w:p w:rsidR="00185C7D" w:rsidRPr="007C2D51" w:rsidRDefault="00185C7D" w:rsidP="00185C7D">
      <w:pPr>
        <w:pStyle w:val="BodyText"/>
      </w:pPr>
      <w:r w:rsidRPr="007C2D51">
        <w:t>It is sometimes difficult to reach a responsive contact at an agency.  Agencies may be slow to respond because they know they had provided no JARC or New Freedom services during the fiscal year or because they have other priorities. In a few cases, this has led to agencies discovering that they do have a reporting requirement, close to the end of the reporting period, when it is difficult to gather the needed data and provide it to the reporting system.</w:t>
      </w:r>
    </w:p>
    <w:p w:rsidR="00185C7D" w:rsidRPr="007C2D51" w:rsidRDefault="00185C7D" w:rsidP="00185C7D">
      <w:pPr>
        <w:pStyle w:val="Heading3"/>
      </w:pPr>
      <w:r w:rsidRPr="007C2D51">
        <w:t>Milestones</w:t>
      </w:r>
    </w:p>
    <w:p w:rsidR="00185C7D" w:rsidRPr="007C2D51" w:rsidRDefault="00185C7D" w:rsidP="00185C7D">
      <w:pPr>
        <w:pStyle w:val="BodyText"/>
      </w:pPr>
      <w:r w:rsidRPr="007C2D51">
        <w:t>The official reporting period began on March 15, 2011, and ended on May 15, 2011. The reporting calendar included the following milestones:</w:t>
      </w:r>
    </w:p>
    <w:p w:rsidR="00185C7D" w:rsidRPr="007C2D51" w:rsidRDefault="00185C7D" w:rsidP="00185C7D">
      <w:pPr>
        <w:pStyle w:val="ListBullet"/>
      </w:pPr>
      <w:r w:rsidRPr="007C2D51">
        <w:rPr>
          <w:b/>
        </w:rPr>
        <w:t>Screening survey</w:t>
      </w:r>
      <w:r w:rsidRPr="007C2D51">
        <w:t xml:space="preserve"> – From the middle of February through the middle of March, the team focused on inviting and reminding recipients in the superset to complete the screening survey.</w:t>
      </w:r>
    </w:p>
    <w:p w:rsidR="00185C7D" w:rsidRPr="007C2D51" w:rsidRDefault="00185C7D" w:rsidP="00185C7D">
      <w:pPr>
        <w:pStyle w:val="ListBullet"/>
      </w:pPr>
      <w:r w:rsidRPr="007C2D51">
        <w:rPr>
          <w:b/>
        </w:rPr>
        <w:t>Data collection</w:t>
      </w:r>
      <w:r w:rsidRPr="007C2D51">
        <w:t xml:space="preserve"> – The reporting site opened to recipients for testing early in March 2011. The site was opened to all recipients and their subrecipients on March 15. General reporting closed on May 15. However, recipients who requested additional time to report were provided with access through June 4. </w:t>
      </w:r>
    </w:p>
    <w:p w:rsidR="00185C7D" w:rsidRPr="007C2D51" w:rsidRDefault="00185C7D" w:rsidP="00185C7D">
      <w:pPr>
        <w:pStyle w:val="ListBullet"/>
      </w:pPr>
      <w:r w:rsidRPr="007C2D51">
        <w:rPr>
          <w:b/>
        </w:rPr>
        <w:t>Follow-up and verification</w:t>
      </w:r>
      <w:r w:rsidRPr="007C2D51">
        <w:t xml:space="preserve"> – After May 15, the team worked intensively via email and telephone with recipients who had not yet reported to ensure that they would report. The last submission was received on June 3, and the reporting system was locked to public access on June 4.</w:t>
      </w:r>
    </w:p>
    <w:p w:rsidR="00185C7D" w:rsidRPr="007C2D51" w:rsidRDefault="00185C7D" w:rsidP="00185C7D">
      <w:pPr>
        <w:pStyle w:val="Heading3"/>
      </w:pPr>
      <w:r w:rsidRPr="007C2D51">
        <w:t>Screening Survey</w:t>
      </w:r>
    </w:p>
    <w:p w:rsidR="00185C7D" w:rsidRPr="007C2D51" w:rsidRDefault="00185C7D" w:rsidP="00185C7D">
      <w:pPr>
        <w:pStyle w:val="BodyText"/>
        <w:rPr>
          <w:color w:val="000000"/>
          <w:sz w:val="27"/>
          <w:szCs w:val="27"/>
        </w:rPr>
      </w:pPr>
      <w:r w:rsidRPr="007C2D51">
        <w:t xml:space="preserve">To improve contact with recipients and support responsiveness, the team instituted a separate effort to determine reporting obligations in advance of the FY 2010 data collection period.  </w:t>
      </w:r>
      <w:r w:rsidRPr="007C2D51">
        <w:rPr>
          <w:color w:val="000000"/>
        </w:rPr>
        <w:t>The screening survey proved successful for the FY 2009 data collection period</w:t>
      </w:r>
      <w:r w:rsidR="008A171C" w:rsidRPr="007C2D51">
        <w:rPr>
          <w:color w:val="000000"/>
        </w:rPr>
        <w:t>,</w:t>
      </w:r>
      <w:r w:rsidRPr="007C2D51">
        <w:rPr>
          <w:color w:val="000000"/>
        </w:rPr>
        <w:t xml:space="preserve"> and the team maintained the screening survey for the FY 2010 data collection.</w:t>
      </w:r>
    </w:p>
    <w:p w:rsidR="00185C7D" w:rsidRPr="007C2D51" w:rsidRDefault="00185C7D" w:rsidP="00185C7D">
      <w:pPr>
        <w:pStyle w:val="BodyText"/>
      </w:pPr>
      <w:r w:rsidRPr="007C2D51">
        <w:t>Beginning in mid-February 2011, the team, with FTA assistance, contacted all agencies on the superset list, requesting their response to an online screening survey that would allow the agency to (a) determine whether it was required to report for FY 2010, (b) revise its point-of-contact information, and (c) indicate whether the agency would prefer to provide two reporting contacts – one for JARC and one for New Freedom.</w:t>
      </w:r>
    </w:p>
    <w:p w:rsidR="00185C7D" w:rsidRPr="007C2D51" w:rsidRDefault="00185C7D" w:rsidP="00185C7D">
      <w:pPr>
        <w:pStyle w:val="BodyText"/>
        <w:rPr>
          <w:sz w:val="27"/>
          <w:szCs w:val="27"/>
        </w:rPr>
      </w:pPr>
      <w:r w:rsidRPr="007C2D51">
        <w:t xml:space="preserve">Ultimately, 87% of the 241 agencies on the superset list provided responses to the screening survey, either directly, via the web interface, or via phone or email follow-up from a team member.  Most of these responses were received, as intended, before the beginning of the reporting period. </w:t>
      </w:r>
      <w:r w:rsidR="00DA1D52" w:rsidRPr="007C2D51">
        <w:t xml:space="preserve"> </w:t>
      </w:r>
      <w:r w:rsidRPr="007C2D51">
        <w:t>The team focused on reaching out to the remaining 13% via phone and email follow</w:t>
      </w:r>
      <w:r w:rsidR="00DA1D52" w:rsidRPr="007C2D51">
        <w:t>-</w:t>
      </w:r>
      <w:r w:rsidRPr="007C2D51">
        <w:t>up and obtained correct reporting contact information for each of these organizations.</w:t>
      </w:r>
    </w:p>
    <w:p w:rsidR="00185C7D" w:rsidRPr="007C2D51" w:rsidRDefault="00185C7D" w:rsidP="00185C7D">
      <w:pPr>
        <w:pStyle w:val="Heading3"/>
      </w:pPr>
      <w:r w:rsidRPr="007C2D51">
        <w:lastRenderedPageBreak/>
        <w:t>Email Communication</w:t>
      </w:r>
    </w:p>
    <w:p w:rsidR="00185C7D" w:rsidRPr="007C2D51" w:rsidRDefault="00185C7D" w:rsidP="00185C7D">
      <w:pPr>
        <w:pStyle w:val="BodyText"/>
      </w:pPr>
      <w:r w:rsidRPr="007C2D51">
        <w:t>The team sent out 1,765 email reminders to specific recipients during the reporting process, to encourage reporting and to ask individual recipients if they needed additional assistance or time to complete their reporting requirements. See Figure 2-1.</w:t>
      </w:r>
    </w:p>
    <w:p w:rsidR="00185C7D" w:rsidRPr="007C2D51" w:rsidRDefault="00185C7D" w:rsidP="00185C7D">
      <w:pPr>
        <w:pStyle w:val="BodyText"/>
      </w:pPr>
      <w:r w:rsidRPr="007C2D51">
        <w:t>This year, the team used an email delivery tracking system, which allowed identification and follow-up on messages that were not delivered because they were obstructed by firewalls or spam filters. The system also permitted email recipients to “unsubscribe” from JARC and New Freedom reporting reminders with one click. This provided another avenue for identifying and correcting contact information for each recipient.</w:t>
      </w:r>
    </w:p>
    <w:p w:rsidR="00185C7D" w:rsidRPr="007C2D51" w:rsidRDefault="00185C7D" w:rsidP="00185C7D">
      <w:pPr>
        <w:pStyle w:val="BodyText"/>
      </w:pPr>
    </w:p>
    <w:p w:rsidR="00185C7D" w:rsidRPr="007C2D51" w:rsidRDefault="00185C7D" w:rsidP="00185C7D">
      <w:pPr>
        <w:pStyle w:val="BodyText"/>
      </w:pPr>
      <w:r w:rsidRPr="007C2D51">
        <w:rPr>
          <w:noProof/>
        </w:rPr>
        <w:drawing>
          <wp:inline distT="0" distB="0" distL="0" distR="0">
            <wp:extent cx="5486400" cy="3200400"/>
            <wp:effectExtent l="0" t="0" r="0" b="0"/>
            <wp:docPr id="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85C7D" w:rsidRPr="007C2D51" w:rsidRDefault="00185C7D" w:rsidP="00185C7D">
      <w:pPr>
        <w:pStyle w:val="Caption"/>
      </w:pPr>
      <w:bookmarkStart w:id="37" w:name="_Toc303175170"/>
      <w:bookmarkStart w:id="38" w:name="_Toc304967483"/>
      <w:r w:rsidRPr="007C2D51">
        <w:t xml:space="preserve">Figure </w:t>
      </w:r>
      <w:fldSimple w:instr=" STYLEREF 1 \s ">
        <w:r w:rsidR="00F35ACC">
          <w:rPr>
            <w:noProof/>
          </w:rPr>
          <w:t>2</w:t>
        </w:r>
      </w:fldSimple>
      <w:r w:rsidR="0009713B" w:rsidRPr="007C2D51">
        <w:noBreakHyphen/>
      </w:r>
      <w:fldSimple w:instr=" SEQ Figure \* ARABIC \s 1 ">
        <w:r w:rsidR="00F35ACC">
          <w:rPr>
            <w:noProof/>
          </w:rPr>
          <w:t>1</w:t>
        </w:r>
      </w:fldSimple>
      <w:r w:rsidRPr="007C2D51">
        <w:br/>
        <w:t>Email Outreach, February – May 2011</w:t>
      </w:r>
      <w:bookmarkEnd w:id="37"/>
      <w:bookmarkEnd w:id="38"/>
    </w:p>
    <w:p w:rsidR="00185C7D" w:rsidRPr="007C2D51" w:rsidRDefault="00185C7D" w:rsidP="00185C7D">
      <w:pPr>
        <w:pStyle w:val="BodyText"/>
      </w:pPr>
    </w:p>
    <w:p w:rsidR="00185C7D" w:rsidRPr="007C2D51" w:rsidRDefault="00185C7D" w:rsidP="00185C7D">
      <w:pPr>
        <w:pStyle w:val="Heading3"/>
        <w:tabs>
          <w:tab w:val="left" w:pos="720"/>
          <w:tab w:val="num" w:pos="1350"/>
        </w:tabs>
        <w:spacing w:before="240" w:after="60" w:line="240" w:lineRule="auto"/>
        <w:ind w:left="720" w:hanging="720"/>
        <w:rPr>
          <w:color w:val="0070C0"/>
        </w:rPr>
      </w:pPr>
      <w:r w:rsidRPr="007C2D51">
        <w:rPr>
          <w:color w:val="0070C0"/>
        </w:rPr>
        <w:t>Tracking</w:t>
      </w:r>
    </w:p>
    <w:p w:rsidR="00185C7D" w:rsidRPr="007C2D51" w:rsidRDefault="00185C7D" w:rsidP="00185C7D">
      <w:pPr>
        <w:pStyle w:val="BodyText"/>
      </w:pPr>
      <w:r w:rsidRPr="007C2D51">
        <w:t>The team used real-time access to the reporting database, in combination with a flexible reporting capability, to identify non-reporters as well as recipients who had provided data but had not completed their submissions for follow-up. This information was used to generate customized reminders and offers of assistance.</w:t>
      </w:r>
    </w:p>
    <w:p w:rsidR="00185C7D" w:rsidRPr="007C2D51" w:rsidRDefault="00185C7D" w:rsidP="00185C7D">
      <w:pPr>
        <w:pStyle w:val="Heading3"/>
        <w:tabs>
          <w:tab w:val="left" w:pos="720"/>
          <w:tab w:val="num" w:pos="1350"/>
        </w:tabs>
        <w:spacing w:before="240" w:after="60" w:line="240" w:lineRule="auto"/>
        <w:ind w:left="720" w:hanging="720"/>
        <w:rPr>
          <w:color w:val="0070C0"/>
        </w:rPr>
      </w:pPr>
      <w:bookmarkStart w:id="39" w:name="_Toc242869869"/>
      <w:bookmarkStart w:id="40" w:name="_Toc244660201"/>
      <w:r w:rsidRPr="007C2D51">
        <w:rPr>
          <w:color w:val="0070C0"/>
        </w:rPr>
        <w:t>Data responses</w:t>
      </w:r>
      <w:bookmarkEnd w:id="39"/>
      <w:bookmarkEnd w:id="40"/>
    </w:p>
    <w:p w:rsidR="00185C7D" w:rsidRPr="007C2D51" w:rsidRDefault="00185C7D" w:rsidP="00185C7D">
      <w:pPr>
        <w:pStyle w:val="BodyText"/>
      </w:pPr>
      <w:r w:rsidRPr="007C2D51">
        <w:t>As a result of the screening survey, diligent follow-up, and assistance from FTA headquarters, the team was able to maintain the 99% response rate achieved for the FY 2009 reporting cycle.  (See Table 2-1.)</w:t>
      </w:r>
    </w:p>
    <w:p w:rsidR="00185C7D" w:rsidRPr="007C2D51" w:rsidRDefault="00185C7D" w:rsidP="00185C7D">
      <w:pPr>
        <w:pStyle w:val="Caption"/>
      </w:pPr>
      <w:bookmarkStart w:id="41" w:name="_Toc303175113"/>
      <w:bookmarkStart w:id="42" w:name="_Toc304967466"/>
      <w:r w:rsidRPr="007C2D51">
        <w:lastRenderedPageBreak/>
        <w:t xml:space="preserve">Table </w:t>
      </w:r>
      <w:fldSimple w:instr=" STYLEREF 1 \s ">
        <w:r w:rsidR="00F35ACC">
          <w:rPr>
            <w:noProof/>
          </w:rPr>
          <w:t>2</w:t>
        </w:r>
      </w:fldSimple>
      <w:r w:rsidRPr="007C2D51">
        <w:noBreakHyphen/>
      </w:r>
      <w:fldSimple w:instr=" SEQ Table \* ARABIC \s 1 ">
        <w:r w:rsidR="00F35ACC">
          <w:rPr>
            <w:noProof/>
          </w:rPr>
          <w:t>1</w:t>
        </w:r>
      </w:fldSimple>
      <w:r w:rsidRPr="007C2D51">
        <w:br/>
        <w:t>Reporting Response Rate</w:t>
      </w:r>
      <w:bookmarkEnd w:id="41"/>
      <w:bookmarkEnd w:id="42"/>
    </w:p>
    <w:tbl>
      <w:tblPr>
        <w:tblStyle w:val="LightList-Accent6"/>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362"/>
        <w:gridCol w:w="516"/>
        <w:gridCol w:w="652"/>
        <w:gridCol w:w="516"/>
        <w:gridCol w:w="652"/>
        <w:gridCol w:w="516"/>
        <w:gridCol w:w="652"/>
      </w:tblGrid>
      <w:tr w:rsidR="00185C7D" w:rsidRPr="007C2D51" w:rsidTr="00E218F6">
        <w:trPr>
          <w:cnfStyle w:val="100000000000"/>
          <w:trHeight w:val="187"/>
          <w:jc w:val="center"/>
        </w:trPr>
        <w:tc>
          <w:tcPr>
            <w:cnfStyle w:val="001000000000"/>
            <w:tcW w:w="0" w:type="auto"/>
            <w:vAlign w:val="bottom"/>
          </w:tcPr>
          <w:p w:rsidR="00185C7D" w:rsidRPr="007C2D51" w:rsidRDefault="00185C7D" w:rsidP="00DD3473">
            <w:pPr>
              <w:pStyle w:val="NoSpacing"/>
              <w:keepNext/>
            </w:pPr>
          </w:p>
        </w:tc>
        <w:tc>
          <w:tcPr>
            <w:cnfStyle w:val="000010000000"/>
            <w:tcW w:w="0" w:type="auto"/>
            <w:gridSpan w:val="2"/>
            <w:tcBorders>
              <w:top w:val="none" w:sz="0" w:space="0" w:color="auto"/>
              <w:left w:val="none" w:sz="0" w:space="0" w:color="auto"/>
              <w:right w:val="none" w:sz="0" w:space="0" w:color="auto"/>
            </w:tcBorders>
            <w:vAlign w:val="bottom"/>
          </w:tcPr>
          <w:p w:rsidR="00185C7D" w:rsidRPr="007C2D51" w:rsidRDefault="00185C7D" w:rsidP="00DD3473">
            <w:pPr>
              <w:pStyle w:val="NoSpacing"/>
              <w:keepNext/>
            </w:pPr>
            <w:r w:rsidRPr="007C2D51">
              <w:t>FY 2010</w:t>
            </w:r>
          </w:p>
        </w:tc>
        <w:tc>
          <w:tcPr>
            <w:tcW w:w="0" w:type="auto"/>
            <w:gridSpan w:val="2"/>
            <w:vAlign w:val="bottom"/>
          </w:tcPr>
          <w:p w:rsidR="00185C7D" w:rsidRPr="007C2D51" w:rsidRDefault="00185C7D" w:rsidP="00DD3473">
            <w:pPr>
              <w:pStyle w:val="NoSpacing"/>
              <w:keepNext/>
              <w:cnfStyle w:val="100000000000"/>
              <w:rPr>
                <w:b w:val="0"/>
                <w:bCs w:val="0"/>
              </w:rPr>
            </w:pPr>
            <w:r w:rsidRPr="007C2D51">
              <w:t>FY 2009</w:t>
            </w:r>
          </w:p>
        </w:tc>
        <w:tc>
          <w:tcPr>
            <w:cnfStyle w:val="000010000000"/>
            <w:tcW w:w="0" w:type="auto"/>
            <w:gridSpan w:val="2"/>
            <w:tcBorders>
              <w:top w:val="none" w:sz="0" w:space="0" w:color="auto"/>
              <w:left w:val="none" w:sz="0" w:space="0" w:color="auto"/>
              <w:right w:val="none" w:sz="0" w:space="0" w:color="auto"/>
            </w:tcBorders>
            <w:vAlign w:val="bottom"/>
          </w:tcPr>
          <w:p w:rsidR="00185C7D" w:rsidRPr="007C2D51" w:rsidRDefault="00185C7D" w:rsidP="00DD3473">
            <w:pPr>
              <w:pStyle w:val="NoSpacing"/>
              <w:keepNext/>
              <w:rPr>
                <w:b w:val="0"/>
                <w:bCs w:val="0"/>
              </w:rPr>
            </w:pPr>
            <w:r w:rsidRPr="007C2D51">
              <w:t>FY 2008</w:t>
            </w:r>
          </w:p>
        </w:tc>
      </w:tr>
      <w:tr w:rsidR="00185C7D" w:rsidRPr="007C2D51" w:rsidTr="00E218F6">
        <w:trPr>
          <w:cnfStyle w:val="000000100000"/>
          <w:jc w:val="center"/>
        </w:trPr>
        <w:tc>
          <w:tcPr>
            <w:cnfStyle w:val="001000000000"/>
            <w:tcW w:w="0" w:type="auto"/>
            <w:tcBorders>
              <w:top w:val="none" w:sz="0" w:space="0" w:color="auto"/>
              <w:left w:val="none" w:sz="0" w:space="0" w:color="auto"/>
              <w:bottom w:val="none" w:sz="0" w:space="0" w:color="auto"/>
            </w:tcBorders>
            <w:vAlign w:val="bottom"/>
          </w:tcPr>
          <w:p w:rsidR="00185C7D" w:rsidRPr="007C2D51" w:rsidRDefault="00185C7D" w:rsidP="00DD3473">
            <w:pPr>
              <w:keepNext/>
            </w:pPr>
            <w:r w:rsidRPr="007C2D51">
              <w:t>Status</w:t>
            </w:r>
          </w:p>
        </w:tc>
        <w:tc>
          <w:tcPr>
            <w:cnfStyle w:val="000010000000"/>
            <w:tcW w:w="0" w:type="auto"/>
            <w:tcBorders>
              <w:top w:val="none" w:sz="0" w:space="0" w:color="auto"/>
              <w:left w:val="none" w:sz="0" w:space="0" w:color="auto"/>
              <w:bottom w:val="none" w:sz="0" w:space="0" w:color="auto"/>
              <w:right w:val="none" w:sz="0" w:space="0" w:color="auto"/>
            </w:tcBorders>
          </w:tcPr>
          <w:p w:rsidR="00185C7D" w:rsidRPr="007C2D51" w:rsidRDefault="00185C7D" w:rsidP="00DD3473">
            <w:pPr>
              <w:keepNext/>
              <w:jc w:val="center"/>
              <w:rPr>
                <w:b/>
              </w:rPr>
            </w:pPr>
            <w:r w:rsidRPr="007C2D51">
              <w:rPr>
                <w:b/>
              </w:rPr>
              <w:t>#</w:t>
            </w:r>
          </w:p>
        </w:tc>
        <w:tc>
          <w:tcPr>
            <w:tcW w:w="0" w:type="auto"/>
            <w:tcBorders>
              <w:top w:val="none" w:sz="0" w:space="0" w:color="auto"/>
              <w:bottom w:val="none" w:sz="0" w:space="0" w:color="auto"/>
            </w:tcBorders>
          </w:tcPr>
          <w:p w:rsidR="00185C7D" w:rsidRPr="007C2D51" w:rsidRDefault="00185C7D" w:rsidP="00DD3473">
            <w:pPr>
              <w:keepNext/>
              <w:jc w:val="center"/>
              <w:cnfStyle w:val="000000100000"/>
              <w:rPr>
                <w:b/>
              </w:rPr>
            </w:pPr>
            <w:r w:rsidRPr="007C2D51">
              <w:rPr>
                <w:b/>
              </w:rPr>
              <w:t>%</w:t>
            </w:r>
          </w:p>
        </w:tc>
        <w:tc>
          <w:tcPr>
            <w:cnfStyle w:val="000010000000"/>
            <w:tcW w:w="0" w:type="auto"/>
            <w:tcBorders>
              <w:top w:val="none" w:sz="0" w:space="0" w:color="auto"/>
              <w:left w:val="none" w:sz="0" w:space="0" w:color="auto"/>
              <w:bottom w:val="none" w:sz="0" w:space="0" w:color="auto"/>
              <w:right w:val="none" w:sz="0" w:space="0" w:color="auto"/>
            </w:tcBorders>
            <w:vAlign w:val="bottom"/>
          </w:tcPr>
          <w:p w:rsidR="00185C7D" w:rsidRPr="007C2D51" w:rsidRDefault="00185C7D" w:rsidP="00DD3473">
            <w:pPr>
              <w:keepNext/>
              <w:jc w:val="center"/>
              <w:rPr>
                <w:b/>
              </w:rPr>
            </w:pPr>
            <w:r w:rsidRPr="007C2D51">
              <w:rPr>
                <w:b/>
              </w:rPr>
              <w:t>#</w:t>
            </w:r>
          </w:p>
        </w:tc>
        <w:tc>
          <w:tcPr>
            <w:tcW w:w="0" w:type="auto"/>
            <w:tcBorders>
              <w:top w:val="none" w:sz="0" w:space="0" w:color="auto"/>
              <w:bottom w:val="none" w:sz="0" w:space="0" w:color="auto"/>
            </w:tcBorders>
            <w:vAlign w:val="bottom"/>
          </w:tcPr>
          <w:p w:rsidR="00185C7D" w:rsidRPr="007C2D51" w:rsidRDefault="00185C7D" w:rsidP="00DD3473">
            <w:pPr>
              <w:keepNext/>
              <w:jc w:val="center"/>
              <w:cnfStyle w:val="000000100000"/>
              <w:rPr>
                <w:b/>
              </w:rPr>
            </w:pPr>
            <w:r w:rsidRPr="007C2D51">
              <w:rPr>
                <w:b/>
              </w:rPr>
              <w:t>%</w:t>
            </w:r>
          </w:p>
        </w:tc>
        <w:tc>
          <w:tcPr>
            <w:cnfStyle w:val="000010000000"/>
            <w:tcW w:w="0" w:type="auto"/>
            <w:tcBorders>
              <w:top w:val="none" w:sz="0" w:space="0" w:color="auto"/>
              <w:left w:val="none" w:sz="0" w:space="0" w:color="auto"/>
              <w:bottom w:val="none" w:sz="0" w:space="0" w:color="auto"/>
              <w:right w:val="none" w:sz="0" w:space="0" w:color="auto"/>
            </w:tcBorders>
            <w:vAlign w:val="bottom"/>
          </w:tcPr>
          <w:p w:rsidR="00185C7D" w:rsidRPr="007C2D51" w:rsidRDefault="00185C7D" w:rsidP="00DD3473">
            <w:pPr>
              <w:keepNext/>
              <w:jc w:val="center"/>
              <w:rPr>
                <w:b/>
              </w:rPr>
            </w:pPr>
            <w:r w:rsidRPr="007C2D51">
              <w:rPr>
                <w:b/>
              </w:rPr>
              <w:t>#</w:t>
            </w:r>
          </w:p>
        </w:tc>
        <w:tc>
          <w:tcPr>
            <w:tcW w:w="0" w:type="auto"/>
            <w:tcBorders>
              <w:top w:val="none" w:sz="0" w:space="0" w:color="auto"/>
              <w:bottom w:val="none" w:sz="0" w:space="0" w:color="auto"/>
              <w:right w:val="none" w:sz="0" w:space="0" w:color="auto"/>
            </w:tcBorders>
            <w:vAlign w:val="bottom"/>
          </w:tcPr>
          <w:p w:rsidR="00185C7D" w:rsidRPr="007C2D51" w:rsidRDefault="00185C7D" w:rsidP="00DD3473">
            <w:pPr>
              <w:keepNext/>
              <w:jc w:val="center"/>
              <w:cnfStyle w:val="000000100000"/>
              <w:rPr>
                <w:b/>
              </w:rPr>
            </w:pPr>
            <w:r w:rsidRPr="007C2D51">
              <w:rPr>
                <w:b/>
              </w:rPr>
              <w:t>%</w:t>
            </w:r>
          </w:p>
        </w:tc>
      </w:tr>
      <w:tr w:rsidR="00185C7D" w:rsidRPr="007C2D51" w:rsidTr="00E218F6">
        <w:trPr>
          <w:jc w:val="center"/>
        </w:trPr>
        <w:tc>
          <w:tcPr>
            <w:cnfStyle w:val="001000000000"/>
            <w:tcW w:w="0" w:type="auto"/>
            <w:vAlign w:val="bottom"/>
          </w:tcPr>
          <w:p w:rsidR="00185C7D" w:rsidRPr="007C2D51" w:rsidRDefault="00185C7D" w:rsidP="00DD3473">
            <w:pPr>
              <w:keepNext/>
            </w:pPr>
            <w:r w:rsidRPr="007C2D51">
              <w:t>Report submitted</w:t>
            </w:r>
          </w:p>
        </w:tc>
        <w:tc>
          <w:tcPr>
            <w:cnfStyle w:val="000010000000"/>
            <w:tcW w:w="0" w:type="auto"/>
            <w:tcBorders>
              <w:left w:val="none" w:sz="0" w:space="0" w:color="auto"/>
              <w:right w:val="none" w:sz="0" w:space="0" w:color="auto"/>
            </w:tcBorders>
          </w:tcPr>
          <w:p w:rsidR="00185C7D" w:rsidRPr="007C2D51" w:rsidRDefault="00185C7D" w:rsidP="00DD3473">
            <w:pPr>
              <w:keepNext/>
              <w:jc w:val="right"/>
            </w:pPr>
            <w:r w:rsidRPr="007C2D51">
              <w:t>200</w:t>
            </w:r>
          </w:p>
        </w:tc>
        <w:tc>
          <w:tcPr>
            <w:tcW w:w="0" w:type="auto"/>
          </w:tcPr>
          <w:p w:rsidR="00185C7D" w:rsidRPr="007C2D51" w:rsidRDefault="00185C7D" w:rsidP="00DD3473">
            <w:pPr>
              <w:keepNext/>
              <w:jc w:val="right"/>
              <w:cnfStyle w:val="000000000000"/>
            </w:pPr>
            <w:r w:rsidRPr="007C2D51">
              <w:t>83%</w:t>
            </w:r>
          </w:p>
        </w:tc>
        <w:tc>
          <w:tcPr>
            <w:cnfStyle w:val="000010000000"/>
            <w:tcW w:w="0" w:type="auto"/>
            <w:tcBorders>
              <w:left w:val="none" w:sz="0" w:space="0" w:color="auto"/>
              <w:right w:val="none" w:sz="0" w:space="0" w:color="auto"/>
            </w:tcBorders>
            <w:vAlign w:val="bottom"/>
          </w:tcPr>
          <w:p w:rsidR="00185C7D" w:rsidRPr="007C2D51" w:rsidRDefault="00185C7D" w:rsidP="00DD3473">
            <w:pPr>
              <w:keepNext/>
              <w:jc w:val="right"/>
            </w:pPr>
            <w:r w:rsidRPr="007C2D51">
              <w:t>189</w:t>
            </w:r>
          </w:p>
        </w:tc>
        <w:tc>
          <w:tcPr>
            <w:tcW w:w="0" w:type="auto"/>
            <w:vAlign w:val="bottom"/>
          </w:tcPr>
          <w:p w:rsidR="00185C7D" w:rsidRPr="007C2D51" w:rsidRDefault="00185C7D" w:rsidP="00DD3473">
            <w:pPr>
              <w:keepNext/>
              <w:jc w:val="right"/>
              <w:cnfStyle w:val="000000000000"/>
            </w:pPr>
            <w:r w:rsidRPr="007C2D51">
              <w:t>67%</w:t>
            </w:r>
          </w:p>
        </w:tc>
        <w:tc>
          <w:tcPr>
            <w:cnfStyle w:val="000010000000"/>
            <w:tcW w:w="0" w:type="auto"/>
            <w:tcBorders>
              <w:left w:val="none" w:sz="0" w:space="0" w:color="auto"/>
              <w:right w:val="none" w:sz="0" w:space="0" w:color="auto"/>
            </w:tcBorders>
            <w:vAlign w:val="bottom"/>
          </w:tcPr>
          <w:p w:rsidR="00185C7D" w:rsidRPr="007C2D51" w:rsidRDefault="00185C7D" w:rsidP="00DD3473">
            <w:pPr>
              <w:keepNext/>
              <w:jc w:val="right"/>
            </w:pPr>
            <w:r w:rsidRPr="007C2D51">
              <w:t>158</w:t>
            </w:r>
          </w:p>
        </w:tc>
        <w:tc>
          <w:tcPr>
            <w:tcW w:w="0" w:type="auto"/>
            <w:vAlign w:val="bottom"/>
          </w:tcPr>
          <w:p w:rsidR="00185C7D" w:rsidRPr="007C2D51" w:rsidRDefault="00185C7D" w:rsidP="00DD3473">
            <w:pPr>
              <w:keepNext/>
              <w:jc w:val="right"/>
              <w:cnfStyle w:val="000000000000"/>
            </w:pPr>
            <w:r w:rsidRPr="007C2D51">
              <w:t>54%</w:t>
            </w:r>
          </w:p>
        </w:tc>
      </w:tr>
      <w:tr w:rsidR="00185C7D" w:rsidRPr="007C2D51" w:rsidTr="00E218F6">
        <w:trPr>
          <w:cnfStyle w:val="000000100000"/>
          <w:jc w:val="center"/>
        </w:trPr>
        <w:tc>
          <w:tcPr>
            <w:cnfStyle w:val="001000000000"/>
            <w:tcW w:w="0" w:type="auto"/>
            <w:tcBorders>
              <w:top w:val="none" w:sz="0" w:space="0" w:color="auto"/>
              <w:left w:val="none" w:sz="0" w:space="0" w:color="auto"/>
              <w:bottom w:val="none" w:sz="0" w:space="0" w:color="auto"/>
            </w:tcBorders>
            <w:vAlign w:val="bottom"/>
          </w:tcPr>
          <w:p w:rsidR="00185C7D" w:rsidRPr="007C2D51" w:rsidRDefault="00185C7D" w:rsidP="00DD3473">
            <w:pPr>
              <w:keepNext/>
            </w:pPr>
            <w:r w:rsidRPr="007C2D51">
              <w:t>Not required to report</w:t>
            </w:r>
          </w:p>
        </w:tc>
        <w:tc>
          <w:tcPr>
            <w:cnfStyle w:val="000010000000"/>
            <w:tcW w:w="0" w:type="auto"/>
            <w:tcBorders>
              <w:top w:val="none" w:sz="0" w:space="0" w:color="auto"/>
              <w:left w:val="none" w:sz="0" w:space="0" w:color="auto"/>
              <w:bottom w:val="none" w:sz="0" w:space="0" w:color="auto"/>
              <w:right w:val="none" w:sz="0" w:space="0" w:color="auto"/>
            </w:tcBorders>
          </w:tcPr>
          <w:p w:rsidR="00185C7D" w:rsidRPr="007C2D51" w:rsidRDefault="00185C7D" w:rsidP="00DD3473">
            <w:pPr>
              <w:keepNext/>
              <w:jc w:val="right"/>
            </w:pPr>
            <w:r w:rsidRPr="007C2D51">
              <w:t>39</w:t>
            </w:r>
          </w:p>
        </w:tc>
        <w:tc>
          <w:tcPr>
            <w:tcW w:w="0" w:type="auto"/>
            <w:tcBorders>
              <w:top w:val="none" w:sz="0" w:space="0" w:color="auto"/>
              <w:bottom w:val="none" w:sz="0" w:space="0" w:color="auto"/>
            </w:tcBorders>
          </w:tcPr>
          <w:p w:rsidR="00185C7D" w:rsidRPr="007C2D51" w:rsidRDefault="00185C7D" w:rsidP="00DD3473">
            <w:pPr>
              <w:keepNext/>
              <w:jc w:val="right"/>
              <w:cnfStyle w:val="000000100000"/>
            </w:pPr>
            <w:r w:rsidRPr="007C2D51">
              <w:t>16%</w:t>
            </w:r>
          </w:p>
        </w:tc>
        <w:tc>
          <w:tcPr>
            <w:cnfStyle w:val="000010000000"/>
            <w:tcW w:w="0" w:type="auto"/>
            <w:tcBorders>
              <w:top w:val="none" w:sz="0" w:space="0" w:color="auto"/>
              <w:left w:val="none" w:sz="0" w:space="0" w:color="auto"/>
              <w:bottom w:val="none" w:sz="0" w:space="0" w:color="auto"/>
              <w:right w:val="none" w:sz="0" w:space="0" w:color="auto"/>
            </w:tcBorders>
            <w:vAlign w:val="bottom"/>
          </w:tcPr>
          <w:p w:rsidR="00185C7D" w:rsidRPr="007C2D51" w:rsidRDefault="00185C7D" w:rsidP="00DD3473">
            <w:pPr>
              <w:keepNext/>
              <w:jc w:val="right"/>
            </w:pPr>
            <w:r w:rsidRPr="007C2D51">
              <w:t>90</w:t>
            </w:r>
          </w:p>
        </w:tc>
        <w:tc>
          <w:tcPr>
            <w:tcW w:w="0" w:type="auto"/>
            <w:tcBorders>
              <w:top w:val="none" w:sz="0" w:space="0" w:color="auto"/>
              <w:bottom w:val="none" w:sz="0" w:space="0" w:color="auto"/>
            </w:tcBorders>
            <w:vAlign w:val="bottom"/>
          </w:tcPr>
          <w:p w:rsidR="00185C7D" w:rsidRPr="007C2D51" w:rsidRDefault="00185C7D" w:rsidP="00DD3473">
            <w:pPr>
              <w:keepNext/>
              <w:jc w:val="right"/>
              <w:cnfStyle w:val="000000100000"/>
            </w:pPr>
            <w:r w:rsidRPr="007C2D51">
              <w:t>32%</w:t>
            </w:r>
          </w:p>
        </w:tc>
        <w:tc>
          <w:tcPr>
            <w:cnfStyle w:val="000010000000"/>
            <w:tcW w:w="0" w:type="auto"/>
            <w:tcBorders>
              <w:top w:val="none" w:sz="0" w:space="0" w:color="auto"/>
              <w:left w:val="none" w:sz="0" w:space="0" w:color="auto"/>
              <w:bottom w:val="none" w:sz="0" w:space="0" w:color="auto"/>
              <w:right w:val="none" w:sz="0" w:space="0" w:color="auto"/>
            </w:tcBorders>
            <w:vAlign w:val="bottom"/>
          </w:tcPr>
          <w:p w:rsidR="00185C7D" w:rsidRPr="007C2D51" w:rsidRDefault="00185C7D" w:rsidP="00DD3473">
            <w:pPr>
              <w:keepNext/>
              <w:jc w:val="right"/>
            </w:pPr>
            <w:r w:rsidRPr="007C2D51">
              <w:t>59</w:t>
            </w:r>
          </w:p>
        </w:tc>
        <w:tc>
          <w:tcPr>
            <w:tcW w:w="0" w:type="auto"/>
            <w:tcBorders>
              <w:top w:val="none" w:sz="0" w:space="0" w:color="auto"/>
              <w:bottom w:val="none" w:sz="0" w:space="0" w:color="auto"/>
              <w:right w:val="none" w:sz="0" w:space="0" w:color="auto"/>
            </w:tcBorders>
            <w:vAlign w:val="bottom"/>
          </w:tcPr>
          <w:p w:rsidR="00185C7D" w:rsidRPr="007C2D51" w:rsidRDefault="00185C7D" w:rsidP="00DD3473">
            <w:pPr>
              <w:keepNext/>
              <w:jc w:val="right"/>
              <w:cnfStyle w:val="000000100000"/>
            </w:pPr>
            <w:r w:rsidRPr="007C2D51">
              <w:t>20%</w:t>
            </w:r>
          </w:p>
        </w:tc>
      </w:tr>
      <w:tr w:rsidR="00185C7D" w:rsidRPr="007C2D51" w:rsidTr="00E218F6">
        <w:trPr>
          <w:jc w:val="center"/>
        </w:trPr>
        <w:tc>
          <w:tcPr>
            <w:cnfStyle w:val="001000000000"/>
            <w:tcW w:w="0" w:type="auto"/>
            <w:vAlign w:val="bottom"/>
          </w:tcPr>
          <w:p w:rsidR="00185C7D" w:rsidRPr="007C2D51" w:rsidRDefault="00185C7D" w:rsidP="00DD3473">
            <w:pPr>
              <w:keepNext/>
            </w:pPr>
            <w:r w:rsidRPr="007C2D51">
              <w:t>Unknown</w:t>
            </w:r>
          </w:p>
        </w:tc>
        <w:tc>
          <w:tcPr>
            <w:cnfStyle w:val="000010000000"/>
            <w:tcW w:w="0" w:type="auto"/>
            <w:tcBorders>
              <w:left w:val="none" w:sz="0" w:space="0" w:color="auto"/>
              <w:right w:val="none" w:sz="0" w:space="0" w:color="auto"/>
            </w:tcBorders>
          </w:tcPr>
          <w:p w:rsidR="00185C7D" w:rsidRPr="007C2D51" w:rsidRDefault="00185C7D" w:rsidP="00DD3473">
            <w:pPr>
              <w:keepNext/>
              <w:jc w:val="right"/>
            </w:pPr>
            <w:r w:rsidRPr="007C2D51">
              <w:t>2</w:t>
            </w:r>
          </w:p>
        </w:tc>
        <w:tc>
          <w:tcPr>
            <w:tcW w:w="0" w:type="auto"/>
          </w:tcPr>
          <w:p w:rsidR="00185C7D" w:rsidRPr="007C2D51" w:rsidRDefault="00185C7D" w:rsidP="00DD3473">
            <w:pPr>
              <w:keepNext/>
              <w:jc w:val="right"/>
              <w:cnfStyle w:val="000000000000"/>
            </w:pPr>
            <w:r w:rsidRPr="007C2D51">
              <w:t>1%</w:t>
            </w:r>
          </w:p>
        </w:tc>
        <w:tc>
          <w:tcPr>
            <w:cnfStyle w:val="000010000000"/>
            <w:tcW w:w="0" w:type="auto"/>
            <w:tcBorders>
              <w:left w:val="none" w:sz="0" w:space="0" w:color="auto"/>
              <w:right w:val="none" w:sz="0" w:space="0" w:color="auto"/>
            </w:tcBorders>
            <w:vAlign w:val="bottom"/>
          </w:tcPr>
          <w:p w:rsidR="00185C7D" w:rsidRPr="007C2D51" w:rsidRDefault="00185C7D" w:rsidP="00DD3473">
            <w:pPr>
              <w:keepNext/>
              <w:jc w:val="right"/>
            </w:pPr>
            <w:r w:rsidRPr="007C2D51">
              <w:t>3</w:t>
            </w:r>
          </w:p>
        </w:tc>
        <w:tc>
          <w:tcPr>
            <w:tcW w:w="0" w:type="auto"/>
            <w:vAlign w:val="bottom"/>
          </w:tcPr>
          <w:p w:rsidR="00185C7D" w:rsidRPr="007C2D51" w:rsidRDefault="00185C7D" w:rsidP="00DD3473">
            <w:pPr>
              <w:keepNext/>
              <w:jc w:val="right"/>
              <w:cnfStyle w:val="000000000000"/>
            </w:pPr>
            <w:r w:rsidRPr="007C2D51">
              <w:t>1%</w:t>
            </w:r>
          </w:p>
        </w:tc>
        <w:tc>
          <w:tcPr>
            <w:cnfStyle w:val="000010000000"/>
            <w:tcW w:w="0" w:type="auto"/>
            <w:tcBorders>
              <w:left w:val="none" w:sz="0" w:space="0" w:color="auto"/>
              <w:right w:val="none" w:sz="0" w:space="0" w:color="auto"/>
            </w:tcBorders>
            <w:vAlign w:val="bottom"/>
          </w:tcPr>
          <w:p w:rsidR="00185C7D" w:rsidRPr="007C2D51" w:rsidRDefault="00185C7D" w:rsidP="00DD3473">
            <w:pPr>
              <w:keepNext/>
              <w:jc w:val="right"/>
            </w:pPr>
            <w:r w:rsidRPr="007C2D51">
              <w:t>75</w:t>
            </w:r>
          </w:p>
        </w:tc>
        <w:tc>
          <w:tcPr>
            <w:tcW w:w="0" w:type="auto"/>
            <w:vAlign w:val="bottom"/>
          </w:tcPr>
          <w:p w:rsidR="00185C7D" w:rsidRPr="007C2D51" w:rsidRDefault="00185C7D" w:rsidP="00DD3473">
            <w:pPr>
              <w:keepNext/>
              <w:jc w:val="right"/>
              <w:cnfStyle w:val="000000000000"/>
            </w:pPr>
            <w:r w:rsidRPr="007C2D51">
              <w:t>26%</w:t>
            </w:r>
          </w:p>
        </w:tc>
      </w:tr>
      <w:tr w:rsidR="00185C7D" w:rsidRPr="007C2D51" w:rsidTr="00E218F6">
        <w:trPr>
          <w:cnfStyle w:val="000000100000"/>
          <w:jc w:val="center"/>
        </w:trPr>
        <w:tc>
          <w:tcPr>
            <w:cnfStyle w:val="001000000000"/>
            <w:tcW w:w="0" w:type="auto"/>
            <w:tcBorders>
              <w:top w:val="none" w:sz="0" w:space="0" w:color="auto"/>
              <w:left w:val="none" w:sz="0" w:space="0" w:color="auto"/>
              <w:bottom w:val="none" w:sz="0" w:space="0" w:color="auto"/>
            </w:tcBorders>
            <w:vAlign w:val="bottom"/>
          </w:tcPr>
          <w:p w:rsidR="00185C7D" w:rsidRPr="007C2D51" w:rsidRDefault="00185C7D" w:rsidP="00597123">
            <w:r w:rsidRPr="007C2D51">
              <w:t>Total</w:t>
            </w:r>
          </w:p>
        </w:tc>
        <w:tc>
          <w:tcPr>
            <w:cnfStyle w:val="000010000000"/>
            <w:tcW w:w="0" w:type="auto"/>
            <w:tcBorders>
              <w:top w:val="none" w:sz="0" w:space="0" w:color="auto"/>
              <w:left w:val="none" w:sz="0" w:space="0" w:color="auto"/>
              <w:bottom w:val="none" w:sz="0" w:space="0" w:color="auto"/>
              <w:right w:val="none" w:sz="0" w:space="0" w:color="auto"/>
            </w:tcBorders>
          </w:tcPr>
          <w:p w:rsidR="00185C7D" w:rsidRPr="007C2D51" w:rsidRDefault="00185C7D" w:rsidP="00597123">
            <w:pPr>
              <w:jc w:val="right"/>
            </w:pPr>
            <w:r w:rsidRPr="007C2D51">
              <w:t>241</w:t>
            </w:r>
          </w:p>
        </w:tc>
        <w:tc>
          <w:tcPr>
            <w:tcW w:w="0" w:type="auto"/>
            <w:tcBorders>
              <w:top w:val="none" w:sz="0" w:space="0" w:color="auto"/>
              <w:bottom w:val="none" w:sz="0" w:space="0" w:color="auto"/>
            </w:tcBorders>
          </w:tcPr>
          <w:p w:rsidR="00185C7D" w:rsidRPr="007C2D51" w:rsidRDefault="00185C7D" w:rsidP="00597123">
            <w:pPr>
              <w:jc w:val="right"/>
              <w:cnfStyle w:val="000000100000"/>
            </w:pPr>
            <w:r w:rsidRPr="007C2D51">
              <w:t>100%</w:t>
            </w:r>
          </w:p>
        </w:tc>
        <w:tc>
          <w:tcPr>
            <w:cnfStyle w:val="000010000000"/>
            <w:tcW w:w="0" w:type="auto"/>
            <w:tcBorders>
              <w:top w:val="none" w:sz="0" w:space="0" w:color="auto"/>
              <w:left w:val="none" w:sz="0" w:space="0" w:color="auto"/>
              <w:bottom w:val="none" w:sz="0" w:space="0" w:color="auto"/>
              <w:right w:val="none" w:sz="0" w:space="0" w:color="auto"/>
            </w:tcBorders>
            <w:vAlign w:val="bottom"/>
          </w:tcPr>
          <w:p w:rsidR="00185C7D" w:rsidRPr="007C2D51" w:rsidRDefault="00185C7D" w:rsidP="00597123">
            <w:pPr>
              <w:jc w:val="right"/>
            </w:pPr>
            <w:r w:rsidRPr="007C2D51">
              <w:t>282</w:t>
            </w:r>
          </w:p>
        </w:tc>
        <w:tc>
          <w:tcPr>
            <w:tcW w:w="0" w:type="auto"/>
            <w:tcBorders>
              <w:top w:val="none" w:sz="0" w:space="0" w:color="auto"/>
              <w:bottom w:val="none" w:sz="0" w:space="0" w:color="auto"/>
            </w:tcBorders>
            <w:vAlign w:val="bottom"/>
          </w:tcPr>
          <w:p w:rsidR="00185C7D" w:rsidRPr="007C2D51" w:rsidRDefault="00185C7D" w:rsidP="00597123">
            <w:pPr>
              <w:jc w:val="right"/>
              <w:cnfStyle w:val="000000100000"/>
            </w:pPr>
            <w:r w:rsidRPr="007C2D51">
              <w:t>100%</w:t>
            </w:r>
          </w:p>
        </w:tc>
        <w:tc>
          <w:tcPr>
            <w:cnfStyle w:val="000010000000"/>
            <w:tcW w:w="0" w:type="auto"/>
            <w:tcBorders>
              <w:top w:val="none" w:sz="0" w:space="0" w:color="auto"/>
              <w:left w:val="none" w:sz="0" w:space="0" w:color="auto"/>
              <w:bottom w:val="none" w:sz="0" w:space="0" w:color="auto"/>
              <w:right w:val="none" w:sz="0" w:space="0" w:color="auto"/>
            </w:tcBorders>
            <w:vAlign w:val="bottom"/>
          </w:tcPr>
          <w:p w:rsidR="00185C7D" w:rsidRPr="007C2D51" w:rsidRDefault="00185C7D" w:rsidP="00597123">
            <w:pPr>
              <w:jc w:val="right"/>
            </w:pPr>
            <w:r w:rsidRPr="007C2D51">
              <w:t>293</w:t>
            </w:r>
          </w:p>
        </w:tc>
        <w:tc>
          <w:tcPr>
            <w:tcW w:w="0" w:type="auto"/>
            <w:tcBorders>
              <w:top w:val="none" w:sz="0" w:space="0" w:color="auto"/>
              <w:bottom w:val="none" w:sz="0" w:space="0" w:color="auto"/>
              <w:right w:val="none" w:sz="0" w:space="0" w:color="auto"/>
            </w:tcBorders>
            <w:vAlign w:val="bottom"/>
          </w:tcPr>
          <w:p w:rsidR="00185C7D" w:rsidRPr="007C2D51" w:rsidRDefault="00185C7D" w:rsidP="00597123">
            <w:pPr>
              <w:jc w:val="right"/>
              <w:cnfStyle w:val="000000100000"/>
            </w:pPr>
            <w:r w:rsidRPr="007C2D51">
              <w:t>100%</w:t>
            </w:r>
          </w:p>
        </w:tc>
      </w:tr>
    </w:tbl>
    <w:p w:rsidR="00185C7D" w:rsidRPr="007C2D51" w:rsidRDefault="00185C7D" w:rsidP="00185C7D">
      <w:pPr>
        <w:pStyle w:val="BodyText"/>
      </w:pPr>
    </w:p>
    <w:p w:rsidR="00185C7D" w:rsidRPr="007C2D51" w:rsidRDefault="00185C7D" w:rsidP="00185C7D">
      <w:pPr>
        <w:pStyle w:val="Heading2"/>
        <w:tabs>
          <w:tab w:val="num" w:pos="360"/>
        </w:tabs>
        <w:spacing w:before="240" w:after="60" w:line="240" w:lineRule="auto"/>
        <w:rPr>
          <w:color w:val="0070C0"/>
        </w:rPr>
      </w:pPr>
      <w:bookmarkStart w:id="43" w:name="_Toc242869870"/>
      <w:bookmarkStart w:id="44" w:name="_Toc244660202"/>
      <w:bookmarkStart w:id="45" w:name="_Toc303175077"/>
      <w:bookmarkStart w:id="46" w:name="_Toc304965686"/>
      <w:r w:rsidRPr="007C2D51">
        <w:rPr>
          <w:color w:val="0070C0"/>
        </w:rPr>
        <w:t xml:space="preserve">Technical </w:t>
      </w:r>
      <w:bookmarkEnd w:id="43"/>
      <w:r w:rsidRPr="007C2D51">
        <w:rPr>
          <w:color w:val="0070C0"/>
        </w:rPr>
        <w:t>Assistance</w:t>
      </w:r>
      <w:bookmarkEnd w:id="44"/>
      <w:bookmarkEnd w:id="45"/>
      <w:bookmarkEnd w:id="46"/>
    </w:p>
    <w:p w:rsidR="00185C7D" w:rsidRPr="007C2D51" w:rsidRDefault="00185C7D" w:rsidP="00185C7D">
      <w:pPr>
        <w:pStyle w:val="BodyText"/>
      </w:pPr>
      <w:r w:rsidRPr="007C2D51">
        <w:t>The team provided support to the recipients during the reporting process via a website, webinars, and email and telephone contact.</w:t>
      </w:r>
    </w:p>
    <w:p w:rsidR="00185C7D" w:rsidRPr="007C2D51" w:rsidRDefault="00185C7D" w:rsidP="00185C7D">
      <w:pPr>
        <w:pStyle w:val="Heading3"/>
        <w:tabs>
          <w:tab w:val="left" w:pos="720"/>
          <w:tab w:val="num" w:pos="1350"/>
        </w:tabs>
        <w:spacing w:before="240" w:after="60" w:line="240" w:lineRule="auto"/>
        <w:ind w:left="720" w:hanging="720"/>
        <w:rPr>
          <w:color w:val="0070C0"/>
        </w:rPr>
      </w:pPr>
      <w:r w:rsidRPr="007C2D51">
        <w:rPr>
          <w:color w:val="0070C0"/>
        </w:rPr>
        <w:t>Support site</w:t>
      </w:r>
    </w:p>
    <w:p w:rsidR="00185C7D" w:rsidRPr="007C2D51" w:rsidRDefault="00185C7D" w:rsidP="00185C7D">
      <w:pPr>
        <w:pStyle w:val="BodyText"/>
      </w:pPr>
      <w:r w:rsidRPr="007C2D51">
        <w:t>As in previous years, the support effort relied on the FTA JARC &amp; New Freedom Reporting Support Center website (</w:t>
      </w:r>
      <w:hyperlink r:id="rId16" w:history="1">
        <w:r w:rsidRPr="007C2D51">
          <w:rPr>
            <w:rStyle w:val="Hyperlink"/>
          </w:rPr>
          <w:t>http://ftajarcnf.cesnn.com/</w:t>
        </w:r>
      </w:hyperlink>
      <w:r w:rsidRPr="007C2D51">
        <w:t xml:space="preserve">). </w:t>
      </w:r>
    </w:p>
    <w:p w:rsidR="00185C7D" w:rsidRPr="007C2D51" w:rsidRDefault="00185C7D" w:rsidP="00185C7D">
      <w:pPr>
        <w:pStyle w:val="BodyText"/>
      </w:pPr>
      <w:r w:rsidRPr="007C2D51">
        <w:t xml:space="preserve">For this reporting cycle, the team substantially reorganized the site, including the graphics and interface. The focus of the redesign was to provide the user with multi-tiered “how to” information coupled with form instructions and to provide users with guidance according to user type.  </w:t>
      </w:r>
      <w:r w:rsidR="00DA1D52" w:rsidRPr="007C2D51">
        <w:t>T</w:t>
      </w:r>
      <w:r w:rsidRPr="007C2D51">
        <w:t>he support site is only available on-line during the reporting period.</w:t>
      </w:r>
    </w:p>
    <w:p w:rsidR="00185C7D" w:rsidRPr="007C2D51" w:rsidRDefault="00185C7D" w:rsidP="00185C7D">
      <w:pPr>
        <w:pStyle w:val="Heading3"/>
        <w:tabs>
          <w:tab w:val="left" w:pos="720"/>
          <w:tab w:val="num" w:pos="1350"/>
        </w:tabs>
        <w:spacing w:before="240" w:after="60" w:line="240" w:lineRule="auto"/>
        <w:ind w:left="720" w:hanging="720"/>
        <w:rPr>
          <w:color w:val="0070C0"/>
        </w:rPr>
      </w:pPr>
      <w:r w:rsidRPr="007C2D51">
        <w:rPr>
          <w:color w:val="0070C0"/>
        </w:rPr>
        <w:t>Webinars</w:t>
      </w:r>
    </w:p>
    <w:p w:rsidR="00185C7D" w:rsidRPr="007C2D51" w:rsidRDefault="00185C7D" w:rsidP="00185C7D">
      <w:pPr>
        <w:pStyle w:val="BodyText"/>
      </w:pPr>
      <w:r w:rsidRPr="007C2D51">
        <w:t>In this reporting cycle, the team continued the practice of enhancing and expanding the effort to support recipients via webinars.  Two webinars were held</w:t>
      </w:r>
      <w:r w:rsidR="008A171C" w:rsidRPr="007C2D51">
        <w:t>,</w:t>
      </w:r>
      <w:r w:rsidRPr="007C2D51">
        <w:t xml:space="preserve"> on March 18 and April 7</w:t>
      </w:r>
      <w:r w:rsidR="008A171C" w:rsidRPr="007C2D51">
        <w:t>,</w:t>
      </w:r>
      <w:r w:rsidRPr="007C2D51">
        <w:t xml:space="preserve"> and </w:t>
      </w:r>
      <w:r w:rsidR="008A171C" w:rsidRPr="007C2D51">
        <w:t xml:space="preserve">each </w:t>
      </w:r>
      <w:r w:rsidRPr="007C2D51">
        <w:t xml:space="preserve">included participation from FTA staff and the evaluation team. </w:t>
      </w:r>
      <w:r w:rsidR="008A171C" w:rsidRPr="007C2D51">
        <w:t xml:space="preserve">The webinars </w:t>
      </w:r>
      <w:r w:rsidRPr="007C2D51">
        <w:t xml:space="preserve">reached a total of 220 locations, each comprising one or more individuals, presented 38 slides, and handled questions submitted via chat interface and telephone. Participants also used the chat interface (similar to a direct-messaging application) to share information with one another. </w:t>
      </w:r>
    </w:p>
    <w:p w:rsidR="00185C7D" w:rsidRPr="007C2D51" w:rsidRDefault="00185C7D" w:rsidP="00185C7D">
      <w:pPr>
        <w:pStyle w:val="Heading3"/>
        <w:tabs>
          <w:tab w:val="left" w:pos="720"/>
          <w:tab w:val="num" w:pos="1350"/>
        </w:tabs>
        <w:spacing w:before="240" w:after="60" w:line="240" w:lineRule="auto"/>
        <w:ind w:left="720" w:hanging="720"/>
        <w:rPr>
          <w:color w:val="0070C0"/>
        </w:rPr>
      </w:pPr>
      <w:r w:rsidRPr="007C2D51">
        <w:rPr>
          <w:color w:val="0070C0"/>
        </w:rPr>
        <w:t>Email and telephone contact</w:t>
      </w:r>
    </w:p>
    <w:p w:rsidR="00185C7D" w:rsidRPr="007C2D51" w:rsidRDefault="00185C7D" w:rsidP="00185C7D">
      <w:pPr>
        <w:pStyle w:val="BodyText"/>
      </w:pPr>
      <w:r w:rsidRPr="007C2D51">
        <w:t xml:space="preserve">Lauren Miller, the team’s lead for technical assistance, responded to 397 email threads from February 1 through June 5. She also assisted recipients and subrecipients via telephone during the reporting process. Evaluation team members Susan Bregman and Caroline Ferris also provided support to recipients and subrecipients during the reporting period.  In addition, as part of the quality assurance process described in Chapter 1, </w:t>
      </w:r>
      <w:r w:rsidR="00DA1D52" w:rsidRPr="007C2D51">
        <w:t>Ms. Bregman and Ms. Ferris reviewed all the records and</w:t>
      </w:r>
      <w:r w:rsidRPr="007C2D51">
        <w:t xml:space="preserve"> contacted about two dozen recipients after the reporting period closed to clarify questions about specific data elements </w:t>
      </w:r>
      <w:r w:rsidR="00DA1D52" w:rsidRPr="007C2D51">
        <w:t>or to resolve ambiguities about specific data elements in their service reports. For example, if a record categorized a service as “fixed route” but the profile clearly described a demand-response service, the record was updated to say “demand response.” More than 250 records were modified in some way during the quality assurance process.</w:t>
      </w:r>
    </w:p>
    <w:p w:rsidR="00185C7D" w:rsidRPr="007C2D51" w:rsidRDefault="00185C7D" w:rsidP="00185C7D">
      <w:pPr>
        <w:pStyle w:val="Heading2"/>
        <w:tabs>
          <w:tab w:val="num" w:pos="1080"/>
        </w:tabs>
        <w:spacing w:before="240" w:after="60" w:line="240" w:lineRule="auto"/>
        <w:ind w:left="1080" w:hanging="1080"/>
        <w:rPr>
          <w:color w:val="0070C0"/>
        </w:rPr>
      </w:pPr>
      <w:bookmarkStart w:id="47" w:name="_Toc303175078"/>
      <w:bookmarkStart w:id="48" w:name="_Toc304965687"/>
      <w:r w:rsidRPr="007C2D51">
        <w:rPr>
          <w:color w:val="0070C0"/>
        </w:rPr>
        <w:lastRenderedPageBreak/>
        <w:t>Overview of Online Technology and Changes</w:t>
      </w:r>
      <w:bookmarkEnd w:id="47"/>
      <w:bookmarkEnd w:id="48"/>
    </w:p>
    <w:p w:rsidR="00185C7D" w:rsidRPr="007C2D51" w:rsidRDefault="00185C7D" w:rsidP="00185C7D">
      <w:pPr>
        <w:pStyle w:val="BodyText"/>
      </w:pPr>
      <w:r w:rsidRPr="007C2D51">
        <w:t>The data collection system was originally developed for the JARC program in FY 2003 and has been substantially refined in subsequent years. It was modified to include the New Freedom program starting with FY 2007.</w:t>
      </w:r>
    </w:p>
    <w:p w:rsidR="00185C7D" w:rsidRPr="007C2D51" w:rsidRDefault="00185C7D" w:rsidP="00185C7D">
      <w:pPr>
        <w:pStyle w:val="Heading3"/>
        <w:tabs>
          <w:tab w:val="left" w:pos="720"/>
          <w:tab w:val="num" w:pos="1350"/>
        </w:tabs>
        <w:spacing w:before="240" w:after="60" w:line="240" w:lineRule="auto"/>
        <w:ind w:left="720" w:hanging="720"/>
        <w:rPr>
          <w:color w:val="0070C0"/>
        </w:rPr>
      </w:pPr>
      <w:r w:rsidRPr="007C2D51">
        <w:rPr>
          <w:color w:val="0070C0"/>
        </w:rPr>
        <w:t>Web infrastructure</w:t>
      </w:r>
    </w:p>
    <w:p w:rsidR="00185C7D" w:rsidRPr="007C2D51" w:rsidRDefault="00185C7D" w:rsidP="00185C7D">
      <w:pPr>
        <w:pStyle w:val="BodyText"/>
      </w:pPr>
      <w:r w:rsidRPr="007C2D51">
        <w:t>The JARC/New Freedom data collection and analysis effort is managed through two public-facing websites and four private websites supporting development and testing.</w:t>
      </w:r>
    </w:p>
    <w:p w:rsidR="00185C7D" w:rsidRPr="007C2D51" w:rsidRDefault="00185C7D" w:rsidP="00185C7D">
      <w:pPr>
        <w:pStyle w:val="BodyText"/>
      </w:pPr>
      <w:r w:rsidRPr="007C2D51">
        <w:t xml:space="preserve">Recipients and subrecipients enter, review, and submit JARC and New Freedom service information through the data collection website – </w:t>
      </w:r>
      <w:hyperlink r:id="rId17" w:history="1">
        <w:r w:rsidRPr="007C2D51">
          <w:rPr>
            <w:rStyle w:val="Hyperlink"/>
          </w:rPr>
          <w:t>http://ftajarcnf-report.cesnn.com</w:t>
        </w:r>
      </w:hyperlink>
      <w:r w:rsidRPr="007C2D51">
        <w:t xml:space="preserve">. This site serves as the front-end for the official reporting database, “jnf_fy10a”. Users also have access to the support website – </w:t>
      </w:r>
      <w:hyperlink r:id="rId18" w:history="1">
        <w:r w:rsidRPr="007C2D51">
          <w:rPr>
            <w:rStyle w:val="Hyperlink"/>
          </w:rPr>
          <w:t>http://ftajarcnf.cesnn.com</w:t>
        </w:r>
      </w:hyperlink>
      <w:r w:rsidRPr="007C2D51">
        <w:t xml:space="preserve"> – as described above.</w:t>
      </w:r>
    </w:p>
    <w:p w:rsidR="00185C7D" w:rsidRPr="007C2D51" w:rsidRDefault="00185C7D" w:rsidP="00185C7D">
      <w:pPr>
        <w:pStyle w:val="BodyText"/>
      </w:pPr>
      <w:r w:rsidRPr="007C2D51">
        <w:t>Behind the scenes, the team maintains four additional websites:</w:t>
      </w:r>
    </w:p>
    <w:p w:rsidR="00185C7D" w:rsidRPr="007C2D51" w:rsidRDefault="00185C7D" w:rsidP="00526171">
      <w:pPr>
        <w:pStyle w:val="ListBullet"/>
        <w:numPr>
          <w:ilvl w:val="0"/>
          <w:numId w:val="17"/>
        </w:numPr>
      </w:pPr>
      <w:r w:rsidRPr="007C2D51">
        <w:t>The development version of the reporting system</w:t>
      </w:r>
    </w:p>
    <w:p w:rsidR="00185C7D" w:rsidRPr="007C2D51" w:rsidRDefault="00185C7D" w:rsidP="00526171">
      <w:pPr>
        <w:pStyle w:val="ListBullet"/>
        <w:numPr>
          <w:ilvl w:val="0"/>
          <w:numId w:val="17"/>
        </w:numPr>
      </w:pPr>
      <w:r w:rsidRPr="007C2D51">
        <w:t>The preview version of the reporting system</w:t>
      </w:r>
    </w:p>
    <w:p w:rsidR="00185C7D" w:rsidRPr="007C2D51" w:rsidRDefault="00185C7D" w:rsidP="00526171">
      <w:pPr>
        <w:pStyle w:val="ListBullet"/>
        <w:numPr>
          <w:ilvl w:val="0"/>
          <w:numId w:val="17"/>
        </w:numPr>
      </w:pPr>
      <w:r w:rsidRPr="007C2D51">
        <w:t>The development blog, used to narrate changes and issues in the team’s websites and databases</w:t>
      </w:r>
    </w:p>
    <w:p w:rsidR="00185C7D" w:rsidRPr="007C2D51" w:rsidRDefault="00185C7D" w:rsidP="00526171">
      <w:pPr>
        <w:pStyle w:val="ListBullet"/>
        <w:numPr>
          <w:ilvl w:val="0"/>
          <w:numId w:val="17"/>
        </w:numPr>
      </w:pPr>
      <w:r w:rsidRPr="007C2D51">
        <w:t>A formal software version control system, which provides granular tracking and control of code changes and serves as the conduit for code moving from development to preview to production</w:t>
      </w:r>
    </w:p>
    <w:p w:rsidR="00185C7D" w:rsidRPr="007C2D51" w:rsidRDefault="00185C7D" w:rsidP="00185C7D">
      <w:pPr>
        <w:pStyle w:val="BodyText"/>
        <w:rPr>
          <w:color w:val="0070C0"/>
        </w:rPr>
      </w:pPr>
      <w:bookmarkStart w:id="49" w:name="_Toc242869867"/>
      <w:bookmarkStart w:id="50" w:name="_Toc244660199"/>
      <w:r w:rsidRPr="007C2D51">
        <w:t>The development and preview websites are backed by databases separate from the formal reporting database</w:t>
      </w:r>
      <w:r w:rsidRPr="007C2D51">
        <w:rPr>
          <w:color w:val="0070C0"/>
        </w:rPr>
        <w:t xml:space="preserve"> </w:t>
      </w:r>
    </w:p>
    <w:p w:rsidR="00185C7D" w:rsidRPr="007C2D51" w:rsidRDefault="00185C7D" w:rsidP="00185C7D">
      <w:pPr>
        <w:pStyle w:val="Heading3"/>
        <w:tabs>
          <w:tab w:val="left" w:pos="720"/>
          <w:tab w:val="num" w:pos="1350"/>
        </w:tabs>
        <w:spacing w:before="240" w:after="60" w:line="240" w:lineRule="auto"/>
        <w:ind w:left="720" w:hanging="720"/>
        <w:rPr>
          <w:color w:val="0070C0"/>
        </w:rPr>
      </w:pPr>
      <w:r w:rsidRPr="007C2D51">
        <w:rPr>
          <w:color w:val="0070C0"/>
        </w:rPr>
        <w:t xml:space="preserve">Technical </w:t>
      </w:r>
      <w:bookmarkEnd w:id="49"/>
      <w:r w:rsidRPr="007C2D51">
        <w:rPr>
          <w:color w:val="0070C0"/>
        </w:rPr>
        <w:t>changes</w:t>
      </w:r>
      <w:bookmarkEnd w:id="50"/>
    </w:p>
    <w:p w:rsidR="00185C7D" w:rsidRPr="007C2D51" w:rsidRDefault="00185C7D" w:rsidP="00185C7D">
      <w:pPr>
        <w:pStyle w:val="BodyText"/>
      </w:pPr>
      <w:r w:rsidRPr="007C2D51">
        <w:t>For the FY 2010 reporting cycle, the team modified the reporting interface to support agencies with multiple subrecipients and to enhance data quality.</w:t>
      </w:r>
    </w:p>
    <w:p w:rsidR="00185C7D" w:rsidRPr="007C2D51" w:rsidRDefault="00185C7D" w:rsidP="00185C7D">
      <w:pPr>
        <w:pStyle w:val="Heading4"/>
        <w:rPr>
          <w:color w:val="0070C0"/>
        </w:rPr>
      </w:pPr>
      <w:r w:rsidRPr="007C2D51">
        <w:rPr>
          <w:color w:val="0070C0"/>
        </w:rPr>
        <w:t>Support for large agencies</w:t>
      </w:r>
    </w:p>
    <w:p w:rsidR="00185C7D" w:rsidRPr="007C2D51" w:rsidRDefault="00185C7D" w:rsidP="00185C7D">
      <w:pPr>
        <w:pStyle w:val="BodyText"/>
      </w:pPr>
      <w:r w:rsidRPr="007C2D51">
        <w:t>The team improved the reporting experience for recipients at large agencies in two ways:</w:t>
      </w:r>
    </w:p>
    <w:p w:rsidR="00185C7D" w:rsidRPr="007C2D51" w:rsidRDefault="00185C7D" w:rsidP="00526171">
      <w:pPr>
        <w:pStyle w:val="ListBullet"/>
        <w:numPr>
          <w:ilvl w:val="0"/>
          <w:numId w:val="18"/>
        </w:numPr>
      </w:pPr>
      <w:r w:rsidRPr="007C2D51">
        <w:t>All recipients who had submitted JARC or New Freedom reports during the FY 2008 or FY 2009 reporting cycles had online access to those earlier reports.</w:t>
      </w:r>
    </w:p>
    <w:p w:rsidR="00185C7D" w:rsidRPr="007C2D51" w:rsidRDefault="00185C7D" w:rsidP="00526171">
      <w:pPr>
        <w:pStyle w:val="ListBullet"/>
        <w:numPr>
          <w:ilvl w:val="0"/>
          <w:numId w:val="18"/>
        </w:numPr>
      </w:pPr>
      <w:r w:rsidRPr="007C2D51">
        <w:t>Large recipients were able to import the relevant portions of the FY 2009 reporting into their FY 2010 forms upon request.</w:t>
      </w:r>
    </w:p>
    <w:p w:rsidR="00185C7D" w:rsidRPr="007C2D51" w:rsidRDefault="00185C7D" w:rsidP="00185C7D">
      <w:pPr>
        <w:pStyle w:val="BodyText"/>
      </w:pPr>
      <w:r w:rsidRPr="007C2D51">
        <w:t>As part of the effort to simplify reporting by recipients with multiple subrecipients, the reporting system provided optional access to subrecipients as well. A total of 655 distinct users logged used the reporting system, suggesting that, on average, each of the 241 recipients comprised a reporting team of close to 3 logins: the recipient itself, plus two subrecipient users.  Some reporting teams were quite large: the top four recipients, by reporting team size, accounted for 20% of distinct users, approximately 33 individuals per reporting team.</w:t>
      </w:r>
    </w:p>
    <w:p w:rsidR="00185C7D" w:rsidRPr="007C2D51" w:rsidRDefault="00185C7D" w:rsidP="00185C7D">
      <w:pPr>
        <w:pStyle w:val="Heading4"/>
        <w:rPr>
          <w:color w:val="0070C0"/>
        </w:rPr>
      </w:pPr>
      <w:r w:rsidRPr="007C2D51">
        <w:rPr>
          <w:color w:val="0070C0"/>
        </w:rPr>
        <w:lastRenderedPageBreak/>
        <w:t>Other changes</w:t>
      </w:r>
    </w:p>
    <w:p w:rsidR="00185C7D" w:rsidRPr="007C2D51" w:rsidRDefault="00185C7D" w:rsidP="00185C7D">
      <w:pPr>
        <w:pStyle w:val="BodyText"/>
      </w:pPr>
      <w:r w:rsidRPr="007C2D51">
        <w:t>Three changes were made to enhance data quality:</w:t>
      </w:r>
    </w:p>
    <w:p w:rsidR="00185C7D" w:rsidRPr="007C2D51" w:rsidRDefault="00185C7D" w:rsidP="00526171">
      <w:pPr>
        <w:pStyle w:val="ListBullet"/>
        <w:numPr>
          <w:ilvl w:val="0"/>
          <w:numId w:val="19"/>
        </w:numPr>
      </w:pPr>
      <w:r w:rsidRPr="007C2D51">
        <w:t>The service matrix was expanded to include planning studies;</w:t>
      </w:r>
    </w:p>
    <w:p w:rsidR="00185C7D" w:rsidRPr="007C2D51" w:rsidRDefault="00185C7D" w:rsidP="00526171">
      <w:pPr>
        <w:pStyle w:val="ListBullet"/>
        <w:numPr>
          <w:ilvl w:val="0"/>
          <w:numId w:val="19"/>
        </w:numPr>
      </w:pPr>
      <w:r w:rsidRPr="007C2D51">
        <w:t>Spellchecking was added to the Service Profiles and other descriptive text fields; and</w:t>
      </w:r>
    </w:p>
    <w:p w:rsidR="00185C7D" w:rsidRPr="007C2D51" w:rsidRDefault="00185C7D" w:rsidP="00526171">
      <w:pPr>
        <w:pStyle w:val="ListBullet"/>
        <w:numPr>
          <w:ilvl w:val="0"/>
          <w:numId w:val="19"/>
        </w:numPr>
      </w:pPr>
      <w:r w:rsidRPr="007C2D51">
        <w:t>Recipients were required to report the specific counties (or equivalent) served in whole or part by each of their services.</w:t>
      </w:r>
    </w:p>
    <w:p w:rsidR="00185C7D" w:rsidRPr="007C2D51" w:rsidRDefault="00185C7D" w:rsidP="00185C7D">
      <w:pPr>
        <w:pStyle w:val="BodyText"/>
      </w:pPr>
      <w:r w:rsidRPr="007C2D51">
        <w:t>Finally, to enhance usability and to streamline the appearance of the service form, certain detailed questions were presented only if they applied to the particular circumstance of the service. For instance, if a recipient indicated, for certain New Freedom services, that expanded geographic coverage was provided on Sundays or holidays, they were then asked to indicate by how many square miles Sunday/holiday service was expanded.</w:t>
      </w:r>
    </w:p>
    <w:p w:rsidR="00E40D97" w:rsidRPr="007C2D51" w:rsidRDefault="00E40D97" w:rsidP="00CE7C6F">
      <w:pPr>
        <w:pStyle w:val="BodyText"/>
      </w:pPr>
      <w:r w:rsidRPr="007C2D51">
        <w:br w:type="page"/>
      </w:r>
    </w:p>
    <w:p w:rsidR="00A921AA" w:rsidRPr="007C2D51" w:rsidRDefault="00E735EC" w:rsidP="005606E4">
      <w:pPr>
        <w:pStyle w:val="Heading1"/>
      </w:pPr>
      <w:bookmarkStart w:id="51" w:name="_Toc242869871"/>
      <w:bookmarkStart w:id="52" w:name="_Toc244660203"/>
      <w:bookmarkStart w:id="53" w:name="_Toc304965688"/>
      <w:r w:rsidRPr="007C2D51">
        <w:lastRenderedPageBreak/>
        <w:t xml:space="preserve">Overview </w:t>
      </w:r>
      <w:r w:rsidR="00A921AA" w:rsidRPr="007C2D51">
        <w:t>of JARC Services</w:t>
      </w:r>
      <w:bookmarkEnd w:id="51"/>
      <w:bookmarkEnd w:id="52"/>
      <w:bookmarkEnd w:id="53"/>
    </w:p>
    <w:p w:rsidR="00A921AA" w:rsidRPr="007C2D51" w:rsidRDefault="00A921AA" w:rsidP="00CE7C6F">
      <w:pPr>
        <w:pStyle w:val="BodyText"/>
      </w:pPr>
      <w:r w:rsidRPr="007C2D51">
        <w:t xml:space="preserve">This </w:t>
      </w:r>
      <w:r w:rsidR="00593A11" w:rsidRPr="007C2D51">
        <w:t xml:space="preserve">chapter </w:t>
      </w:r>
      <w:r w:rsidRPr="007C2D51">
        <w:t xml:space="preserve">reports on the characteristics of JARC grantees and their services for FY </w:t>
      </w:r>
      <w:r w:rsidR="00E735EC" w:rsidRPr="007C2D51">
        <w:t>20</w:t>
      </w:r>
      <w:r w:rsidR="00D56012" w:rsidRPr="007C2D51">
        <w:t>10</w:t>
      </w:r>
      <w:r w:rsidR="00CE332B" w:rsidRPr="007C2D51">
        <w:t xml:space="preserve">.  </w:t>
      </w:r>
      <w:r w:rsidR="00593A11" w:rsidRPr="007C2D51">
        <w:t xml:space="preserve">Subsequent chapters </w:t>
      </w:r>
      <w:r w:rsidR="00DC092E" w:rsidRPr="007C2D51">
        <w:t>cover</w:t>
      </w:r>
      <w:r w:rsidRPr="007C2D51">
        <w:t xml:space="preserve"> JARC performance measures, including one-way trips, jobs accessed, and </w:t>
      </w:r>
      <w:r w:rsidR="000E1322" w:rsidRPr="007C2D51">
        <w:t xml:space="preserve">outputs </w:t>
      </w:r>
      <w:r w:rsidRPr="007C2D51">
        <w:t>for non-trip-based services</w:t>
      </w:r>
      <w:r w:rsidR="00CE332B" w:rsidRPr="007C2D51">
        <w:t xml:space="preserve">.  </w:t>
      </w:r>
    </w:p>
    <w:p w:rsidR="00A921AA" w:rsidRPr="007C2D51" w:rsidRDefault="00A921AA" w:rsidP="00CE7C6F">
      <w:pPr>
        <w:pStyle w:val="BodyText"/>
      </w:pPr>
      <w:r w:rsidRPr="007C2D51">
        <w:t xml:space="preserve">The information is based on data collected from the </w:t>
      </w:r>
      <w:r w:rsidR="00DC092E" w:rsidRPr="007C2D51">
        <w:t>1</w:t>
      </w:r>
      <w:r w:rsidR="00283FE6" w:rsidRPr="007C2D51">
        <w:t>8</w:t>
      </w:r>
      <w:r w:rsidR="003E7AA3" w:rsidRPr="007C2D51">
        <w:t>8</w:t>
      </w:r>
      <w:r w:rsidRPr="007C2D51">
        <w:t xml:space="preserve"> JARC grant recipients that submitted complete </w:t>
      </w:r>
      <w:r w:rsidR="00EA3FA1" w:rsidRPr="007C2D51">
        <w:t xml:space="preserve">and validated </w:t>
      </w:r>
      <w:r w:rsidRPr="007C2D51">
        <w:t xml:space="preserve">reports </w:t>
      </w:r>
      <w:r w:rsidR="00CF712C" w:rsidRPr="007C2D51">
        <w:t>for FY 20</w:t>
      </w:r>
      <w:r w:rsidR="00283FE6" w:rsidRPr="007C2D51">
        <w:t>10</w:t>
      </w:r>
      <w:r w:rsidRPr="007C2D51">
        <w:t xml:space="preserve">; these grantees reported on </w:t>
      </w:r>
      <w:r w:rsidR="00283FE6" w:rsidRPr="007C2D51">
        <w:t>1,0</w:t>
      </w:r>
      <w:r w:rsidR="003E7AA3" w:rsidRPr="007C2D51">
        <w:t>27</w:t>
      </w:r>
      <w:r w:rsidRPr="007C2D51">
        <w:t xml:space="preserve"> services</w:t>
      </w:r>
      <w:r w:rsidR="00CE332B" w:rsidRPr="007C2D51">
        <w:t xml:space="preserve">.  </w:t>
      </w:r>
    </w:p>
    <w:p w:rsidR="00A921AA" w:rsidRPr="007C2D51" w:rsidRDefault="00A921AA" w:rsidP="00AB34CA">
      <w:pPr>
        <w:pStyle w:val="Heading2"/>
      </w:pPr>
      <w:bookmarkStart w:id="54" w:name="_Toc113337713"/>
      <w:bookmarkStart w:id="55" w:name="_Toc148317936"/>
      <w:bookmarkStart w:id="56" w:name="_Toc148337907"/>
      <w:bookmarkStart w:id="57" w:name="_Toc242869872"/>
      <w:bookmarkStart w:id="58" w:name="_Toc244660204"/>
      <w:bookmarkStart w:id="59" w:name="_Toc304965689"/>
      <w:r w:rsidRPr="007C2D51">
        <w:t>Service Types</w:t>
      </w:r>
      <w:bookmarkEnd w:id="54"/>
      <w:bookmarkEnd w:id="55"/>
      <w:bookmarkEnd w:id="56"/>
      <w:bookmarkEnd w:id="57"/>
      <w:bookmarkEnd w:id="58"/>
      <w:bookmarkEnd w:id="59"/>
    </w:p>
    <w:p w:rsidR="00A921AA" w:rsidRPr="007C2D51" w:rsidRDefault="00A921AA" w:rsidP="00CE7C6F">
      <w:pPr>
        <w:pStyle w:val="BodyText"/>
      </w:pPr>
      <w:r w:rsidRPr="007C2D51">
        <w:t xml:space="preserve">Grantees reported a total of </w:t>
      </w:r>
      <w:r w:rsidR="00283FE6" w:rsidRPr="007C2D51">
        <w:t>1,0</w:t>
      </w:r>
      <w:r w:rsidR="003E7AA3" w:rsidRPr="007C2D51">
        <w:t>27</w:t>
      </w:r>
      <w:r w:rsidRPr="007C2D51">
        <w:t xml:space="preserve"> active JARC-funded services for FY 20</w:t>
      </w:r>
      <w:r w:rsidR="00283FE6" w:rsidRPr="007C2D51">
        <w:t>10</w:t>
      </w:r>
      <w:r w:rsidR="00CE332B" w:rsidRPr="007C2D51">
        <w:t xml:space="preserve">.  </w:t>
      </w:r>
      <w:r w:rsidR="00387A44" w:rsidRPr="007C2D51">
        <w:t xml:space="preserve">Grant recipients were asked to classify services in one of </w:t>
      </w:r>
      <w:r w:rsidR="00BF08E1">
        <w:t xml:space="preserve">four </w:t>
      </w:r>
      <w:r w:rsidR="00387A44" w:rsidRPr="007C2D51">
        <w:t>ways</w:t>
      </w:r>
      <w:r w:rsidRPr="007C2D51">
        <w:t xml:space="preserve">: </w:t>
      </w:r>
    </w:p>
    <w:p w:rsidR="00A921AA" w:rsidRPr="007C2D51" w:rsidRDefault="00A921AA" w:rsidP="00EA0785">
      <w:pPr>
        <w:pStyle w:val="ListBullet"/>
      </w:pPr>
      <w:r w:rsidRPr="007C2D51">
        <w:rPr>
          <w:b/>
        </w:rPr>
        <w:t>Trip-based services</w:t>
      </w:r>
      <w:r w:rsidRPr="007C2D51">
        <w:t>, which provide transportation directly to individuals</w:t>
      </w:r>
      <w:r w:rsidR="00CE332B" w:rsidRPr="007C2D51">
        <w:t xml:space="preserve">.  </w:t>
      </w:r>
      <w:r w:rsidRPr="007C2D51">
        <w:t>These include fixed routes, flexible routes, shuttles, demand response, and user-side subsidy programs (e.g., vouchers, ridesharing, and guaranteed ride home)</w:t>
      </w:r>
      <w:r w:rsidR="00CE332B" w:rsidRPr="007C2D51">
        <w:t xml:space="preserve">.  </w:t>
      </w:r>
    </w:p>
    <w:p w:rsidR="00A921AA" w:rsidRPr="007C2D51" w:rsidRDefault="00A921AA" w:rsidP="00EA0785">
      <w:pPr>
        <w:pStyle w:val="ListBullet"/>
      </w:pPr>
      <w:r w:rsidRPr="007C2D51">
        <w:rPr>
          <w:b/>
        </w:rPr>
        <w:t>Information-based services</w:t>
      </w:r>
      <w:r w:rsidRPr="007C2D51">
        <w:t>, which provide information about transportation services to individuals but do not provide direct transportation services</w:t>
      </w:r>
      <w:r w:rsidR="00CE332B" w:rsidRPr="007C2D51">
        <w:t xml:space="preserve">.  </w:t>
      </w:r>
      <w:r w:rsidRPr="007C2D51">
        <w:t>These include mobility managers/brokerages, trip or itinerary planning, Internet-based travel information, informational materials, and one-on-one training</w:t>
      </w:r>
      <w:r w:rsidR="00CE332B" w:rsidRPr="007C2D51">
        <w:t xml:space="preserve">.  </w:t>
      </w:r>
    </w:p>
    <w:p w:rsidR="00A921AA" w:rsidRPr="007C2D51" w:rsidRDefault="00A921AA" w:rsidP="00EA0785">
      <w:pPr>
        <w:pStyle w:val="ListBullet"/>
      </w:pPr>
      <w:r w:rsidRPr="007C2D51">
        <w:rPr>
          <w:b/>
        </w:rPr>
        <w:t>Capital investment programs</w:t>
      </w:r>
      <w:r w:rsidRPr="007C2D51">
        <w:t>, including facilities and infrastructure to support transportation services</w:t>
      </w:r>
      <w:r w:rsidR="00CE332B" w:rsidRPr="007C2D51">
        <w:t xml:space="preserve">.  </w:t>
      </w:r>
      <w:r w:rsidRPr="007C2D51">
        <w:t>These include vehicle based programs (such as those making automobiles available to individuals or organizations), facility or amenity improvements, and technology to support transportation services.</w:t>
      </w:r>
    </w:p>
    <w:p w:rsidR="00341684" w:rsidRPr="007C2D51" w:rsidRDefault="00341684" w:rsidP="00EA0785">
      <w:pPr>
        <w:pStyle w:val="ListBullet"/>
      </w:pPr>
      <w:r w:rsidRPr="007C2D51">
        <w:rPr>
          <w:b/>
        </w:rPr>
        <w:t>Planning studies</w:t>
      </w:r>
      <w:r w:rsidRPr="007C2D51">
        <w:t>, including feasibility studies for future services</w:t>
      </w:r>
      <w:r w:rsidRPr="007C2D51">
        <w:rPr>
          <w:b/>
        </w:rPr>
        <w:t>.</w:t>
      </w:r>
      <w:r w:rsidRPr="007C2D51">
        <w:t xml:space="preserve"> These studies are separate from the coordinated public transit - human services transportation plans required by SAFETEA-LU.</w:t>
      </w:r>
    </w:p>
    <w:p w:rsidR="000D1B2B" w:rsidRPr="007C2D51" w:rsidRDefault="000D1B2B" w:rsidP="00CE7C6F">
      <w:pPr>
        <w:pStyle w:val="BodyText"/>
      </w:pPr>
      <w:r w:rsidRPr="007C2D51">
        <w:t>User-side subsidies include vouchers, ridesharing, and guaranteed-ride home programs, where the program covers the cost of a specific trip</w:t>
      </w:r>
      <w:r w:rsidR="00CE332B" w:rsidRPr="007C2D51">
        <w:t xml:space="preserve">.  </w:t>
      </w:r>
      <w:r w:rsidRPr="007C2D51">
        <w:t>They do not include fare vouchers, which were not eligible for JARC funding</w:t>
      </w:r>
      <w:r w:rsidR="00CE332B" w:rsidRPr="007C2D51">
        <w:t xml:space="preserve">.  </w:t>
      </w:r>
    </w:p>
    <w:p w:rsidR="00A63037" w:rsidRPr="007C2D51" w:rsidRDefault="00EA3FA1" w:rsidP="00CE7C6F">
      <w:pPr>
        <w:pStyle w:val="BodyText"/>
      </w:pPr>
      <w:r w:rsidRPr="007C2D51">
        <w:t xml:space="preserve">Although FTA funds </w:t>
      </w:r>
      <w:r w:rsidR="00A63037" w:rsidRPr="007C2D51">
        <w:t>mobility managers as an eligible capital expense, they are categorized here as information-based services for reporting purposes.</w:t>
      </w:r>
    </w:p>
    <w:p w:rsidR="0025197D" w:rsidRPr="007C2D51" w:rsidRDefault="00A921AA" w:rsidP="00CE7C6F">
      <w:pPr>
        <w:pStyle w:val="BodyText"/>
      </w:pPr>
      <w:r w:rsidRPr="007C2D51">
        <w:t>Out of the active JARC-funded services, the vast majority w</w:t>
      </w:r>
      <w:r w:rsidR="003E7AA3" w:rsidRPr="007C2D51">
        <w:t>as</w:t>
      </w:r>
      <w:r w:rsidRPr="007C2D51">
        <w:t xml:space="preserve"> trip-based, at approximately </w:t>
      </w:r>
      <w:r w:rsidR="00341684" w:rsidRPr="007C2D51">
        <w:t>79</w:t>
      </w:r>
      <w:r w:rsidRPr="007C2D51">
        <w:t>%</w:t>
      </w:r>
      <w:r w:rsidR="005D0432" w:rsidRPr="007C2D51">
        <w:t xml:space="preserve">.  </w:t>
      </w:r>
      <w:r w:rsidRPr="007C2D51">
        <w:t xml:space="preserve">The remaining programs were information-based </w:t>
      </w:r>
      <w:r w:rsidR="005D0432" w:rsidRPr="007C2D51">
        <w:t xml:space="preserve">(12%), </w:t>
      </w:r>
      <w:r w:rsidRPr="007C2D51">
        <w:t>capital investment programs</w:t>
      </w:r>
      <w:r w:rsidR="005D0432" w:rsidRPr="007C2D51">
        <w:t xml:space="preserve"> (8%), and planning studies (1%)</w:t>
      </w:r>
      <w:r w:rsidR="00CE332B" w:rsidRPr="007C2D51">
        <w:t xml:space="preserve">.  </w:t>
      </w:r>
      <w:r w:rsidR="00765B8E" w:rsidRPr="007C2D51">
        <w:t>(</w:t>
      </w:r>
      <w:r w:rsidR="00765B8E" w:rsidRPr="00613F0E">
        <w:t xml:space="preserve">See Figure 3-1.)  </w:t>
      </w:r>
      <w:r w:rsidRPr="00613F0E">
        <w:t>As Table 3-1 and Figure 3-</w:t>
      </w:r>
      <w:r w:rsidR="00765B8E" w:rsidRPr="00613F0E">
        <w:t xml:space="preserve">2 </w:t>
      </w:r>
      <w:r w:rsidRPr="007C2D51">
        <w:t xml:space="preserve">show, the most commonly reported programs were fixed route and demand </w:t>
      </w:r>
      <w:r w:rsidR="00387A44" w:rsidRPr="007C2D51">
        <w:t>response</w:t>
      </w:r>
      <w:r w:rsidR="00CE332B" w:rsidRPr="007C2D51">
        <w:t xml:space="preserve">.  </w:t>
      </w:r>
      <w:r w:rsidRPr="007C2D51">
        <w:t xml:space="preserve">Together, these traditional transit services accounted for </w:t>
      </w:r>
      <w:r w:rsidR="00387A44" w:rsidRPr="007C2D51">
        <w:t>almost</w:t>
      </w:r>
      <w:r w:rsidRPr="007C2D51">
        <w:t xml:space="preserve"> two out of three JARC-funded programs.</w:t>
      </w:r>
    </w:p>
    <w:p w:rsidR="0025197D" w:rsidRPr="007C2D51" w:rsidRDefault="0025197D" w:rsidP="00CE7C6F">
      <w:pPr>
        <w:pStyle w:val="BodyText"/>
      </w:pPr>
      <w:r w:rsidRPr="007C2D51">
        <w:br w:type="page"/>
      </w:r>
    </w:p>
    <w:p w:rsidR="00710504" w:rsidRPr="007C2D51" w:rsidRDefault="002B7689" w:rsidP="002B7689">
      <w:pPr>
        <w:pStyle w:val="Caption"/>
      </w:pPr>
      <w:bookmarkStart w:id="60" w:name="_Toc304967467"/>
      <w:r w:rsidRPr="007C2D51">
        <w:lastRenderedPageBreak/>
        <w:t xml:space="preserve">Table </w:t>
      </w:r>
      <w:r w:rsidR="00022E2F" w:rsidRPr="007C2D51">
        <w:fldChar w:fldCharType="begin"/>
      </w:r>
      <w:r w:rsidR="00FB3E36" w:rsidRPr="007C2D51">
        <w:instrText xml:space="preserve"> STYLEREF 1 \s </w:instrText>
      </w:r>
      <w:r w:rsidR="00022E2F" w:rsidRPr="007C2D51">
        <w:fldChar w:fldCharType="separate"/>
      </w:r>
      <w:r w:rsidR="00F35ACC">
        <w:rPr>
          <w:noProof/>
        </w:rPr>
        <w:t>3</w:t>
      </w:r>
      <w:r w:rsidR="00022E2F" w:rsidRPr="007C2D51">
        <w:fldChar w:fldCharType="end"/>
      </w:r>
      <w:r w:rsidR="00FB3E36" w:rsidRPr="007C2D51">
        <w:noBreakHyphen/>
      </w:r>
      <w:r w:rsidR="00022E2F" w:rsidRPr="007C2D51">
        <w:fldChar w:fldCharType="begin"/>
      </w:r>
      <w:r w:rsidR="00FB3E36" w:rsidRPr="007C2D51">
        <w:instrText xml:space="preserve"> SEQ Table \* ARABIC \s 1 </w:instrText>
      </w:r>
      <w:r w:rsidR="00022E2F" w:rsidRPr="007C2D51">
        <w:fldChar w:fldCharType="separate"/>
      </w:r>
      <w:r w:rsidR="00F35ACC">
        <w:rPr>
          <w:noProof/>
        </w:rPr>
        <w:t>1</w:t>
      </w:r>
      <w:r w:rsidR="00022E2F" w:rsidRPr="007C2D51">
        <w:fldChar w:fldCharType="end"/>
      </w:r>
      <w:r w:rsidRPr="007C2D51">
        <w:br/>
      </w:r>
      <w:r w:rsidR="00593A11" w:rsidRPr="007C2D51">
        <w:t>JARC Services by Type</w:t>
      </w:r>
      <w:bookmarkEnd w:id="60"/>
    </w:p>
    <w:tbl>
      <w:tblPr>
        <w:tblStyle w:val="LightList-Accent6"/>
        <w:tblpPr w:leftFromText="180" w:rightFromText="180" w:vertAnchor="text" w:horzAnchor="margin" w:tblpXSpec="center" w:tblpY="17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39"/>
        <w:gridCol w:w="1440"/>
        <w:gridCol w:w="1440"/>
      </w:tblGrid>
      <w:tr w:rsidR="00593A11" w:rsidRPr="007C2D51">
        <w:trPr>
          <w:cnfStyle w:val="100000000000"/>
          <w:trHeight w:val="300"/>
        </w:trPr>
        <w:tc>
          <w:tcPr>
            <w:cnfStyle w:val="001000000000"/>
            <w:tcW w:w="3639" w:type="dxa"/>
            <w:noWrap/>
            <w:vAlign w:val="bottom"/>
          </w:tcPr>
          <w:p w:rsidR="00593A11" w:rsidRPr="007C2D51" w:rsidRDefault="00593A11" w:rsidP="00B605DB">
            <w:r w:rsidRPr="007C2D51">
              <w:t>Service Type</w:t>
            </w:r>
          </w:p>
        </w:tc>
        <w:tc>
          <w:tcPr>
            <w:tcW w:w="1440" w:type="dxa"/>
            <w:vAlign w:val="bottom"/>
          </w:tcPr>
          <w:p w:rsidR="00593A11" w:rsidRPr="007C2D51" w:rsidRDefault="00593A11" w:rsidP="00420D9B">
            <w:pPr>
              <w:jc w:val="center"/>
              <w:cnfStyle w:val="100000000000"/>
            </w:pPr>
            <w:r w:rsidRPr="007C2D51">
              <w:t>#</w:t>
            </w:r>
          </w:p>
        </w:tc>
        <w:tc>
          <w:tcPr>
            <w:tcW w:w="1440" w:type="dxa"/>
            <w:noWrap/>
            <w:vAlign w:val="bottom"/>
          </w:tcPr>
          <w:p w:rsidR="009905BB" w:rsidRPr="007C2D51" w:rsidRDefault="00593A11">
            <w:pPr>
              <w:jc w:val="center"/>
              <w:cnfStyle w:val="100000000000"/>
              <w:rPr>
                <w:rFonts w:asciiTheme="majorHAnsi" w:hAnsiTheme="majorHAnsi"/>
                <w:b w:val="0"/>
                <w:bCs w:val="0"/>
                <w:color w:val="FEB80A" w:themeColor="accent2"/>
              </w:rPr>
            </w:pPr>
            <w:r w:rsidRPr="007C2D51">
              <w:t>%</w:t>
            </w:r>
          </w:p>
        </w:tc>
      </w:tr>
      <w:tr w:rsidR="00152C31" w:rsidRPr="007C2D51" w:rsidTr="00E218F6">
        <w:trPr>
          <w:cnfStyle w:val="000000100000"/>
          <w:trHeight w:val="300"/>
        </w:trPr>
        <w:tc>
          <w:tcPr>
            <w:cnfStyle w:val="001000000000"/>
            <w:tcW w:w="3639" w:type="dxa"/>
            <w:tcBorders>
              <w:top w:val="none" w:sz="0" w:space="0" w:color="auto"/>
              <w:left w:val="none" w:sz="0" w:space="0" w:color="auto"/>
              <w:bottom w:val="none" w:sz="0" w:space="0" w:color="auto"/>
            </w:tcBorders>
            <w:shd w:val="clear" w:color="auto" w:fill="475A8D" w:themeFill="accent6"/>
            <w:noWrap/>
            <w:vAlign w:val="bottom"/>
          </w:tcPr>
          <w:p w:rsidR="00152C31" w:rsidRPr="007C2D51" w:rsidRDefault="00152C31" w:rsidP="00B605DB">
            <w:pPr>
              <w:rPr>
                <w:b w:val="0"/>
                <w:bCs w:val="0"/>
                <w:color w:val="FFFFFF" w:themeColor="background1"/>
              </w:rPr>
            </w:pPr>
            <w:r w:rsidRPr="007C2D51">
              <w:rPr>
                <w:color w:val="FFFFFF" w:themeColor="background1"/>
              </w:rPr>
              <w:t>Trip-Based Services</w:t>
            </w:r>
          </w:p>
        </w:tc>
        <w:tc>
          <w:tcPr>
            <w:tcW w:w="1440" w:type="dxa"/>
            <w:tcBorders>
              <w:top w:val="none" w:sz="0" w:space="0" w:color="auto"/>
              <w:bottom w:val="none" w:sz="0" w:space="0" w:color="auto"/>
            </w:tcBorders>
            <w:shd w:val="clear" w:color="auto" w:fill="475A8D" w:themeFill="accent6"/>
            <w:vAlign w:val="bottom"/>
          </w:tcPr>
          <w:p w:rsidR="00152C31" w:rsidRPr="007C2D51" w:rsidRDefault="00152C31" w:rsidP="00B605DB">
            <w:pPr>
              <w:jc w:val="right"/>
              <w:cnfStyle w:val="000000100000"/>
              <w:rPr>
                <w:rFonts w:cs="Calibri"/>
                <w:b/>
                <w:bCs/>
                <w:color w:val="FFFFFF" w:themeColor="background1"/>
              </w:rPr>
            </w:pPr>
            <w:r w:rsidRPr="007C2D51">
              <w:rPr>
                <w:rFonts w:cs="Calibri"/>
                <w:b/>
                <w:bCs/>
                <w:color w:val="FFFFFF" w:themeColor="background1"/>
              </w:rPr>
              <w:t>813</w:t>
            </w:r>
          </w:p>
        </w:tc>
        <w:tc>
          <w:tcPr>
            <w:tcW w:w="1440" w:type="dxa"/>
            <w:tcBorders>
              <w:top w:val="none" w:sz="0" w:space="0" w:color="auto"/>
              <w:bottom w:val="none" w:sz="0" w:space="0" w:color="auto"/>
              <w:right w:val="none" w:sz="0" w:space="0" w:color="auto"/>
            </w:tcBorders>
            <w:shd w:val="clear" w:color="auto" w:fill="475A8D" w:themeFill="accent6"/>
            <w:noWrap/>
            <w:vAlign w:val="bottom"/>
          </w:tcPr>
          <w:p w:rsidR="00152C31" w:rsidRPr="007C2D51" w:rsidRDefault="00152C31" w:rsidP="00B605DB">
            <w:pPr>
              <w:jc w:val="right"/>
              <w:cnfStyle w:val="000000100000"/>
              <w:rPr>
                <w:rFonts w:cs="Calibri"/>
                <w:b/>
                <w:bCs/>
                <w:color w:val="FFFFFF" w:themeColor="background1"/>
              </w:rPr>
            </w:pPr>
            <w:r w:rsidRPr="007C2D51">
              <w:rPr>
                <w:rFonts w:cs="Calibri"/>
                <w:b/>
                <w:bCs/>
                <w:color w:val="FFFFFF" w:themeColor="background1"/>
              </w:rPr>
              <w:t>79%</w:t>
            </w:r>
          </w:p>
        </w:tc>
      </w:tr>
      <w:tr w:rsidR="00152C31" w:rsidRPr="007C2D51" w:rsidTr="00E218F6">
        <w:trPr>
          <w:trHeight w:val="300"/>
        </w:trPr>
        <w:tc>
          <w:tcPr>
            <w:cnfStyle w:val="001000000000"/>
            <w:tcW w:w="3639" w:type="dxa"/>
            <w:noWrap/>
            <w:vAlign w:val="bottom"/>
          </w:tcPr>
          <w:p w:rsidR="00152C31" w:rsidRPr="007C2D51" w:rsidRDefault="00152C31" w:rsidP="00B605DB">
            <w:r w:rsidRPr="007C2D51">
              <w:t>Fixed route</w:t>
            </w:r>
          </w:p>
        </w:tc>
        <w:tc>
          <w:tcPr>
            <w:tcW w:w="1440" w:type="dxa"/>
            <w:vAlign w:val="bottom"/>
          </w:tcPr>
          <w:p w:rsidR="00152C31" w:rsidRPr="007C2D51" w:rsidRDefault="00152C31" w:rsidP="00B605DB">
            <w:pPr>
              <w:jc w:val="right"/>
              <w:cnfStyle w:val="000000000000"/>
              <w:rPr>
                <w:rFonts w:cs="Calibri"/>
                <w:color w:val="000000"/>
              </w:rPr>
            </w:pPr>
            <w:r w:rsidRPr="007C2D51">
              <w:rPr>
                <w:rFonts w:cs="Calibri"/>
                <w:color w:val="000000"/>
              </w:rPr>
              <w:t>397</w:t>
            </w:r>
          </w:p>
        </w:tc>
        <w:tc>
          <w:tcPr>
            <w:tcW w:w="1440" w:type="dxa"/>
            <w:noWrap/>
            <w:vAlign w:val="bottom"/>
          </w:tcPr>
          <w:p w:rsidR="00152C31" w:rsidRPr="007C2D51" w:rsidRDefault="00152C31" w:rsidP="00B605DB">
            <w:pPr>
              <w:jc w:val="right"/>
              <w:cnfStyle w:val="000000000000"/>
              <w:rPr>
                <w:rFonts w:cs="Calibri"/>
                <w:color w:val="000000"/>
              </w:rPr>
            </w:pPr>
            <w:r w:rsidRPr="007C2D51">
              <w:rPr>
                <w:rFonts w:cs="Calibri"/>
                <w:color w:val="000000"/>
              </w:rPr>
              <w:t>39%</w:t>
            </w:r>
          </w:p>
        </w:tc>
      </w:tr>
      <w:tr w:rsidR="00152C31" w:rsidRPr="007C2D51">
        <w:trPr>
          <w:cnfStyle w:val="000000100000"/>
          <w:trHeight w:val="300"/>
        </w:trPr>
        <w:tc>
          <w:tcPr>
            <w:cnfStyle w:val="001000000000"/>
            <w:tcW w:w="3639" w:type="dxa"/>
            <w:tcBorders>
              <w:top w:val="none" w:sz="0" w:space="0" w:color="auto"/>
              <w:left w:val="none" w:sz="0" w:space="0" w:color="auto"/>
              <w:bottom w:val="none" w:sz="0" w:space="0" w:color="auto"/>
            </w:tcBorders>
            <w:noWrap/>
            <w:vAlign w:val="bottom"/>
          </w:tcPr>
          <w:p w:rsidR="00152C31" w:rsidRPr="007C2D51" w:rsidRDefault="00152C31" w:rsidP="00B605DB">
            <w:r w:rsidRPr="007C2D51">
              <w:t>Demand response</w:t>
            </w:r>
          </w:p>
        </w:tc>
        <w:tc>
          <w:tcPr>
            <w:tcW w:w="1440" w:type="dxa"/>
            <w:tcBorders>
              <w:top w:val="none" w:sz="0" w:space="0" w:color="auto"/>
              <w:bottom w:val="none" w:sz="0" w:space="0" w:color="auto"/>
            </w:tcBorders>
            <w:vAlign w:val="bottom"/>
          </w:tcPr>
          <w:p w:rsidR="00152C31" w:rsidRPr="007C2D51" w:rsidRDefault="00152C31" w:rsidP="00B605DB">
            <w:pPr>
              <w:jc w:val="right"/>
              <w:cnfStyle w:val="000000100000"/>
              <w:rPr>
                <w:rFonts w:cs="Calibri"/>
                <w:color w:val="000000"/>
              </w:rPr>
            </w:pPr>
            <w:r w:rsidRPr="007C2D51">
              <w:rPr>
                <w:rFonts w:cs="Calibri"/>
                <w:color w:val="000000"/>
              </w:rPr>
              <w:t>237</w:t>
            </w:r>
          </w:p>
        </w:tc>
        <w:tc>
          <w:tcPr>
            <w:tcW w:w="1440" w:type="dxa"/>
            <w:tcBorders>
              <w:top w:val="none" w:sz="0" w:space="0" w:color="auto"/>
              <w:bottom w:val="none" w:sz="0" w:space="0" w:color="auto"/>
              <w:right w:val="none" w:sz="0" w:space="0" w:color="auto"/>
            </w:tcBorders>
            <w:noWrap/>
            <w:vAlign w:val="bottom"/>
          </w:tcPr>
          <w:p w:rsidR="00152C31" w:rsidRPr="007C2D51" w:rsidRDefault="00152C31" w:rsidP="00B605DB">
            <w:pPr>
              <w:jc w:val="right"/>
              <w:cnfStyle w:val="000000100000"/>
              <w:rPr>
                <w:rFonts w:cs="Calibri"/>
                <w:color w:val="000000"/>
              </w:rPr>
            </w:pPr>
            <w:r w:rsidRPr="007C2D51">
              <w:rPr>
                <w:rFonts w:cs="Calibri"/>
                <w:color w:val="000000"/>
              </w:rPr>
              <w:t>23%</w:t>
            </w:r>
          </w:p>
        </w:tc>
      </w:tr>
      <w:tr w:rsidR="00152C31" w:rsidRPr="007C2D51">
        <w:trPr>
          <w:trHeight w:val="300"/>
        </w:trPr>
        <w:tc>
          <w:tcPr>
            <w:cnfStyle w:val="001000000000"/>
            <w:tcW w:w="3639" w:type="dxa"/>
            <w:noWrap/>
            <w:vAlign w:val="bottom"/>
          </w:tcPr>
          <w:p w:rsidR="00152C31" w:rsidRPr="007C2D51" w:rsidRDefault="00152C31" w:rsidP="00B605DB">
            <w:r w:rsidRPr="007C2D51">
              <w:t>Flexible routing</w:t>
            </w:r>
          </w:p>
        </w:tc>
        <w:tc>
          <w:tcPr>
            <w:tcW w:w="1440" w:type="dxa"/>
            <w:vAlign w:val="bottom"/>
          </w:tcPr>
          <w:p w:rsidR="00152C31" w:rsidRPr="007C2D51" w:rsidRDefault="00152C31" w:rsidP="00B605DB">
            <w:pPr>
              <w:jc w:val="right"/>
              <w:cnfStyle w:val="000000000000"/>
              <w:rPr>
                <w:rFonts w:cs="Calibri"/>
                <w:color w:val="000000"/>
              </w:rPr>
            </w:pPr>
            <w:r w:rsidRPr="007C2D51">
              <w:rPr>
                <w:rFonts w:cs="Calibri"/>
                <w:color w:val="000000"/>
              </w:rPr>
              <w:t>61</w:t>
            </w:r>
          </w:p>
        </w:tc>
        <w:tc>
          <w:tcPr>
            <w:tcW w:w="1440" w:type="dxa"/>
            <w:noWrap/>
            <w:vAlign w:val="bottom"/>
          </w:tcPr>
          <w:p w:rsidR="00152C31" w:rsidRPr="007C2D51" w:rsidRDefault="00152C31" w:rsidP="00B605DB">
            <w:pPr>
              <w:jc w:val="right"/>
              <w:cnfStyle w:val="000000000000"/>
              <w:rPr>
                <w:rFonts w:cs="Calibri"/>
                <w:color w:val="000000"/>
              </w:rPr>
            </w:pPr>
            <w:r w:rsidRPr="007C2D51">
              <w:rPr>
                <w:rFonts w:cs="Calibri"/>
                <w:color w:val="000000"/>
              </w:rPr>
              <w:t>6%</w:t>
            </w:r>
          </w:p>
        </w:tc>
      </w:tr>
      <w:tr w:rsidR="00152C31" w:rsidRPr="007C2D51">
        <w:trPr>
          <w:cnfStyle w:val="000000100000"/>
          <w:trHeight w:val="300"/>
        </w:trPr>
        <w:tc>
          <w:tcPr>
            <w:cnfStyle w:val="001000000000"/>
            <w:tcW w:w="3639" w:type="dxa"/>
            <w:tcBorders>
              <w:top w:val="none" w:sz="0" w:space="0" w:color="auto"/>
              <w:left w:val="none" w:sz="0" w:space="0" w:color="auto"/>
              <w:bottom w:val="none" w:sz="0" w:space="0" w:color="auto"/>
            </w:tcBorders>
            <w:noWrap/>
            <w:vAlign w:val="bottom"/>
          </w:tcPr>
          <w:p w:rsidR="00152C31" w:rsidRPr="007C2D51" w:rsidRDefault="00152C31" w:rsidP="00B605DB">
            <w:r w:rsidRPr="007C2D51">
              <w:t>Shuttle/Feeder</w:t>
            </w:r>
          </w:p>
        </w:tc>
        <w:tc>
          <w:tcPr>
            <w:tcW w:w="1440" w:type="dxa"/>
            <w:tcBorders>
              <w:top w:val="none" w:sz="0" w:space="0" w:color="auto"/>
              <w:bottom w:val="none" w:sz="0" w:space="0" w:color="auto"/>
            </w:tcBorders>
            <w:vAlign w:val="bottom"/>
          </w:tcPr>
          <w:p w:rsidR="00152C31" w:rsidRPr="007C2D51" w:rsidRDefault="00152C31" w:rsidP="00B605DB">
            <w:pPr>
              <w:jc w:val="right"/>
              <w:cnfStyle w:val="000000100000"/>
              <w:rPr>
                <w:rFonts w:cs="Calibri"/>
                <w:color w:val="000000"/>
              </w:rPr>
            </w:pPr>
            <w:r w:rsidRPr="007C2D51">
              <w:rPr>
                <w:rFonts w:cs="Calibri"/>
                <w:color w:val="000000"/>
              </w:rPr>
              <w:t>52</w:t>
            </w:r>
          </w:p>
        </w:tc>
        <w:tc>
          <w:tcPr>
            <w:tcW w:w="1440" w:type="dxa"/>
            <w:tcBorders>
              <w:top w:val="none" w:sz="0" w:space="0" w:color="auto"/>
              <w:bottom w:val="none" w:sz="0" w:space="0" w:color="auto"/>
              <w:right w:val="none" w:sz="0" w:space="0" w:color="auto"/>
            </w:tcBorders>
            <w:noWrap/>
            <w:vAlign w:val="bottom"/>
          </w:tcPr>
          <w:p w:rsidR="00152C31" w:rsidRPr="007C2D51" w:rsidRDefault="00152C31" w:rsidP="00B605DB">
            <w:pPr>
              <w:jc w:val="right"/>
              <w:cnfStyle w:val="000000100000"/>
              <w:rPr>
                <w:rFonts w:cs="Calibri"/>
                <w:color w:val="000000"/>
              </w:rPr>
            </w:pPr>
            <w:r w:rsidRPr="007C2D51">
              <w:rPr>
                <w:rFonts w:cs="Calibri"/>
                <w:color w:val="000000"/>
              </w:rPr>
              <w:t>5%</w:t>
            </w:r>
          </w:p>
        </w:tc>
      </w:tr>
      <w:tr w:rsidR="00152C31" w:rsidRPr="007C2D51">
        <w:trPr>
          <w:trHeight w:val="300"/>
        </w:trPr>
        <w:tc>
          <w:tcPr>
            <w:cnfStyle w:val="001000000000"/>
            <w:tcW w:w="3639" w:type="dxa"/>
            <w:noWrap/>
            <w:vAlign w:val="bottom"/>
          </w:tcPr>
          <w:p w:rsidR="00152C31" w:rsidRPr="007C2D51" w:rsidRDefault="00152C31" w:rsidP="00B605DB">
            <w:r w:rsidRPr="007C2D51">
              <w:t>User-side subsidy</w:t>
            </w:r>
          </w:p>
        </w:tc>
        <w:tc>
          <w:tcPr>
            <w:tcW w:w="1440" w:type="dxa"/>
            <w:vAlign w:val="bottom"/>
          </w:tcPr>
          <w:p w:rsidR="00152C31" w:rsidRPr="007C2D51" w:rsidRDefault="00152C31" w:rsidP="00B605DB">
            <w:pPr>
              <w:jc w:val="right"/>
              <w:cnfStyle w:val="000000000000"/>
              <w:rPr>
                <w:rFonts w:cs="Calibri"/>
                <w:color w:val="000000"/>
              </w:rPr>
            </w:pPr>
            <w:r w:rsidRPr="007C2D51">
              <w:rPr>
                <w:rFonts w:cs="Calibri"/>
                <w:color w:val="000000"/>
              </w:rPr>
              <w:t>38</w:t>
            </w:r>
          </w:p>
        </w:tc>
        <w:tc>
          <w:tcPr>
            <w:tcW w:w="1440" w:type="dxa"/>
            <w:noWrap/>
            <w:vAlign w:val="bottom"/>
          </w:tcPr>
          <w:p w:rsidR="00152C31" w:rsidRPr="007C2D51" w:rsidRDefault="00152C31" w:rsidP="00B605DB">
            <w:pPr>
              <w:jc w:val="right"/>
              <w:cnfStyle w:val="000000000000"/>
              <w:rPr>
                <w:rFonts w:cs="Calibri"/>
                <w:color w:val="000000"/>
              </w:rPr>
            </w:pPr>
            <w:r w:rsidRPr="007C2D51">
              <w:rPr>
                <w:rFonts w:cs="Calibri"/>
                <w:color w:val="000000"/>
              </w:rPr>
              <w:t>4%</w:t>
            </w:r>
          </w:p>
        </w:tc>
      </w:tr>
      <w:tr w:rsidR="00152C31" w:rsidRPr="007C2D51" w:rsidTr="00E218F6">
        <w:trPr>
          <w:cnfStyle w:val="000000100000"/>
          <w:trHeight w:val="300"/>
        </w:trPr>
        <w:tc>
          <w:tcPr>
            <w:cnfStyle w:val="001000000000"/>
            <w:tcW w:w="3639" w:type="dxa"/>
            <w:tcBorders>
              <w:top w:val="none" w:sz="0" w:space="0" w:color="auto"/>
              <w:left w:val="none" w:sz="0" w:space="0" w:color="auto"/>
              <w:bottom w:val="none" w:sz="0" w:space="0" w:color="auto"/>
            </w:tcBorders>
            <w:noWrap/>
            <w:vAlign w:val="bottom"/>
          </w:tcPr>
          <w:p w:rsidR="00152C31" w:rsidRPr="007C2D51" w:rsidRDefault="00152C31" w:rsidP="00B605DB">
            <w:r w:rsidRPr="007C2D51">
              <w:t>Vanpool</w:t>
            </w:r>
          </w:p>
        </w:tc>
        <w:tc>
          <w:tcPr>
            <w:tcW w:w="1440" w:type="dxa"/>
            <w:tcBorders>
              <w:top w:val="none" w:sz="0" w:space="0" w:color="auto"/>
              <w:bottom w:val="none" w:sz="0" w:space="0" w:color="auto"/>
            </w:tcBorders>
            <w:vAlign w:val="bottom"/>
          </w:tcPr>
          <w:p w:rsidR="00152C31" w:rsidRPr="007C2D51" w:rsidRDefault="00152C31" w:rsidP="00B605DB">
            <w:pPr>
              <w:jc w:val="right"/>
              <w:cnfStyle w:val="000000100000"/>
              <w:rPr>
                <w:rFonts w:cs="Calibri"/>
                <w:color w:val="000000"/>
              </w:rPr>
            </w:pPr>
            <w:r w:rsidRPr="007C2D51">
              <w:rPr>
                <w:rFonts w:cs="Calibri"/>
                <w:color w:val="000000"/>
              </w:rPr>
              <w:t>28</w:t>
            </w:r>
          </w:p>
        </w:tc>
        <w:tc>
          <w:tcPr>
            <w:tcW w:w="1440" w:type="dxa"/>
            <w:tcBorders>
              <w:top w:val="none" w:sz="0" w:space="0" w:color="auto"/>
              <w:bottom w:val="none" w:sz="0" w:space="0" w:color="auto"/>
              <w:right w:val="none" w:sz="0" w:space="0" w:color="auto"/>
            </w:tcBorders>
            <w:noWrap/>
            <w:vAlign w:val="bottom"/>
          </w:tcPr>
          <w:p w:rsidR="00152C31" w:rsidRPr="007C2D51" w:rsidRDefault="00152C31" w:rsidP="00B605DB">
            <w:pPr>
              <w:jc w:val="right"/>
              <w:cnfStyle w:val="000000100000"/>
              <w:rPr>
                <w:rFonts w:cs="Calibri"/>
                <w:color w:val="000000"/>
              </w:rPr>
            </w:pPr>
            <w:r w:rsidRPr="007C2D51">
              <w:rPr>
                <w:rFonts w:cs="Calibri"/>
                <w:color w:val="000000"/>
              </w:rPr>
              <w:t>3%</w:t>
            </w:r>
          </w:p>
        </w:tc>
      </w:tr>
      <w:tr w:rsidR="00152C31" w:rsidRPr="007C2D51">
        <w:trPr>
          <w:trHeight w:val="300"/>
        </w:trPr>
        <w:tc>
          <w:tcPr>
            <w:cnfStyle w:val="001000000000"/>
            <w:tcW w:w="3639" w:type="dxa"/>
            <w:shd w:val="clear" w:color="auto" w:fill="475A8D" w:themeFill="accent6"/>
            <w:noWrap/>
            <w:vAlign w:val="bottom"/>
          </w:tcPr>
          <w:p w:rsidR="00152C31" w:rsidRPr="007C2D51" w:rsidRDefault="00152C31" w:rsidP="00B605DB">
            <w:pPr>
              <w:rPr>
                <w:color w:val="FFFFFF" w:themeColor="background1"/>
              </w:rPr>
            </w:pPr>
            <w:r w:rsidRPr="007C2D51">
              <w:rPr>
                <w:color w:val="FFFFFF" w:themeColor="background1"/>
              </w:rPr>
              <w:t>Information-Based Services</w:t>
            </w:r>
          </w:p>
        </w:tc>
        <w:tc>
          <w:tcPr>
            <w:tcW w:w="1440" w:type="dxa"/>
            <w:shd w:val="clear" w:color="auto" w:fill="475A8D" w:themeFill="accent6"/>
            <w:vAlign w:val="bottom"/>
          </w:tcPr>
          <w:p w:rsidR="00152C31" w:rsidRPr="007C2D51" w:rsidRDefault="00152C31" w:rsidP="00B605DB">
            <w:pPr>
              <w:jc w:val="right"/>
              <w:cnfStyle w:val="000000000000"/>
              <w:rPr>
                <w:rFonts w:cs="Calibri"/>
                <w:b/>
                <w:bCs/>
                <w:color w:val="FFFFFF" w:themeColor="background1"/>
              </w:rPr>
            </w:pPr>
            <w:r w:rsidRPr="007C2D51">
              <w:rPr>
                <w:rFonts w:cs="Calibri"/>
                <w:b/>
                <w:bCs/>
                <w:color w:val="FFFFFF" w:themeColor="background1"/>
              </w:rPr>
              <w:t>120</w:t>
            </w:r>
          </w:p>
        </w:tc>
        <w:tc>
          <w:tcPr>
            <w:tcW w:w="1440" w:type="dxa"/>
            <w:shd w:val="clear" w:color="auto" w:fill="475A8D" w:themeFill="accent6"/>
            <w:noWrap/>
            <w:vAlign w:val="bottom"/>
          </w:tcPr>
          <w:p w:rsidR="00152C31" w:rsidRPr="007C2D51" w:rsidRDefault="00152C31" w:rsidP="00B605DB">
            <w:pPr>
              <w:jc w:val="right"/>
              <w:cnfStyle w:val="000000000000"/>
              <w:rPr>
                <w:rFonts w:cs="Calibri"/>
                <w:b/>
                <w:bCs/>
                <w:color w:val="FFFFFF" w:themeColor="background1"/>
              </w:rPr>
            </w:pPr>
            <w:r w:rsidRPr="007C2D51">
              <w:rPr>
                <w:rFonts w:cs="Calibri"/>
                <w:b/>
                <w:bCs/>
                <w:color w:val="FFFFFF" w:themeColor="background1"/>
              </w:rPr>
              <w:t>12%</w:t>
            </w:r>
          </w:p>
        </w:tc>
      </w:tr>
      <w:tr w:rsidR="00152C31" w:rsidRPr="007C2D51" w:rsidTr="00E218F6">
        <w:trPr>
          <w:cnfStyle w:val="000000100000"/>
          <w:trHeight w:val="315"/>
        </w:trPr>
        <w:tc>
          <w:tcPr>
            <w:cnfStyle w:val="001000000000"/>
            <w:tcW w:w="3639" w:type="dxa"/>
            <w:tcBorders>
              <w:top w:val="none" w:sz="0" w:space="0" w:color="auto"/>
              <w:left w:val="none" w:sz="0" w:space="0" w:color="auto"/>
              <w:bottom w:val="none" w:sz="0" w:space="0" w:color="auto"/>
            </w:tcBorders>
            <w:noWrap/>
            <w:vAlign w:val="bottom"/>
          </w:tcPr>
          <w:p w:rsidR="00152C31" w:rsidRPr="007C2D51" w:rsidRDefault="00152C31" w:rsidP="00B605DB">
            <w:r w:rsidRPr="007C2D51">
              <w:t>Mobility manager</w:t>
            </w:r>
          </w:p>
        </w:tc>
        <w:tc>
          <w:tcPr>
            <w:tcW w:w="1440" w:type="dxa"/>
            <w:tcBorders>
              <w:top w:val="none" w:sz="0" w:space="0" w:color="auto"/>
              <w:bottom w:val="none" w:sz="0" w:space="0" w:color="auto"/>
            </w:tcBorders>
            <w:vAlign w:val="bottom"/>
          </w:tcPr>
          <w:p w:rsidR="00152C31" w:rsidRPr="007C2D51" w:rsidRDefault="00152C31" w:rsidP="00B605DB">
            <w:pPr>
              <w:jc w:val="right"/>
              <w:cnfStyle w:val="000000100000"/>
              <w:rPr>
                <w:rFonts w:cs="Calibri"/>
                <w:color w:val="000000"/>
              </w:rPr>
            </w:pPr>
            <w:r w:rsidRPr="007C2D51">
              <w:rPr>
                <w:rFonts w:cs="Calibri"/>
                <w:color w:val="000000"/>
              </w:rPr>
              <w:t>65</w:t>
            </w:r>
          </w:p>
        </w:tc>
        <w:tc>
          <w:tcPr>
            <w:tcW w:w="1440" w:type="dxa"/>
            <w:tcBorders>
              <w:top w:val="none" w:sz="0" w:space="0" w:color="auto"/>
              <w:bottom w:val="none" w:sz="0" w:space="0" w:color="auto"/>
              <w:right w:val="none" w:sz="0" w:space="0" w:color="auto"/>
            </w:tcBorders>
            <w:noWrap/>
            <w:vAlign w:val="bottom"/>
          </w:tcPr>
          <w:p w:rsidR="00152C31" w:rsidRPr="007C2D51" w:rsidRDefault="00152C31" w:rsidP="00B605DB">
            <w:pPr>
              <w:jc w:val="right"/>
              <w:cnfStyle w:val="000000100000"/>
              <w:rPr>
                <w:rFonts w:cs="Calibri"/>
                <w:color w:val="000000"/>
              </w:rPr>
            </w:pPr>
            <w:r w:rsidRPr="007C2D51">
              <w:rPr>
                <w:rFonts w:cs="Calibri"/>
                <w:color w:val="000000"/>
              </w:rPr>
              <w:t>6%</w:t>
            </w:r>
          </w:p>
        </w:tc>
      </w:tr>
      <w:tr w:rsidR="00152C31" w:rsidRPr="007C2D51">
        <w:trPr>
          <w:trHeight w:val="315"/>
        </w:trPr>
        <w:tc>
          <w:tcPr>
            <w:cnfStyle w:val="001000000000"/>
            <w:tcW w:w="3639" w:type="dxa"/>
            <w:noWrap/>
            <w:vAlign w:val="bottom"/>
          </w:tcPr>
          <w:p w:rsidR="00152C31" w:rsidRPr="007C2D51" w:rsidRDefault="00152C31" w:rsidP="00B605DB">
            <w:r w:rsidRPr="007C2D51">
              <w:t>One-on-one transit training</w:t>
            </w:r>
          </w:p>
        </w:tc>
        <w:tc>
          <w:tcPr>
            <w:tcW w:w="1440" w:type="dxa"/>
            <w:vAlign w:val="bottom"/>
          </w:tcPr>
          <w:p w:rsidR="00152C31" w:rsidRPr="007C2D51" w:rsidRDefault="00152C31" w:rsidP="00B605DB">
            <w:pPr>
              <w:jc w:val="right"/>
              <w:cnfStyle w:val="000000000000"/>
              <w:rPr>
                <w:rFonts w:cs="Calibri"/>
                <w:color w:val="000000"/>
              </w:rPr>
            </w:pPr>
            <w:r w:rsidRPr="007C2D51">
              <w:rPr>
                <w:rFonts w:cs="Calibri"/>
                <w:color w:val="000000"/>
              </w:rPr>
              <w:t>15</w:t>
            </w:r>
          </w:p>
        </w:tc>
        <w:tc>
          <w:tcPr>
            <w:tcW w:w="1440" w:type="dxa"/>
            <w:noWrap/>
            <w:vAlign w:val="bottom"/>
          </w:tcPr>
          <w:p w:rsidR="00152C31" w:rsidRPr="007C2D51" w:rsidRDefault="00152C31" w:rsidP="00B605DB">
            <w:pPr>
              <w:jc w:val="right"/>
              <w:cnfStyle w:val="000000000000"/>
              <w:rPr>
                <w:rFonts w:cs="Calibri"/>
                <w:color w:val="000000"/>
              </w:rPr>
            </w:pPr>
            <w:r w:rsidRPr="007C2D51">
              <w:rPr>
                <w:rFonts w:cs="Calibri"/>
                <w:color w:val="000000"/>
              </w:rPr>
              <w:t>1%</w:t>
            </w:r>
          </w:p>
        </w:tc>
      </w:tr>
      <w:tr w:rsidR="00152C31" w:rsidRPr="007C2D51" w:rsidTr="00E218F6">
        <w:trPr>
          <w:cnfStyle w:val="000000100000"/>
          <w:trHeight w:val="315"/>
        </w:trPr>
        <w:tc>
          <w:tcPr>
            <w:cnfStyle w:val="001000000000"/>
            <w:tcW w:w="3639" w:type="dxa"/>
            <w:tcBorders>
              <w:top w:val="none" w:sz="0" w:space="0" w:color="auto"/>
              <w:left w:val="none" w:sz="0" w:space="0" w:color="auto"/>
              <w:bottom w:val="none" w:sz="0" w:space="0" w:color="auto"/>
            </w:tcBorders>
            <w:noWrap/>
            <w:vAlign w:val="bottom"/>
          </w:tcPr>
          <w:p w:rsidR="00152C31" w:rsidRPr="007C2D51" w:rsidRDefault="00152C31" w:rsidP="00B605DB">
            <w:r w:rsidRPr="007C2D51">
              <w:t>Materials and marketing</w:t>
            </w:r>
          </w:p>
        </w:tc>
        <w:tc>
          <w:tcPr>
            <w:tcW w:w="1440" w:type="dxa"/>
            <w:tcBorders>
              <w:top w:val="none" w:sz="0" w:space="0" w:color="auto"/>
              <w:bottom w:val="none" w:sz="0" w:space="0" w:color="auto"/>
            </w:tcBorders>
            <w:vAlign w:val="bottom"/>
          </w:tcPr>
          <w:p w:rsidR="00152C31" w:rsidRPr="007C2D51" w:rsidRDefault="00152C31" w:rsidP="00B605DB">
            <w:pPr>
              <w:jc w:val="right"/>
              <w:cnfStyle w:val="000000100000"/>
              <w:rPr>
                <w:rFonts w:cs="Calibri"/>
                <w:color w:val="000000"/>
              </w:rPr>
            </w:pPr>
            <w:r w:rsidRPr="007C2D51">
              <w:rPr>
                <w:rFonts w:cs="Calibri"/>
                <w:color w:val="000000"/>
              </w:rPr>
              <w:t>13</w:t>
            </w:r>
          </w:p>
        </w:tc>
        <w:tc>
          <w:tcPr>
            <w:tcW w:w="1440" w:type="dxa"/>
            <w:tcBorders>
              <w:top w:val="none" w:sz="0" w:space="0" w:color="auto"/>
              <w:bottom w:val="none" w:sz="0" w:space="0" w:color="auto"/>
              <w:right w:val="none" w:sz="0" w:space="0" w:color="auto"/>
            </w:tcBorders>
            <w:noWrap/>
            <w:vAlign w:val="bottom"/>
          </w:tcPr>
          <w:p w:rsidR="00152C31" w:rsidRPr="007C2D51" w:rsidRDefault="00152C31" w:rsidP="00B605DB">
            <w:pPr>
              <w:jc w:val="right"/>
              <w:cnfStyle w:val="000000100000"/>
              <w:rPr>
                <w:rFonts w:cs="Calibri"/>
                <w:color w:val="000000"/>
              </w:rPr>
            </w:pPr>
            <w:r w:rsidRPr="007C2D51">
              <w:rPr>
                <w:rFonts w:cs="Calibri"/>
                <w:color w:val="000000"/>
              </w:rPr>
              <w:t>1%</w:t>
            </w:r>
          </w:p>
        </w:tc>
      </w:tr>
      <w:tr w:rsidR="00152C31" w:rsidRPr="007C2D51">
        <w:trPr>
          <w:trHeight w:val="315"/>
        </w:trPr>
        <w:tc>
          <w:tcPr>
            <w:cnfStyle w:val="001000000000"/>
            <w:tcW w:w="3639" w:type="dxa"/>
            <w:noWrap/>
            <w:vAlign w:val="bottom"/>
          </w:tcPr>
          <w:p w:rsidR="00152C31" w:rsidRPr="007C2D51" w:rsidRDefault="00152C31" w:rsidP="00B605DB">
            <w:r w:rsidRPr="007C2D51">
              <w:t>Transportation resource training</w:t>
            </w:r>
          </w:p>
        </w:tc>
        <w:tc>
          <w:tcPr>
            <w:tcW w:w="1440" w:type="dxa"/>
            <w:vAlign w:val="bottom"/>
          </w:tcPr>
          <w:p w:rsidR="00152C31" w:rsidRPr="007C2D51" w:rsidRDefault="00152C31" w:rsidP="00B605DB">
            <w:pPr>
              <w:jc w:val="right"/>
              <w:cnfStyle w:val="000000000000"/>
              <w:rPr>
                <w:rFonts w:cs="Calibri"/>
                <w:color w:val="000000"/>
              </w:rPr>
            </w:pPr>
            <w:r w:rsidRPr="007C2D51">
              <w:rPr>
                <w:rFonts w:cs="Calibri"/>
                <w:color w:val="000000"/>
              </w:rPr>
              <w:t>10</w:t>
            </w:r>
          </w:p>
        </w:tc>
        <w:tc>
          <w:tcPr>
            <w:tcW w:w="1440" w:type="dxa"/>
            <w:noWrap/>
            <w:vAlign w:val="bottom"/>
          </w:tcPr>
          <w:p w:rsidR="00152C31" w:rsidRPr="007C2D51" w:rsidRDefault="00152C31" w:rsidP="00B605DB">
            <w:pPr>
              <w:jc w:val="right"/>
              <w:cnfStyle w:val="000000000000"/>
              <w:rPr>
                <w:rFonts w:cs="Calibri"/>
                <w:color w:val="000000"/>
              </w:rPr>
            </w:pPr>
            <w:r w:rsidRPr="007C2D51">
              <w:rPr>
                <w:rFonts w:cs="Calibri"/>
                <w:color w:val="000000"/>
              </w:rPr>
              <w:t>1%</w:t>
            </w:r>
          </w:p>
        </w:tc>
      </w:tr>
      <w:tr w:rsidR="00152C31" w:rsidRPr="007C2D51" w:rsidTr="00E218F6">
        <w:trPr>
          <w:cnfStyle w:val="000000100000"/>
          <w:trHeight w:val="300"/>
        </w:trPr>
        <w:tc>
          <w:tcPr>
            <w:cnfStyle w:val="001000000000"/>
            <w:tcW w:w="3639" w:type="dxa"/>
            <w:tcBorders>
              <w:top w:val="none" w:sz="0" w:space="0" w:color="auto"/>
              <w:left w:val="none" w:sz="0" w:space="0" w:color="auto"/>
              <w:bottom w:val="none" w:sz="0" w:space="0" w:color="auto"/>
            </w:tcBorders>
            <w:noWrap/>
            <w:vAlign w:val="bottom"/>
          </w:tcPr>
          <w:p w:rsidR="00152C31" w:rsidRPr="007C2D51" w:rsidRDefault="00152C31" w:rsidP="00B605DB">
            <w:r w:rsidRPr="007C2D51">
              <w:t>One-stop center</w:t>
            </w:r>
          </w:p>
        </w:tc>
        <w:tc>
          <w:tcPr>
            <w:tcW w:w="1440" w:type="dxa"/>
            <w:tcBorders>
              <w:top w:val="none" w:sz="0" w:space="0" w:color="auto"/>
              <w:bottom w:val="none" w:sz="0" w:space="0" w:color="auto"/>
            </w:tcBorders>
            <w:vAlign w:val="bottom"/>
          </w:tcPr>
          <w:p w:rsidR="00152C31" w:rsidRPr="007C2D51" w:rsidRDefault="00152C31" w:rsidP="00B605DB">
            <w:pPr>
              <w:jc w:val="right"/>
              <w:cnfStyle w:val="000000100000"/>
              <w:rPr>
                <w:rFonts w:cs="Calibri"/>
                <w:color w:val="000000"/>
              </w:rPr>
            </w:pPr>
            <w:r w:rsidRPr="007C2D51">
              <w:rPr>
                <w:rFonts w:cs="Calibri"/>
                <w:color w:val="000000"/>
              </w:rPr>
              <w:t>9</w:t>
            </w:r>
          </w:p>
        </w:tc>
        <w:tc>
          <w:tcPr>
            <w:tcW w:w="1440" w:type="dxa"/>
            <w:tcBorders>
              <w:top w:val="none" w:sz="0" w:space="0" w:color="auto"/>
              <w:bottom w:val="none" w:sz="0" w:space="0" w:color="auto"/>
              <w:right w:val="none" w:sz="0" w:space="0" w:color="auto"/>
            </w:tcBorders>
            <w:noWrap/>
            <w:vAlign w:val="bottom"/>
          </w:tcPr>
          <w:p w:rsidR="00152C31" w:rsidRPr="007C2D51" w:rsidRDefault="00152C31" w:rsidP="00B605DB">
            <w:pPr>
              <w:jc w:val="right"/>
              <w:cnfStyle w:val="000000100000"/>
              <w:rPr>
                <w:rFonts w:cs="Calibri"/>
                <w:color w:val="000000"/>
              </w:rPr>
            </w:pPr>
            <w:r w:rsidRPr="007C2D51">
              <w:rPr>
                <w:rFonts w:cs="Calibri"/>
                <w:color w:val="000000"/>
              </w:rPr>
              <w:t>1%</w:t>
            </w:r>
          </w:p>
        </w:tc>
      </w:tr>
      <w:tr w:rsidR="00152C31" w:rsidRPr="007C2D51">
        <w:trPr>
          <w:trHeight w:val="315"/>
        </w:trPr>
        <w:tc>
          <w:tcPr>
            <w:cnfStyle w:val="001000000000"/>
            <w:tcW w:w="3639" w:type="dxa"/>
            <w:noWrap/>
            <w:vAlign w:val="bottom"/>
          </w:tcPr>
          <w:p w:rsidR="00152C31" w:rsidRPr="007C2D51" w:rsidRDefault="00152C31" w:rsidP="00B605DB">
            <w:r w:rsidRPr="007C2D51">
              <w:t>Trip/itinerary planning</w:t>
            </w:r>
          </w:p>
        </w:tc>
        <w:tc>
          <w:tcPr>
            <w:tcW w:w="1440" w:type="dxa"/>
            <w:vAlign w:val="bottom"/>
          </w:tcPr>
          <w:p w:rsidR="00152C31" w:rsidRPr="007C2D51" w:rsidRDefault="00152C31" w:rsidP="00B605DB">
            <w:pPr>
              <w:jc w:val="right"/>
              <w:cnfStyle w:val="000000000000"/>
              <w:rPr>
                <w:rFonts w:cs="Calibri"/>
                <w:color w:val="000000"/>
              </w:rPr>
            </w:pPr>
            <w:r w:rsidRPr="007C2D51">
              <w:rPr>
                <w:rFonts w:cs="Calibri"/>
                <w:color w:val="000000"/>
              </w:rPr>
              <w:t>5</w:t>
            </w:r>
          </w:p>
        </w:tc>
        <w:tc>
          <w:tcPr>
            <w:tcW w:w="1440" w:type="dxa"/>
            <w:noWrap/>
            <w:vAlign w:val="bottom"/>
          </w:tcPr>
          <w:p w:rsidR="00152C31" w:rsidRPr="007C2D51" w:rsidRDefault="00152C31" w:rsidP="00B605DB">
            <w:pPr>
              <w:jc w:val="right"/>
              <w:cnfStyle w:val="000000000000"/>
              <w:rPr>
                <w:rFonts w:cs="Calibri"/>
                <w:color w:val="000000"/>
              </w:rPr>
            </w:pPr>
            <w:r w:rsidRPr="007C2D51">
              <w:rPr>
                <w:rFonts w:cs="Calibri"/>
                <w:color w:val="000000"/>
              </w:rPr>
              <w:t>0%</w:t>
            </w:r>
          </w:p>
        </w:tc>
      </w:tr>
      <w:tr w:rsidR="00152C31" w:rsidRPr="007C2D51" w:rsidTr="00E218F6">
        <w:trPr>
          <w:cnfStyle w:val="000000100000"/>
          <w:trHeight w:val="300"/>
        </w:trPr>
        <w:tc>
          <w:tcPr>
            <w:cnfStyle w:val="001000000000"/>
            <w:tcW w:w="3639" w:type="dxa"/>
            <w:tcBorders>
              <w:top w:val="none" w:sz="0" w:space="0" w:color="auto"/>
              <w:left w:val="none" w:sz="0" w:space="0" w:color="auto"/>
              <w:bottom w:val="none" w:sz="0" w:space="0" w:color="auto"/>
            </w:tcBorders>
            <w:noWrap/>
            <w:vAlign w:val="bottom"/>
          </w:tcPr>
          <w:p w:rsidR="00152C31" w:rsidRPr="007C2D51" w:rsidRDefault="00152C31" w:rsidP="00B605DB">
            <w:r w:rsidRPr="007C2D51">
              <w:t>Internet-based information</w:t>
            </w:r>
          </w:p>
        </w:tc>
        <w:tc>
          <w:tcPr>
            <w:tcW w:w="1440" w:type="dxa"/>
            <w:tcBorders>
              <w:top w:val="none" w:sz="0" w:space="0" w:color="auto"/>
              <w:bottom w:val="none" w:sz="0" w:space="0" w:color="auto"/>
            </w:tcBorders>
            <w:vAlign w:val="bottom"/>
          </w:tcPr>
          <w:p w:rsidR="00152C31" w:rsidRPr="007C2D51" w:rsidRDefault="00152C31" w:rsidP="00B605DB">
            <w:pPr>
              <w:jc w:val="right"/>
              <w:cnfStyle w:val="000000100000"/>
              <w:rPr>
                <w:rFonts w:cs="Calibri"/>
                <w:color w:val="000000"/>
              </w:rPr>
            </w:pPr>
            <w:r w:rsidRPr="007C2D51">
              <w:rPr>
                <w:rFonts w:cs="Calibri"/>
                <w:color w:val="000000"/>
              </w:rPr>
              <w:t>3</w:t>
            </w:r>
          </w:p>
        </w:tc>
        <w:tc>
          <w:tcPr>
            <w:tcW w:w="1440" w:type="dxa"/>
            <w:tcBorders>
              <w:top w:val="none" w:sz="0" w:space="0" w:color="auto"/>
              <w:bottom w:val="none" w:sz="0" w:space="0" w:color="auto"/>
              <w:right w:val="none" w:sz="0" w:space="0" w:color="auto"/>
            </w:tcBorders>
            <w:noWrap/>
            <w:vAlign w:val="bottom"/>
          </w:tcPr>
          <w:p w:rsidR="00152C31" w:rsidRPr="007C2D51" w:rsidRDefault="00152C31" w:rsidP="00B605DB">
            <w:pPr>
              <w:jc w:val="right"/>
              <w:cnfStyle w:val="000000100000"/>
              <w:rPr>
                <w:rFonts w:cs="Calibri"/>
                <w:color w:val="000000"/>
              </w:rPr>
            </w:pPr>
            <w:r w:rsidRPr="007C2D51">
              <w:rPr>
                <w:rFonts w:cs="Calibri"/>
                <w:color w:val="000000"/>
              </w:rPr>
              <w:t>0%</w:t>
            </w:r>
          </w:p>
        </w:tc>
      </w:tr>
      <w:tr w:rsidR="00D81A8F" w:rsidRPr="007C2D51">
        <w:trPr>
          <w:trHeight w:val="300"/>
        </w:trPr>
        <w:tc>
          <w:tcPr>
            <w:cnfStyle w:val="001000000000"/>
            <w:tcW w:w="3639" w:type="dxa"/>
            <w:shd w:val="clear" w:color="auto" w:fill="475A8D" w:themeFill="accent6"/>
            <w:noWrap/>
            <w:vAlign w:val="bottom"/>
          </w:tcPr>
          <w:p w:rsidR="00D81A8F" w:rsidRPr="007C2D51" w:rsidRDefault="00D81A8F" w:rsidP="00B605DB">
            <w:pPr>
              <w:rPr>
                <w:color w:val="FFFFFF" w:themeColor="background1"/>
              </w:rPr>
            </w:pPr>
            <w:r w:rsidRPr="007C2D51">
              <w:rPr>
                <w:color w:val="FFFFFF" w:themeColor="background1"/>
              </w:rPr>
              <w:t>Capital Investment Projects</w:t>
            </w:r>
          </w:p>
        </w:tc>
        <w:tc>
          <w:tcPr>
            <w:tcW w:w="1440" w:type="dxa"/>
            <w:shd w:val="clear" w:color="auto" w:fill="475A8D" w:themeFill="accent6"/>
            <w:vAlign w:val="bottom"/>
          </w:tcPr>
          <w:p w:rsidR="00D81A8F" w:rsidRPr="007C2D51" w:rsidRDefault="00D81A8F" w:rsidP="00B605DB">
            <w:pPr>
              <w:jc w:val="right"/>
              <w:cnfStyle w:val="000000000000"/>
              <w:rPr>
                <w:rFonts w:cs="Calibri"/>
                <w:b/>
                <w:bCs/>
                <w:color w:val="FFFFFF" w:themeColor="background1"/>
              </w:rPr>
            </w:pPr>
            <w:r w:rsidRPr="007C2D51">
              <w:rPr>
                <w:rFonts w:cs="Calibri"/>
                <w:b/>
                <w:bCs/>
                <w:color w:val="FFFFFF" w:themeColor="background1"/>
              </w:rPr>
              <w:t>83</w:t>
            </w:r>
          </w:p>
        </w:tc>
        <w:tc>
          <w:tcPr>
            <w:tcW w:w="1440" w:type="dxa"/>
            <w:shd w:val="clear" w:color="auto" w:fill="475A8D" w:themeFill="accent6"/>
            <w:noWrap/>
            <w:vAlign w:val="bottom"/>
          </w:tcPr>
          <w:p w:rsidR="00D81A8F" w:rsidRPr="007C2D51" w:rsidRDefault="00D81A8F" w:rsidP="00B605DB">
            <w:pPr>
              <w:jc w:val="right"/>
              <w:cnfStyle w:val="000000000000"/>
              <w:rPr>
                <w:rFonts w:cs="Calibri"/>
                <w:b/>
                <w:bCs/>
                <w:color w:val="FFFFFF" w:themeColor="background1"/>
              </w:rPr>
            </w:pPr>
            <w:r w:rsidRPr="007C2D51">
              <w:rPr>
                <w:rFonts w:cs="Calibri"/>
                <w:b/>
                <w:bCs/>
                <w:color w:val="FFFFFF" w:themeColor="background1"/>
              </w:rPr>
              <w:t>8%</w:t>
            </w:r>
          </w:p>
        </w:tc>
      </w:tr>
      <w:tr w:rsidR="00D81A8F" w:rsidRPr="007C2D51" w:rsidTr="00E218F6">
        <w:trPr>
          <w:cnfStyle w:val="000000100000"/>
          <w:trHeight w:val="300"/>
        </w:trPr>
        <w:tc>
          <w:tcPr>
            <w:cnfStyle w:val="001000000000"/>
            <w:tcW w:w="3639" w:type="dxa"/>
            <w:tcBorders>
              <w:top w:val="none" w:sz="0" w:space="0" w:color="auto"/>
              <w:left w:val="none" w:sz="0" w:space="0" w:color="auto"/>
              <w:bottom w:val="none" w:sz="0" w:space="0" w:color="auto"/>
            </w:tcBorders>
            <w:noWrap/>
            <w:vAlign w:val="bottom"/>
          </w:tcPr>
          <w:p w:rsidR="00D81A8F" w:rsidRPr="007C2D51" w:rsidRDefault="00D81A8F" w:rsidP="00B605DB">
            <w:r w:rsidRPr="007C2D51">
              <w:t>Vehicle for agency</w:t>
            </w:r>
          </w:p>
        </w:tc>
        <w:tc>
          <w:tcPr>
            <w:tcW w:w="1440" w:type="dxa"/>
            <w:tcBorders>
              <w:top w:val="none" w:sz="0" w:space="0" w:color="auto"/>
              <w:bottom w:val="none" w:sz="0" w:space="0" w:color="auto"/>
            </w:tcBorders>
            <w:vAlign w:val="bottom"/>
          </w:tcPr>
          <w:p w:rsidR="00D81A8F" w:rsidRPr="007C2D51" w:rsidRDefault="00D81A8F" w:rsidP="00B605DB">
            <w:pPr>
              <w:jc w:val="right"/>
              <w:cnfStyle w:val="000000100000"/>
              <w:rPr>
                <w:rFonts w:cs="Calibri"/>
                <w:color w:val="000000"/>
              </w:rPr>
            </w:pPr>
            <w:r w:rsidRPr="007C2D51">
              <w:rPr>
                <w:rFonts w:cs="Calibri"/>
                <w:color w:val="000000"/>
              </w:rPr>
              <w:t>32</w:t>
            </w:r>
          </w:p>
        </w:tc>
        <w:tc>
          <w:tcPr>
            <w:tcW w:w="1440" w:type="dxa"/>
            <w:tcBorders>
              <w:top w:val="none" w:sz="0" w:space="0" w:color="auto"/>
              <w:bottom w:val="none" w:sz="0" w:space="0" w:color="auto"/>
              <w:right w:val="none" w:sz="0" w:space="0" w:color="auto"/>
            </w:tcBorders>
            <w:noWrap/>
            <w:vAlign w:val="bottom"/>
          </w:tcPr>
          <w:p w:rsidR="00D81A8F" w:rsidRPr="007C2D51" w:rsidRDefault="00D81A8F" w:rsidP="00B605DB">
            <w:pPr>
              <w:jc w:val="right"/>
              <w:cnfStyle w:val="000000100000"/>
              <w:rPr>
                <w:rFonts w:cs="Calibri"/>
                <w:color w:val="000000"/>
              </w:rPr>
            </w:pPr>
            <w:r w:rsidRPr="007C2D51">
              <w:rPr>
                <w:rFonts w:cs="Calibri"/>
                <w:color w:val="000000"/>
              </w:rPr>
              <w:t>3%</w:t>
            </w:r>
          </w:p>
        </w:tc>
      </w:tr>
      <w:tr w:rsidR="00D81A8F" w:rsidRPr="007C2D51">
        <w:trPr>
          <w:trHeight w:val="300"/>
        </w:trPr>
        <w:tc>
          <w:tcPr>
            <w:cnfStyle w:val="001000000000"/>
            <w:tcW w:w="3639" w:type="dxa"/>
            <w:noWrap/>
            <w:vAlign w:val="bottom"/>
          </w:tcPr>
          <w:p w:rsidR="00D81A8F" w:rsidRPr="007C2D51" w:rsidRDefault="00D81A8F" w:rsidP="00B605DB">
            <w:r w:rsidRPr="007C2D51">
              <w:t>Vehicle for individual</w:t>
            </w:r>
          </w:p>
        </w:tc>
        <w:tc>
          <w:tcPr>
            <w:tcW w:w="1440" w:type="dxa"/>
            <w:vAlign w:val="bottom"/>
          </w:tcPr>
          <w:p w:rsidR="00D81A8F" w:rsidRPr="007C2D51" w:rsidRDefault="00D81A8F" w:rsidP="00B605DB">
            <w:pPr>
              <w:jc w:val="right"/>
              <w:cnfStyle w:val="000000000000"/>
              <w:rPr>
                <w:rFonts w:cs="Calibri"/>
                <w:color w:val="000000"/>
              </w:rPr>
            </w:pPr>
            <w:r w:rsidRPr="007C2D51">
              <w:rPr>
                <w:rFonts w:cs="Calibri"/>
                <w:color w:val="000000"/>
              </w:rPr>
              <w:t>31</w:t>
            </w:r>
          </w:p>
        </w:tc>
        <w:tc>
          <w:tcPr>
            <w:tcW w:w="1440" w:type="dxa"/>
            <w:noWrap/>
            <w:vAlign w:val="bottom"/>
          </w:tcPr>
          <w:p w:rsidR="00D81A8F" w:rsidRPr="007C2D51" w:rsidRDefault="00D81A8F" w:rsidP="00B605DB">
            <w:pPr>
              <w:jc w:val="right"/>
              <w:cnfStyle w:val="000000000000"/>
              <w:rPr>
                <w:rFonts w:cs="Calibri"/>
                <w:color w:val="000000"/>
              </w:rPr>
            </w:pPr>
            <w:r w:rsidRPr="007C2D51">
              <w:rPr>
                <w:rFonts w:cs="Calibri"/>
                <w:color w:val="000000"/>
              </w:rPr>
              <w:t>3%</w:t>
            </w:r>
          </w:p>
        </w:tc>
      </w:tr>
      <w:tr w:rsidR="00D81A8F" w:rsidRPr="007C2D51" w:rsidTr="00E218F6">
        <w:trPr>
          <w:cnfStyle w:val="000000100000"/>
          <w:trHeight w:val="300"/>
        </w:trPr>
        <w:tc>
          <w:tcPr>
            <w:cnfStyle w:val="001000000000"/>
            <w:tcW w:w="3639" w:type="dxa"/>
            <w:tcBorders>
              <w:top w:val="none" w:sz="0" w:space="0" w:color="auto"/>
              <w:left w:val="none" w:sz="0" w:space="0" w:color="auto"/>
              <w:bottom w:val="none" w:sz="0" w:space="0" w:color="auto"/>
            </w:tcBorders>
            <w:noWrap/>
            <w:vAlign w:val="bottom"/>
          </w:tcPr>
          <w:p w:rsidR="00D81A8F" w:rsidRPr="007C2D51" w:rsidRDefault="00D81A8F" w:rsidP="00B605DB">
            <w:r w:rsidRPr="007C2D51">
              <w:t>ITS investments</w:t>
            </w:r>
          </w:p>
        </w:tc>
        <w:tc>
          <w:tcPr>
            <w:tcW w:w="1440" w:type="dxa"/>
            <w:tcBorders>
              <w:top w:val="none" w:sz="0" w:space="0" w:color="auto"/>
              <w:bottom w:val="none" w:sz="0" w:space="0" w:color="auto"/>
            </w:tcBorders>
            <w:vAlign w:val="bottom"/>
          </w:tcPr>
          <w:p w:rsidR="00D81A8F" w:rsidRPr="007C2D51" w:rsidRDefault="00D81A8F" w:rsidP="00B605DB">
            <w:pPr>
              <w:jc w:val="right"/>
              <w:cnfStyle w:val="000000100000"/>
              <w:rPr>
                <w:rFonts w:cs="Calibri"/>
                <w:color w:val="000000"/>
              </w:rPr>
            </w:pPr>
            <w:r w:rsidRPr="007C2D51">
              <w:rPr>
                <w:rFonts w:cs="Calibri"/>
                <w:color w:val="000000"/>
              </w:rPr>
              <w:t>12</w:t>
            </w:r>
          </w:p>
        </w:tc>
        <w:tc>
          <w:tcPr>
            <w:tcW w:w="1440" w:type="dxa"/>
            <w:tcBorders>
              <w:top w:val="none" w:sz="0" w:space="0" w:color="auto"/>
              <w:bottom w:val="none" w:sz="0" w:space="0" w:color="auto"/>
              <w:right w:val="none" w:sz="0" w:space="0" w:color="auto"/>
            </w:tcBorders>
            <w:noWrap/>
            <w:vAlign w:val="bottom"/>
          </w:tcPr>
          <w:p w:rsidR="00D81A8F" w:rsidRPr="007C2D51" w:rsidRDefault="00D81A8F" w:rsidP="00B605DB">
            <w:pPr>
              <w:jc w:val="right"/>
              <w:cnfStyle w:val="000000100000"/>
              <w:rPr>
                <w:rFonts w:cs="Calibri"/>
                <w:color w:val="000000"/>
              </w:rPr>
            </w:pPr>
            <w:r w:rsidRPr="007C2D51">
              <w:rPr>
                <w:rFonts w:cs="Calibri"/>
                <w:color w:val="000000"/>
              </w:rPr>
              <w:t>1%</w:t>
            </w:r>
          </w:p>
        </w:tc>
      </w:tr>
      <w:tr w:rsidR="00D81A8F" w:rsidRPr="007C2D51">
        <w:trPr>
          <w:trHeight w:val="300"/>
        </w:trPr>
        <w:tc>
          <w:tcPr>
            <w:cnfStyle w:val="001000000000"/>
            <w:tcW w:w="3639" w:type="dxa"/>
            <w:noWrap/>
            <w:vAlign w:val="bottom"/>
          </w:tcPr>
          <w:p w:rsidR="00D81A8F" w:rsidRPr="007C2D51" w:rsidRDefault="00D81A8F" w:rsidP="00B605DB">
            <w:r w:rsidRPr="007C2D51">
              <w:t>Vanpool vehicles</w:t>
            </w:r>
          </w:p>
        </w:tc>
        <w:tc>
          <w:tcPr>
            <w:tcW w:w="1440" w:type="dxa"/>
            <w:vAlign w:val="bottom"/>
          </w:tcPr>
          <w:p w:rsidR="00D81A8F" w:rsidRPr="007C2D51" w:rsidRDefault="00D81A8F" w:rsidP="00B605DB">
            <w:pPr>
              <w:jc w:val="right"/>
              <w:cnfStyle w:val="000000000000"/>
              <w:rPr>
                <w:rFonts w:cs="Calibri"/>
                <w:color w:val="000000"/>
              </w:rPr>
            </w:pPr>
            <w:r w:rsidRPr="007C2D51">
              <w:rPr>
                <w:rFonts w:cs="Calibri"/>
                <w:color w:val="000000"/>
              </w:rPr>
              <w:t>4</w:t>
            </w:r>
          </w:p>
        </w:tc>
        <w:tc>
          <w:tcPr>
            <w:tcW w:w="1440" w:type="dxa"/>
            <w:noWrap/>
            <w:vAlign w:val="bottom"/>
          </w:tcPr>
          <w:p w:rsidR="00D81A8F" w:rsidRPr="007C2D51" w:rsidRDefault="00D81A8F" w:rsidP="00B605DB">
            <w:pPr>
              <w:jc w:val="right"/>
              <w:cnfStyle w:val="000000000000"/>
              <w:rPr>
                <w:rFonts w:cs="Calibri"/>
                <w:color w:val="000000"/>
              </w:rPr>
            </w:pPr>
            <w:r w:rsidRPr="007C2D51">
              <w:rPr>
                <w:rFonts w:cs="Calibri"/>
                <w:color w:val="000000"/>
              </w:rPr>
              <w:t>0%</w:t>
            </w:r>
          </w:p>
        </w:tc>
      </w:tr>
      <w:tr w:rsidR="00D81A8F" w:rsidRPr="007C2D51" w:rsidTr="00E218F6">
        <w:trPr>
          <w:cnfStyle w:val="000000100000"/>
          <w:trHeight w:val="300"/>
        </w:trPr>
        <w:tc>
          <w:tcPr>
            <w:cnfStyle w:val="001000000000"/>
            <w:tcW w:w="3639" w:type="dxa"/>
            <w:tcBorders>
              <w:top w:val="none" w:sz="0" w:space="0" w:color="auto"/>
              <w:left w:val="none" w:sz="0" w:space="0" w:color="auto"/>
              <w:bottom w:val="none" w:sz="0" w:space="0" w:color="auto"/>
            </w:tcBorders>
            <w:noWrap/>
            <w:vAlign w:val="bottom"/>
          </w:tcPr>
          <w:p w:rsidR="00D81A8F" w:rsidRPr="007C2D51" w:rsidRDefault="00D81A8F" w:rsidP="00B605DB">
            <w:r w:rsidRPr="007C2D51">
              <w:t>Other capital projects</w:t>
            </w:r>
          </w:p>
        </w:tc>
        <w:tc>
          <w:tcPr>
            <w:tcW w:w="1440" w:type="dxa"/>
            <w:tcBorders>
              <w:top w:val="none" w:sz="0" w:space="0" w:color="auto"/>
              <w:bottom w:val="none" w:sz="0" w:space="0" w:color="auto"/>
            </w:tcBorders>
            <w:vAlign w:val="bottom"/>
          </w:tcPr>
          <w:p w:rsidR="00D81A8F" w:rsidRPr="007C2D51" w:rsidRDefault="00D81A8F" w:rsidP="00B605DB">
            <w:pPr>
              <w:jc w:val="right"/>
              <w:cnfStyle w:val="000000100000"/>
              <w:rPr>
                <w:rFonts w:cs="Calibri"/>
                <w:color w:val="000000"/>
              </w:rPr>
            </w:pPr>
            <w:r w:rsidRPr="007C2D51">
              <w:rPr>
                <w:rFonts w:cs="Calibri"/>
                <w:color w:val="000000"/>
              </w:rPr>
              <w:t>3</w:t>
            </w:r>
          </w:p>
        </w:tc>
        <w:tc>
          <w:tcPr>
            <w:tcW w:w="1440" w:type="dxa"/>
            <w:tcBorders>
              <w:top w:val="none" w:sz="0" w:space="0" w:color="auto"/>
              <w:bottom w:val="none" w:sz="0" w:space="0" w:color="auto"/>
              <w:right w:val="none" w:sz="0" w:space="0" w:color="auto"/>
            </w:tcBorders>
            <w:noWrap/>
            <w:vAlign w:val="bottom"/>
          </w:tcPr>
          <w:p w:rsidR="00D81A8F" w:rsidRPr="007C2D51" w:rsidRDefault="00D81A8F" w:rsidP="00B605DB">
            <w:pPr>
              <w:jc w:val="right"/>
              <w:cnfStyle w:val="000000100000"/>
              <w:rPr>
                <w:rFonts w:cs="Calibri"/>
                <w:color w:val="000000"/>
              </w:rPr>
            </w:pPr>
            <w:r w:rsidRPr="007C2D51">
              <w:rPr>
                <w:rFonts w:cs="Calibri"/>
                <w:color w:val="000000"/>
              </w:rPr>
              <w:t>0%</w:t>
            </w:r>
          </w:p>
        </w:tc>
      </w:tr>
      <w:tr w:rsidR="00D81A8F" w:rsidRPr="007C2D51">
        <w:trPr>
          <w:trHeight w:val="300"/>
        </w:trPr>
        <w:tc>
          <w:tcPr>
            <w:cnfStyle w:val="001000000000"/>
            <w:tcW w:w="3639" w:type="dxa"/>
            <w:noWrap/>
            <w:vAlign w:val="bottom"/>
          </w:tcPr>
          <w:p w:rsidR="00D81A8F" w:rsidRPr="007C2D51" w:rsidRDefault="00D81A8F" w:rsidP="00B605DB">
            <w:r w:rsidRPr="007C2D51">
              <w:t>Car-sharing</w:t>
            </w:r>
          </w:p>
        </w:tc>
        <w:tc>
          <w:tcPr>
            <w:tcW w:w="1440" w:type="dxa"/>
            <w:vAlign w:val="bottom"/>
          </w:tcPr>
          <w:p w:rsidR="00D81A8F" w:rsidRPr="007C2D51" w:rsidRDefault="00D81A8F" w:rsidP="00B605DB">
            <w:pPr>
              <w:jc w:val="right"/>
              <w:cnfStyle w:val="000000000000"/>
              <w:rPr>
                <w:rFonts w:cs="Calibri"/>
                <w:color w:val="000000"/>
              </w:rPr>
            </w:pPr>
            <w:r w:rsidRPr="007C2D51">
              <w:rPr>
                <w:rFonts w:cs="Calibri"/>
                <w:color w:val="000000"/>
              </w:rPr>
              <w:t>1</w:t>
            </w:r>
          </w:p>
        </w:tc>
        <w:tc>
          <w:tcPr>
            <w:tcW w:w="1440" w:type="dxa"/>
            <w:noWrap/>
            <w:vAlign w:val="bottom"/>
          </w:tcPr>
          <w:p w:rsidR="00D81A8F" w:rsidRPr="007C2D51" w:rsidRDefault="00D81A8F" w:rsidP="00B605DB">
            <w:pPr>
              <w:jc w:val="right"/>
              <w:cnfStyle w:val="000000000000"/>
              <w:rPr>
                <w:rFonts w:cs="Calibri"/>
                <w:color w:val="000000"/>
              </w:rPr>
            </w:pPr>
            <w:r w:rsidRPr="007C2D51">
              <w:rPr>
                <w:rFonts w:cs="Calibri"/>
                <w:color w:val="000000"/>
              </w:rPr>
              <w:t>0%</w:t>
            </w:r>
          </w:p>
        </w:tc>
      </w:tr>
      <w:tr w:rsidR="00D81A8F" w:rsidRPr="007C2D51" w:rsidTr="00E218F6">
        <w:trPr>
          <w:cnfStyle w:val="000000100000"/>
          <w:trHeight w:val="300"/>
        </w:trPr>
        <w:tc>
          <w:tcPr>
            <w:cnfStyle w:val="001000000000"/>
            <w:tcW w:w="3639" w:type="dxa"/>
            <w:tcBorders>
              <w:top w:val="none" w:sz="0" w:space="0" w:color="auto"/>
              <w:left w:val="none" w:sz="0" w:space="0" w:color="auto"/>
              <w:bottom w:val="none" w:sz="0" w:space="0" w:color="auto"/>
            </w:tcBorders>
            <w:shd w:val="clear" w:color="auto" w:fill="475A8D" w:themeFill="accent6"/>
            <w:noWrap/>
            <w:vAlign w:val="bottom"/>
          </w:tcPr>
          <w:p w:rsidR="00D81A8F" w:rsidRPr="007C2D51" w:rsidRDefault="00D81A8F" w:rsidP="00B605DB">
            <w:pPr>
              <w:rPr>
                <w:color w:val="FFFFFF" w:themeColor="background1"/>
              </w:rPr>
            </w:pPr>
            <w:r w:rsidRPr="007C2D51">
              <w:rPr>
                <w:color w:val="FFFFFF" w:themeColor="background1"/>
              </w:rPr>
              <w:t>Planning Projects</w:t>
            </w:r>
          </w:p>
        </w:tc>
        <w:tc>
          <w:tcPr>
            <w:tcW w:w="1440" w:type="dxa"/>
            <w:tcBorders>
              <w:top w:val="none" w:sz="0" w:space="0" w:color="auto"/>
              <w:bottom w:val="none" w:sz="0" w:space="0" w:color="auto"/>
            </w:tcBorders>
            <w:shd w:val="clear" w:color="auto" w:fill="475A8D" w:themeFill="accent6"/>
            <w:vAlign w:val="bottom"/>
          </w:tcPr>
          <w:p w:rsidR="00D81A8F" w:rsidRPr="007C2D51" w:rsidRDefault="00D81A8F" w:rsidP="00B605DB">
            <w:pPr>
              <w:jc w:val="right"/>
              <w:cnfStyle w:val="000000100000"/>
              <w:rPr>
                <w:rFonts w:cs="Calibri"/>
                <w:b/>
                <w:color w:val="FFFFFF" w:themeColor="background1"/>
              </w:rPr>
            </w:pPr>
            <w:r w:rsidRPr="007C2D51">
              <w:rPr>
                <w:rFonts w:cs="Calibri"/>
                <w:b/>
                <w:color w:val="FFFFFF" w:themeColor="background1"/>
              </w:rPr>
              <w:t>11</w:t>
            </w:r>
          </w:p>
        </w:tc>
        <w:tc>
          <w:tcPr>
            <w:tcW w:w="1440" w:type="dxa"/>
            <w:tcBorders>
              <w:top w:val="none" w:sz="0" w:space="0" w:color="auto"/>
              <w:bottom w:val="none" w:sz="0" w:space="0" w:color="auto"/>
              <w:right w:val="none" w:sz="0" w:space="0" w:color="auto"/>
            </w:tcBorders>
            <w:shd w:val="clear" w:color="auto" w:fill="475A8D" w:themeFill="accent6"/>
            <w:noWrap/>
            <w:vAlign w:val="bottom"/>
          </w:tcPr>
          <w:p w:rsidR="00D81A8F" w:rsidRPr="007C2D51" w:rsidRDefault="00D81A8F" w:rsidP="00B605DB">
            <w:pPr>
              <w:jc w:val="right"/>
              <w:cnfStyle w:val="000000100000"/>
              <w:rPr>
                <w:rFonts w:cs="Calibri"/>
                <w:b/>
                <w:color w:val="FFFFFF" w:themeColor="background1"/>
              </w:rPr>
            </w:pPr>
            <w:r w:rsidRPr="007C2D51">
              <w:rPr>
                <w:rFonts w:cs="Calibri"/>
                <w:b/>
                <w:color w:val="FFFFFF" w:themeColor="background1"/>
              </w:rPr>
              <w:t>1%</w:t>
            </w:r>
          </w:p>
        </w:tc>
      </w:tr>
      <w:tr w:rsidR="00D81A8F" w:rsidRPr="007C2D51">
        <w:trPr>
          <w:trHeight w:val="300"/>
        </w:trPr>
        <w:tc>
          <w:tcPr>
            <w:cnfStyle w:val="001000000000"/>
            <w:tcW w:w="3639" w:type="dxa"/>
            <w:noWrap/>
            <w:vAlign w:val="bottom"/>
          </w:tcPr>
          <w:p w:rsidR="00D81A8F" w:rsidRPr="007C2D51" w:rsidRDefault="00D81A8F" w:rsidP="00B605DB">
            <w:r w:rsidRPr="007C2D51">
              <w:t>Feasibility studies</w:t>
            </w:r>
          </w:p>
        </w:tc>
        <w:tc>
          <w:tcPr>
            <w:tcW w:w="1440" w:type="dxa"/>
            <w:vAlign w:val="bottom"/>
          </w:tcPr>
          <w:p w:rsidR="00D81A8F" w:rsidRPr="007C2D51" w:rsidRDefault="00D81A8F" w:rsidP="00B605DB">
            <w:pPr>
              <w:jc w:val="right"/>
              <w:cnfStyle w:val="000000000000"/>
              <w:rPr>
                <w:rFonts w:cs="Calibri"/>
                <w:color w:val="000000"/>
              </w:rPr>
            </w:pPr>
            <w:r w:rsidRPr="007C2D51">
              <w:rPr>
                <w:rFonts w:cs="Calibri"/>
                <w:color w:val="000000"/>
              </w:rPr>
              <w:t>11</w:t>
            </w:r>
          </w:p>
        </w:tc>
        <w:tc>
          <w:tcPr>
            <w:tcW w:w="1440" w:type="dxa"/>
            <w:noWrap/>
            <w:vAlign w:val="bottom"/>
          </w:tcPr>
          <w:p w:rsidR="00D81A8F" w:rsidRPr="007C2D51" w:rsidRDefault="00D81A8F" w:rsidP="00B605DB">
            <w:pPr>
              <w:jc w:val="right"/>
              <w:cnfStyle w:val="000000000000"/>
              <w:rPr>
                <w:rFonts w:cs="Calibri"/>
                <w:color w:val="000000"/>
              </w:rPr>
            </w:pPr>
            <w:r w:rsidRPr="007C2D51">
              <w:rPr>
                <w:rFonts w:cs="Calibri"/>
                <w:color w:val="000000"/>
              </w:rPr>
              <w:t>1%</w:t>
            </w:r>
          </w:p>
        </w:tc>
      </w:tr>
      <w:tr w:rsidR="00D81A8F" w:rsidRPr="007C2D51" w:rsidTr="00E218F6">
        <w:trPr>
          <w:cnfStyle w:val="000000100000"/>
          <w:trHeight w:val="300"/>
        </w:trPr>
        <w:tc>
          <w:tcPr>
            <w:cnfStyle w:val="001000000000"/>
            <w:tcW w:w="3639" w:type="dxa"/>
            <w:tcBorders>
              <w:top w:val="none" w:sz="0" w:space="0" w:color="auto"/>
              <w:left w:val="none" w:sz="0" w:space="0" w:color="auto"/>
              <w:bottom w:val="none" w:sz="0" w:space="0" w:color="auto"/>
            </w:tcBorders>
            <w:shd w:val="clear" w:color="auto" w:fill="475A8D" w:themeFill="accent6"/>
            <w:noWrap/>
            <w:vAlign w:val="bottom"/>
          </w:tcPr>
          <w:p w:rsidR="00D81A8F" w:rsidRPr="007C2D51" w:rsidRDefault="00D81A8F" w:rsidP="00B605DB">
            <w:pPr>
              <w:rPr>
                <w:color w:val="FFFFFF" w:themeColor="background1"/>
              </w:rPr>
            </w:pPr>
            <w:r w:rsidRPr="007C2D51">
              <w:rPr>
                <w:color w:val="FFFFFF" w:themeColor="background1"/>
              </w:rPr>
              <w:t>Total</w:t>
            </w:r>
          </w:p>
        </w:tc>
        <w:tc>
          <w:tcPr>
            <w:tcW w:w="1440" w:type="dxa"/>
            <w:tcBorders>
              <w:top w:val="none" w:sz="0" w:space="0" w:color="auto"/>
              <w:bottom w:val="none" w:sz="0" w:space="0" w:color="auto"/>
            </w:tcBorders>
            <w:shd w:val="clear" w:color="auto" w:fill="475A8D" w:themeFill="accent6"/>
            <w:vAlign w:val="bottom"/>
          </w:tcPr>
          <w:p w:rsidR="00D81A8F" w:rsidRPr="007C2D51" w:rsidRDefault="00D81A8F" w:rsidP="00B605DB">
            <w:pPr>
              <w:jc w:val="right"/>
              <w:cnfStyle w:val="000000100000"/>
              <w:rPr>
                <w:rFonts w:cs="Calibri"/>
                <w:b/>
                <w:bCs/>
                <w:color w:val="FFFFFF" w:themeColor="background1"/>
              </w:rPr>
            </w:pPr>
            <w:r w:rsidRPr="007C2D51">
              <w:rPr>
                <w:rFonts w:cs="Calibri"/>
                <w:b/>
                <w:bCs/>
                <w:color w:val="FFFFFF" w:themeColor="background1"/>
              </w:rPr>
              <w:t>1027</w:t>
            </w:r>
          </w:p>
        </w:tc>
        <w:tc>
          <w:tcPr>
            <w:tcW w:w="1440" w:type="dxa"/>
            <w:tcBorders>
              <w:top w:val="none" w:sz="0" w:space="0" w:color="auto"/>
              <w:bottom w:val="none" w:sz="0" w:space="0" w:color="auto"/>
              <w:right w:val="none" w:sz="0" w:space="0" w:color="auto"/>
            </w:tcBorders>
            <w:shd w:val="clear" w:color="auto" w:fill="475A8D" w:themeFill="accent6"/>
            <w:noWrap/>
            <w:vAlign w:val="bottom"/>
          </w:tcPr>
          <w:p w:rsidR="00D81A8F" w:rsidRPr="007C2D51" w:rsidRDefault="00D81A8F" w:rsidP="00B605DB">
            <w:pPr>
              <w:jc w:val="right"/>
              <w:cnfStyle w:val="000000100000"/>
              <w:rPr>
                <w:rFonts w:cs="Calibri"/>
                <w:b/>
                <w:bCs/>
                <w:color w:val="FFFFFF" w:themeColor="background1"/>
              </w:rPr>
            </w:pPr>
            <w:r w:rsidRPr="007C2D51">
              <w:rPr>
                <w:rFonts w:cs="Calibri"/>
                <w:b/>
                <w:bCs/>
                <w:color w:val="FFFFFF" w:themeColor="background1"/>
              </w:rPr>
              <w:t>100%</w:t>
            </w:r>
          </w:p>
        </w:tc>
      </w:tr>
    </w:tbl>
    <w:p w:rsidR="00387A44" w:rsidRPr="007C2D51" w:rsidRDefault="00387A44">
      <w:r w:rsidRPr="007C2D51">
        <w:br w:type="page"/>
      </w:r>
    </w:p>
    <w:p w:rsidR="00A921AA" w:rsidRPr="007C2D51" w:rsidRDefault="00F36975" w:rsidP="0009713B">
      <w:pPr>
        <w:pStyle w:val="NoSpacing"/>
      </w:pPr>
      <w:r w:rsidRPr="007C2D51">
        <w:rPr>
          <w:noProof/>
          <w:lang w:eastAsia="en-US"/>
        </w:rPr>
        <w:lastRenderedPageBreak/>
        <w:drawing>
          <wp:anchor distT="0" distB="0" distL="114300" distR="114300" simplePos="0" relativeHeight="251725824" behindDoc="0" locked="0" layoutInCell="1" allowOverlap="1">
            <wp:simplePos x="0" y="0"/>
            <wp:positionH relativeFrom="margin">
              <wp:align>center</wp:align>
            </wp:positionH>
            <wp:positionV relativeFrom="paragraph">
              <wp:posOffset>57150</wp:posOffset>
            </wp:positionV>
            <wp:extent cx="5429250" cy="3790950"/>
            <wp:effectExtent l="0" t="0" r="0" b="0"/>
            <wp:wrapTopAndBottom/>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rsidR="00A921AA" w:rsidRPr="007C2D51" w:rsidRDefault="0009713B" w:rsidP="0009713B">
      <w:pPr>
        <w:pStyle w:val="Caption"/>
      </w:pPr>
      <w:bookmarkStart w:id="61" w:name="_Toc242773524"/>
      <w:bookmarkStart w:id="62" w:name="_Toc242791648"/>
      <w:bookmarkStart w:id="63" w:name="_Toc242869950"/>
      <w:bookmarkStart w:id="64" w:name="_Toc244658150"/>
      <w:bookmarkStart w:id="65" w:name="_Toc244658273"/>
      <w:bookmarkStart w:id="66" w:name="_Toc304967484"/>
      <w:r w:rsidRPr="007C2D51">
        <w:t xml:space="preserve">Figure </w:t>
      </w:r>
      <w:fldSimple w:instr=" STYLEREF 1 \s ">
        <w:r w:rsidR="00F35ACC">
          <w:rPr>
            <w:noProof/>
          </w:rPr>
          <w:t>3</w:t>
        </w:r>
      </w:fldSimple>
      <w:r w:rsidRPr="007C2D51">
        <w:noBreakHyphen/>
      </w:r>
      <w:fldSimple w:instr=" SEQ Figure \* ARABIC \s 1 ">
        <w:r w:rsidR="00F35ACC">
          <w:rPr>
            <w:noProof/>
          </w:rPr>
          <w:t>1</w:t>
        </w:r>
      </w:fldSimple>
      <w:r w:rsidR="00A921AA" w:rsidRPr="007C2D51">
        <w:br/>
      </w:r>
      <w:bookmarkEnd w:id="61"/>
      <w:bookmarkEnd w:id="62"/>
      <w:bookmarkEnd w:id="63"/>
      <w:bookmarkEnd w:id="64"/>
      <w:bookmarkEnd w:id="65"/>
      <w:r w:rsidR="009241FF" w:rsidRPr="007C2D51">
        <w:t>JARC Services by Type</w:t>
      </w:r>
      <w:bookmarkEnd w:id="66"/>
    </w:p>
    <w:p w:rsidR="00B37879" w:rsidRPr="007C2D51" w:rsidRDefault="00B37879" w:rsidP="00330E48"/>
    <w:p w:rsidR="007D7437" w:rsidRPr="007C2D51" w:rsidRDefault="00547691" w:rsidP="00CE7C6F">
      <w:pPr>
        <w:pStyle w:val="BodyText"/>
      </w:pPr>
      <w:r w:rsidRPr="007C2D51">
        <w:t>Only five categories of JARC-supported services achieved at least a 5% share</w:t>
      </w:r>
      <w:r w:rsidR="007D7437" w:rsidRPr="007C2D51">
        <w:t>:</w:t>
      </w:r>
    </w:p>
    <w:p w:rsidR="007D7437" w:rsidRPr="007C2D51" w:rsidRDefault="007D7437" w:rsidP="00A777D3">
      <w:pPr>
        <w:pStyle w:val="ListBullet"/>
      </w:pPr>
      <w:r w:rsidRPr="007C2D51">
        <w:t>Fixed route (N=</w:t>
      </w:r>
      <w:r w:rsidR="007F0E96" w:rsidRPr="007C2D51">
        <w:t>397</w:t>
      </w:r>
      <w:r w:rsidRPr="007C2D51">
        <w:t>)</w:t>
      </w:r>
    </w:p>
    <w:p w:rsidR="007D7437" w:rsidRPr="007C2D51" w:rsidRDefault="007D7437" w:rsidP="00A777D3">
      <w:pPr>
        <w:pStyle w:val="ListBullet"/>
      </w:pPr>
      <w:r w:rsidRPr="007C2D51">
        <w:t>Demand response (N=2</w:t>
      </w:r>
      <w:r w:rsidR="005D0432" w:rsidRPr="007C2D51">
        <w:t>3</w:t>
      </w:r>
      <w:r w:rsidR="007F0E96" w:rsidRPr="007C2D51">
        <w:t>7</w:t>
      </w:r>
      <w:r w:rsidRPr="007C2D51">
        <w:t>)</w:t>
      </w:r>
    </w:p>
    <w:p w:rsidR="007F0E96" w:rsidRPr="007C2D51" w:rsidRDefault="007F0E96" w:rsidP="007F0E96">
      <w:pPr>
        <w:pStyle w:val="ListBullet"/>
      </w:pPr>
      <w:r w:rsidRPr="007C2D51">
        <w:t>Mobility manager (N=65)</w:t>
      </w:r>
    </w:p>
    <w:p w:rsidR="007D7437" w:rsidRPr="007C2D51" w:rsidRDefault="007D7437" w:rsidP="00A777D3">
      <w:pPr>
        <w:pStyle w:val="ListBullet"/>
      </w:pPr>
      <w:r w:rsidRPr="007C2D51">
        <w:t>Flexible routing (N=</w:t>
      </w:r>
      <w:r w:rsidR="007F0E96" w:rsidRPr="007C2D51">
        <w:t>61</w:t>
      </w:r>
      <w:r w:rsidRPr="007C2D51">
        <w:t>)</w:t>
      </w:r>
    </w:p>
    <w:p w:rsidR="00AF16EA" w:rsidRPr="007C2D51" w:rsidRDefault="007D7437" w:rsidP="00A777D3">
      <w:pPr>
        <w:pStyle w:val="ListBullet"/>
      </w:pPr>
      <w:r w:rsidRPr="007C2D51">
        <w:t>Shuttle/Feeder (N=</w:t>
      </w:r>
      <w:r w:rsidR="005D0432" w:rsidRPr="007C2D51">
        <w:t>5</w:t>
      </w:r>
      <w:r w:rsidR="007F0E96" w:rsidRPr="007C2D51">
        <w:t>2</w:t>
      </w:r>
      <w:r w:rsidRPr="007C2D51">
        <w:t>)</w:t>
      </w:r>
    </w:p>
    <w:p w:rsidR="00AF16EA" w:rsidRPr="007C2D51" w:rsidRDefault="00547691" w:rsidP="00CE7C6F">
      <w:pPr>
        <w:pStyle w:val="BodyText"/>
      </w:pPr>
      <w:r w:rsidRPr="007C2D51">
        <w:t xml:space="preserve">Together, </w:t>
      </w:r>
      <w:r w:rsidR="00A44E45" w:rsidRPr="007C2D51">
        <w:t>these five</w:t>
      </w:r>
      <w:r w:rsidRPr="007C2D51">
        <w:t xml:space="preserve"> types of JARC services accounted for </w:t>
      </w:r>
      <w:r w:rsidR="005D0432" w:rsidRPr="007C2D51">
        <w:t>79</w:t>
      </w:r>
      <w:r w:rsidRPr="007C2D51">
        <w:t>% of the total services</w:t>
      </w:r>
      <w:r w:rsidR="00CE332B" w:rsidRPr="007C2D51">
        <w:t xml:space="preserve">. </w:t>
      </w:r>
      <w:r w:rsidR="007F0E96" w:rsidRPr="007C2D51">
        <w:t xml:space="preserve">See Figure 3-2. </w:t>
      </w:r>
      <w:r w:rsidR="00CE332B" w:rsidRPr="007C2D51">
        <w:t xml:space="preserve"> </w:t>
      </w:r>
    </w:p>
    <w:p w:rsidR="007F0E96" w:rsidRPr="007C2D51" w:rsidRDefault="007F0E96" w:rsidP="006907C8">
      <w:pPr>
        <w:pStyle w:val="BodyText"/>
      </w:pPr>
      <w:r w:rsidRPr="007C2D51">
        <w:t xml:space="preserve">The JARC program supports a broad array of services tailored to the needs of individual communities.  While traditional </w:t>
      </w:r>
      <w:r w:rsidR="006907C8" w:rsidRPr="007C2D51">
        <w:t xml:space="preserve">trip-based </w:t>
      </w:r>
      <w:r w:rsidRPr="007C2D51">
        <w:t xml:space="preserve">transit services comprise the majority of JARC-funded services, the share of information-based and capital investment programs </w:t>
      </w:r>
      <w:r w:rsidR="006907C8" w:rsidRPr="007C2D51">
        <w:t xml:space="preserve">has steadily increased since FY 2006.   </w:t>
      </w:r>
      <w:r w:rsidRPr="007C2D51">
        <w:t xml:space="preserve">As </w:t>
      </w:r>
      <w:r w:rsidR="006907C8" w:rsidRPr="007C2D51">
        <w:t>Figure 3-3 shows,</w:t>
      </w:r>
      <w:r w:rsidRPr="007C2D51">
        <w:t xml:space="preserve"> services in these categories accounted for 1</w:t>
      </w:r>
      <w:r w:rsidR="006907C8" w:rsidRPr="007C2D51">
        <w:t>5</w:t>
      </w:r>
      <w:r w:rsidRPr="007C2D51">
        <w:t>% of all programs in FY 20</w:t>
      </w:r>
      <w:r w:rsidR="006907C8" w:rsidRPr="007C2D51">
        <w:t>06 but 21% of services in FY 2010</w:t>
      </w:r>
      <w:r w:rsidRPr="007C2D51">
        <w:t xml:space="preserve">.  </w:t>
      </w:r>
      <w:r w:rsidR="006907C8" w:rsidRPr="007C2D51">
        <w:t xml:space="preserve">Note that FY 2010 included a separate category for planning projects for the first time. </w:t>
      </w:r>
    </w:p>
    <w:p w:rsidR="008D653F" w:rsidRPr="007C2D51" w:rsidRDefault="008D653F" w:rsidP="00CE7C6F">
      <w:pPr>
        <w:pStyle w:val="BodyText"/>
      </w:pPr>
      <w:r w:rsidRPr="007C2D51">
        <w:br w:type="page"/>
      </w:r>
    </w:p>
    <w:p w:rsidR="008D653F" w:rsidRPr="007C2D51" w:rsidRDefault="0024599E" w:rsidP="00DD3473">
      <w:pPr>
        <w:pStyle w:val="NoSpacing"/>
      </w:pPr>
      <w:bookmarkStart w:id="67" w:name="_Toc242869873"/>
      <w:bookmarkStart w:id="68" w:name="_Toc244660205"/>
      <w:r w:rsidRPr="007C2D51">
        <w:rPr>
          <w:noProof/>
          <w:lang w:eastAsia="en-US"/>
        </w:rPr>
        <w:lastRenderedPageBreak/>
        <w:drawing>
          <wp:anchor distT="0" distB="0" distL="114300" distR="114300" simplePos="0" relativeHeight="251726848" behindDoc="0" locked="0" layoutInCell="1" allowOverlap="1">
            <wp:simplePos x="0" y="0"/>
            <wp:positionH relativeFrom="margin">
              <wp:align>center</wp:align>
            </wp:positionH>
            <wp:positionV relativeFrom="paragraph">
              <wp:posOffset>0</wp:posOffset>
            </wp:positionV>
            <wp:extent cx="5924550" cy="5819775"/>
            <wp:effectExtent l="0" t="0" r="0" b="0"/>
            <wp:wrapTopAndBottom/>
            <wp:docPr id="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rsidR="00EA1BC5" w:rsidRPr="007C2D51" w:rsidRDefault="00C65488" w:rsidP="00C65488">
      <w:pPr>
        <w:pStyle w:val="Caption"/>
      </w:pPr>
      <w:bookmarkStart w:id="69" w:name="_Toc304967485"/>
      <w:r w:rsidRPr="007C2D51">
        <w:t xml:space="preserve">Figure </w:t>
      </w:r>
      <w:fldSimple w:instr=" STYLEREF 1 \s ">
        <w:r w:rsidR="00F35ACC">
          <w:rPr>
            <w:noProof/>
          </w:rPr>
          <w:t>3</w:t>
        </w:r>
      </w:fldSimple>
      <w:r w:rsidR="0009713B" w:rsidRPr="007C2D51">
        <w:noBreakHyphen/>
      </w:r>
      <w:fldSimple w:instr=" SEQ Figure \* ARABIC \s 1 ">
        <w:r w:rsidR="00F35ACC">
          <w:rPr>
            <w:noProof/>
          </w:rPr>
          <w:t>2</w:t>
        </w:r>
      </w:fldSimple>
      <w:r w:rsidRPr="007C2D51">
        <w:br/>
      </w:r>
      <w:r w:rsidR="009241FF" w:rsidRPr="007C2D51">
        <w:t>JARC Services by Type</w:t>
      </w:r>
      <w:r w:rsidR="000118B0" w:rsidRPr="007C2D51">
        <w:t xml:space="preserve"> </w:t>
      </w:r>
      <w:r w:rsidR="00BD10A2" w:rsidRPr="007C2D51">
        <w:br/>
        <w:t>(Program Detail)</w:t>
      </w:r>
      <w:bookmarkEnd w:id="69"/>
    </w:p>
    <w:p w:rsidR="00CE7C6F" w:rsidRPr="007C2D51" w:rsidRDefault="00CE7C6F" w:rsidP="00CE7C6F">
      <w:pPr>
        <w:pStyle w:val="BodyText"/>
      </w:pPr>
    </w:p>
    <w:p w:rsidR="0033183B" w:rsidRPr="007C2D51" w:rsidRDefault="0033183B">
      <w:pPr>
        <w:rPr>
          <w:rFonts w:eastAsia="Times New Roman" w:cs="Times New Roman"/>
          <w:sz w:val="32"/>
          <w:szCs w:val="32"/>
          <w:lang w:eastAsia="en-US"/>
        </w:rPr>
      </w:pPr>
      <w:r w:rsidRPr="007C2D51">
        <w:rPr>
          <w:sz w:val="32"/>
          <w:szCs w:val="32"/>
        </w:rPr>
        <w:br w:type="page"/>
      </w:r>
    </w:p>
    <w:p w:rsidR="00C4641C" w:rsidRPr="007C2D51" w:rsidRDefault="00F43A14">
      <w:pPr>
        <w:pStyle w:val="Caption"/>
      </w:pPr>
      <w:r w:rsidRPr="007C2D51">
        <w:rPr>
          <w:noProof/>
          <w:color w:val="FFFFFF" w:themeColor="background1"/>
        </w:rPr>
        <w:lastRenderedPageBreak/>
        <w:drawing>
          <wp:anchor distT="0" distB="0" distL="114300" distR="114300" simplePos="0" relativeHeight="251727872" behindDoc="0" locked="0" layoutInCell="1" allowOverlap="1">
            <wp:simplePos x="0" y="0"/>
            <wp:positionH relativeFrom="margin">
              <wp:align>center</wp:align>
            </wp:positionH>
            <wp:positionV relativeFrom="paragraph">
              <wp:posOffset>0</wp:posOffset>
            </wp:positionV>
            <wp:extent cx="5676900" cy="5295900"/>
            <wp:effectExtent l="0" t="0" r="0" b="0"/>
            <wp:wrapTopAndBottom/>
            <wp:docPr id="17"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p w:rsidR="0014246C" w:rsidRPr="007C2D51" w:rsidRDefault="0033183B">
      <w:pPr>
        <w:pStyle w:val="Caption"/>
      </w:pPr>
      <w:bookmarkStart w:id="70" w:name="_Toc304967486"/>
      <w:r w:rsidRPr="007C2D51">
        <w:t xml:space="preserve">Figure </w:t>
      </w:r>
      <w:fldSimple w:instr=" STYLEREF 1 \s ">
        <w:r w:rsidR="00F35ACC">
          <w:rPr>
            <w:noProof/>
          </w:rPr>
          <w:t>3</w:t>
        </w:r>
      </w:fldSimple>
      <w:r w:rsidR="0009713B" w:rsidRPr="007C2D51">
        <w:noBreakHyphen/>
      </w:r>
      <w:fldSimple w:instr=" SEQ Figure \* ARABIC \s 1 ">
        <w:r w:rsidR="00F35ACC">
          <w:rPr>
            <w:noProof/>
          </w:rPr>
          <w:t>3</w:t>
        </w:r>
      </w:fldSimple>
      <w:r w:rsidR="007B7912" w:rsidRPr="007C2D51">
        <w:br/>
      </w:r>
      <w:r w:rsidRPr="007C2D51">
        <w:t>JARC Services by Type</w:t>
      </w:r>
      <w:r w:rsidR="007B7912" w:rsidRPr="007C2D51">
        <w:br/>
      </w:r>
      <w:r w:rsidRPr="007C2D51">
        <w:t xml:space="preserve">FY 2006 – FY </w:t>
      </w:r>
      <w:r w:rsidR="00D56012" w:rsidRPr="007C2D51">
        <w:t>2010</w:t>
      </w:r>
      <w:bookmarkEnd w:id="70"/>
      <w:r w:rsidR="009905BB" w:rsidRPr="007C2D51">
        <w:br w:type="page"/>
      </w:r>
    </w:p>
    <w:p w:rsidR="003B29A0" w:rsidRPr="007C2D51" w:rsidRDefault="003B29A0" w:rsidP="00AB34CA">
      <w:pPr>
        <w:pStyle w:val="Heading2"/>
      </w:pPr>
      <w:bookmarkStart w:id="71" w:name="_Toc304965690"/>
      <w:r w:rsidRPr="007C2D51">
        <w:lastRenderedPageBreak/>
        <w:t>Agency Type</w:t>
      </w:r>
      <w:bookmarkEnd w:id="71"/>
    </w:p>
    <w:p w:rsidR="00D43EF8" w:rsidRPr="007C2D51" w:rsidRDefault="00D97161" w:rsidP="00CE7C6F">
      <w:pPr>
        <w:pStyle w:val="BodyText"/>
      </w:pPr>
      <w:r w:rsidRPr="007C2D51">
        <w:t>As described earlier, several types of agencies are eligible to receive JARC funds</w:t>
      </w:r>
      <w:r w:rsidR="00CE332B" w:rsidRPr="007C2D51">
        <w:t xml:space="preserve">.  </w:t>
      </w:r>
      <w:r w:rsidR="00D43EF8" w:rsidRPr="007C2D51">
        <w:t xml:space="preserve">JARC </w:t>
      </w:r>
      <w:r w:rsidR="00D43EF8" w:rsidRPr="007C2D51">
        <w:rPr>
          <w:b/>
        </w:rPr>
        <w:t>r</w:t>
      </w:r>
      <w:r w:rsidRPr="007C2D51">
        <w:rPr>
          <w:b/>
        </w:rPr>
        <w:t>ecipients</w:t>
      </w:r>
      <w:r w:rsidRPr="007C2D51">
        <w:t xml:space="preserve"> receive funding from FTA through the Section 531</w:t>
      </w:r>
      <w:r w:rsidR="00D43EF8" w:rsidRPr="007C2D51">
        <w:t>6</w:t>
      </w:r>
      <w:r w:rsidRPr="007C2D51">
        <w:t xml:space="preserve"> formula program or, previously</w:t>
      </w:r>
      <w:r w:rsidR="00B07CA9" w:rsidRPr="007C2D51">
        <w:t>,</w:t>
      </w:r>
      <w:r w:rsidRPr="007C2D51">
        <w:t xml:space="preserve"> through </w:t>
      </w:r>
      <w:r w:rsidR="00B07CA9" w:rsidRPr="007C2D51">
        <w:t xml:space="preserve">the </w:t>
      </w:r>
      <w:r w:rsidRPr="007C2D51">
        <w:t>competitive selection or earmark process</w:t>
      </w:r>
      <w:r w:rsidR="00CE332B" w:rsidRPr="007C2D51">
        <w:t xml:space="preserve">.  </w:t>
      </w:r>
      <w:r w:rsidRPr="007C2D51">
        <w:t>Generally recipients are state departments of transportation, transit operators, or metropolitan planning organizations</w:t>
      </w:r>
      <w:r w:rsidR="00CE332B" w:rsidRPr="007C2D51">
        <w:t xml:space="preserve">.  </w:t>
      </w:r>
      <w:r w:rsidR="00D43EF8" w:rsidRPr="007C2D51">
        <w:t xml:space="preserve">Recipients distribute JARC funds to </w:t>
      </w:r>
      <w:r w:rsidR="00D43EF8" w:rsidRPr="007C2D51">
        <w:rPr>
          <w:b/>
        </w:rPr>
        <w:t>subrecipients</w:t>
      </w:r>
      <w:r w:rsidR="00D43EF8" w:rsidRPr="007C2D51">
        <w:t>, typically through a competitive selection process</w:t>
      </w:r>
      <w:r w:rsidR="00CE332B" w:rsidRPr="007C2D51">
        <w:t xml:space="preserve">.  </w:t>
      </w:r>
      <w:r w:rsidR="00D43EF8" w:rsidRPr="007C2D51">
        <w:t>Eligible subrecipient organizations include state or local governments, public transit operators, or nonprofits</w:t>
      </w:r>
      <w:r w:rsidR="00CE332B" w:rsidRPr="007C2D51">
        <w:t xml:space="preserve">.  </w:t>
      </w:r>
      <w:r w:rsidR="00D43EF8" w:rsidRPr="007C2D51">
        <w:t xml:space="preserve">For example, a state </w:t>
      </w:r>
      <w:r w:rsidR="00AF5458" w:rsidRPr="007C2D51">
        <w:t>department of transportation</w:t>
      </w:r>
      <w:r w:rsidR="00D43EF8" w:rsidRPr="007C2D51">
        <w:t xml:space="preserve"> may distribute JARC funds to a rural transit operator for a demand response service or a transit operator may award JARC funds to a community-based nonprofit to operate a one-stop center.</w:t>
      </w:r>
    </w:p>
    <w:p w:rsidR="00C34B51" w:rsidRPr="007C2D51" w:rsidRDefault="00C34B51" w:rsidP="00C34B51">
      <w:pPr>
        <w:pStyle w:val="BlockText"/>
      </w:pPr>
      <w:r w:rsidRPr="007C2D51">
        <w:t>Recipients receive funds directly from FTA and subrecipients receive funds indirectly via recipients.</w:t>
      </w:r>
    </w:p>
    <w:p w:rsidR="00D97161" w:rsidRPr="007C2D51" w:rsidRDefault="00D97161" w:rsidP="00CE7C6F">
      <w:pPr>
        <w:pStyle w:val="BodyText"/>
      </w:pPr>
      <w:r w:rsidRPr="007C2D51">
        <w:t>For FY 20</w:t>
      </w:r>
      <w:r w:rsidR="005007C0" w:rsidRPr="007C2D51">
        <w:t>10</w:t>
      </w:r>
      <w:r w:rsidRPr="007C2D51">
        <w:t xml:space="preserve">, </w:t>
      </w:r>
      <w:r w:rsidR="005007C0" w:rsidRPr="007C2D51">
        <w:t>18</w:t>
      </w:r>
      <w:r w:rsidR="006F2BC8" w:rsidRPr="007C2D51">
        <w:t>8</w:t>
      </w:r>
      <w:r w:rsidRPr="007C2D51">
        <w:t xml:space="preserve"> recipients, or grantees, reported on JARC-supported services</w:t>
      </w:r>
      <w:r w:rsidR="00CE332B" w:rsidRPr="007C2D51">
        <w:t xml:space="preserve">.  </w:t>
      </w:r>
      <w:r w:rsidR="00D43EF8" w:rsidRPr="007C2D51">
        <w:t xml:space="preserve">As Table </w:t>
      </w:r>
      <w:r w:rsidR="00C34B51" w:rsidRPr="007C2D51">
        <w:t>3-2</w:t>
      </w:r>
      <w:r w:rsidR="00D43EF8" w:rsidRPr="007C2D51">
        <w:t xml:space="preserve"> shows, just over half of reporting recipients were transit agencies</w:t>
      </w:r>
      <w:r w:rsidR="002F1982" w:rsidRPr="007C2D51">
        <w:t xml:space="preserve"> and </w:t>
      </w:r>
      <w:r w:rsidR="00D43EF8" w:rsidRPr="007C2D51">
        <w:t>2</w:t>
      </w:r>
      <w:r w:rsidR="005007C0" w:rsidRPr="007C2D51">
        <w:t>4</w:t>
      </w:r>
      <w:r w:rsidR="00D43EF8" w:rsidRPr="007C2D51">
        <w:t>% were state DOTs.</w:t>
      </w:r>
    </w:p>
    <w:p w:rsidR="00511F03" w:rsidRPr="007C2D51" w:rsidRDefault="00C65488" w:rsidP="0013028C">
      <w:pPr>
        <w:pStyle w:val="Caption"/>
      </w:pPr>
      <w:bookmarkStart w:id="72" w:name="_Toc304967468"/>
      <w:r w:rsidRPr="007C2D51">
        <w:t xml:space="preserve">Table </w:t>
      </w:r>
      <w:r w:rsidR="00022E2F" w:rsidRPr="007C2D51">
        <w:fldChar w:fldCharType="begin"/>
      </w:r>
      <w:r w:rsidR="00FB3E36" w:rsidRPr="007C2D51">
        <w:instrText xml:space="preserve"> STYLEREF 1 \s </w:instrText>
      </w:r>
      <w:r w:rsidR="00022E2F" w:rsidRPr="007C2D51">
        <w:fldChar w:fldCharType="separate"/>
      </w:r>
      <w:r w:rsidR="00F35ACC">
        <w:rPr>
          <w:noProof/>
        </w:rPr>
        <w:t>3</w:t>
      </w:r>
      <w:r w:rsidR="00022E2F" w:rsidRPr="007C2D51">
        <w:fldChar w:fldCharType="end"/>
      </w:r>
      <w:r w:rsidR="00FB3E36" w:rsidRPr="007C2D51">
        <w:noBreakHyphen/>
      </w:r>
      <w:r w:rsidR="00022E2F" w:rsidRPr="007C2D51">
        <w:fldChar w:fldCharType="begin"/>
      </w:r>
      <w:r w:rsidR="00FB3E36" w:rsidRPr="007C2D51">
        <w:instrText xml:space="preserve"> SEQ Table \* ARABIC \s 1 </w:instrText>
      </w:r>
      <w:r w:rsidR="00022E2F" w:rsidRPr="007C2D51">
        <w:fldChar w:fldCharType="separate"/>
      </w:r>
      <w:r w:rsidR="00F35ACC">
        <w:rPr>
          <w:noProof/>
        </w:rPr>
        <w:t>2</w:t>
      </w:r>
      <w:r w:rsidR="00022E2F" w:rsidRPr="007C2D51">
        <w:fldChar w:fldCharType="end"/>
      </w:r>
      <w:r w:rsidRPr="007C2D51">
        <w:br/>
      </w:r>
      <w:r w:rsidR="00511F03" w:rsidRPr="007C2D51">
        <w:t>Recipients by Agency Type</w:t>
      </w:r>
      <w:bookmarkEnd w:id="72"/>
    </w:p>
    <w:tbl>
      <w:tblPr>
        <w:tblStyle w:val="LightList-Accent6"/>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tblPr>
      <w:tblGrid>
        <w:gridCol w:w="1606"/>
        <w:gridCol w:w="530"/>
        <w:gridCol w:w="666"/>
      </w:tblGrid>
      <w:tr w:rsidR="00707F2A" w:rsidRPr="007C2D51" w:rsidTr="00E218F6">
        <w:trPr>
          <w:cnfStyle w:val="100000000000"/>
          <w:trHeight w:val="300"/>
          <w:jc w:val="center"/>
        </w:trPr>
        <w:tc>
          <w:tcPr>
            <w:cnfStyle w:val="001000000000"/>
            <w:tcW w:w="0" w:type="auto"/>
            <w:noWrap/>
            <w:vAlign w:val="bottom"/>
          </w:tcPr>
          <w:p w:rsidR="00707F2A" w:rsidRPr="007C2D51" w:rsidRDefault="00707F2A" w:rsidP="008E1519">
            <w:r w:rsidRPr="007C2D51">
              <w:t>Agency Type</w:t>
            </w:r>
          </w:p>
        </w:tc>
        <w:tc>
          <w:tcPr>
            <w:tcW w:w="0" w:type="auto"/>
            <w:vAlign w:val="bottom"/>
          </w:tcPr>
          <w:p w:rsidR="00707F2A" w:rsidRPr="007C2D51" w:rsidRDefault="00707F2A" w:rsidP="008E1519">
            <w:pPr>
              <w:jc w:val="center"/>
              <w:cnfStyle w:val="100000000000"/>
            </w:pPr>
            <w:r w:rsidRPr="007C2D51">
              <w:t>#</w:t>
            </w:r>
          </w:p>
        </w:tc>
        <w:tc>
          <w:tcPr>
            <w:tcW w:w="0" w:type="auto"/>
            <w:noWrap/>
            <w:vAlign w:val="bottom"/>
          </w:tcPr>
          <w:p w:rsidR="00707F2A" w:rsidRPr="007C2D51" w:rsidRDefault="00707F2A" w:rsidP="008E1519">
            <w:pPr>
              <w:jc w:val="center"/>
              <w:cnfStyle w:val="100000000000"/>
            </w:pPr>
            <w:r w:rsidRPr="007C2D51">
              <w:t>%</w:t>
            </w:r>
          </w:p>
        </w:tc>
      </w:tr>
      <w:tr w:rsidR="006F2BC8" w:rsidRPr="007C2D51" w:rsidTr="00E218F6">
        <w:trPr>
          <w:cnfStyle w:val="000000100000"/>
          <w:trHeight w:val="300"/>
          <w:jc w:val="center"/>
        </w:trPr>
        <w:tc>
          <w:tcPr>
            <w:cnfStyle w:val="001000000000"/>
            <w:tcW w:w="0" w:type="auto"/>
            <w:tcBorders>
              <w:top w:val="none" w:sz="0" w:space="0" w:color="auto"/>
              <w:left w:val="none" w:sz="0" w:space="0" w:color="auto"/>
              <w:bottom w:val="none" w:sz="0" w:space="0" w:color="auto"/>
            </w:tcBorders>
            <w:noWrap/>
            <w:vAlign w:val="bottom"/>
          </w:tcPr>
          <w:p w:rsidR="006F2BC8" w:rsidRPr="007C2D51" w:rsidRDefault="006F2BC8" w:rsidP="008E1519">
            <w:r w:rsidRPr="007C2D51">
              <w:t>Transit agency</w:t>
            </w:r>
          </w:p>
        </w:tc>
        <w:tc>
          <w:tcPr>
            <w:tcW w:w="0" w:type="auto"/>
            <w:tcBorders>
              <w:top w:val="none" w:sz="0" w:space="0" w:color="auto"/>
              <w:bottom w:val="none" w:sz="0" w:space="0" w:color="auto"/>
            </w:tcBorders>
            <w:vAlign w:val="bottom"/>
          </w:tcPr>
          <w:p w:rsidR="006F2BC8" w:rsidRPr="007C2D51" w:rsidRDefault="006F2BC8">
            <w:pPr>
              <w:jc w:val="right"/>
              <w:cnfStyle w:val="000000100000"/>
              <w:rPr>
                <w:rFonts w:cs="Calibri"/>
                <w:color w:val="000000"/>
              </w:rPr>
            </w:pPr>
            <w:r w:rsidRPr="007C2D51">
              <w:rPr>
                <w:rFonts w:cs="Calibri"/>
                <w:color w:val="000000"/>
              </w:rPr>
              <w:t>98</w:t>
            </w:r>
          </w:p>
        </w:tc>
        <w:tc>
          <w:tcPr>
            <w:tcW w:w="0" w:type="auto"/>
            <w:tcBorders>
              <w:top w:val="none" w:sz="0" w:space="0" w:color="auto"/>
              <w:bottom w:val="none" w:sz="0" w:space="0" w:color="auto"/>
              <w:right w:val="none" w:sz="0" w:space="0" w:color="auto"/>
            </w:tcBorders>
            <w:noWrap/>
            <w:vAlign w:val="bottom"/>
          </w:tcPr>
          <w:p w:rsidR="006F2BC8" w:rsidRPr="007C2D51" w:rsidRDefault="006F2BC8" w:rsidP="006F2BC8">
            <w:pPr>
              <w:jc w:val="right"/>
              <w:cnfStyle w:val="000000100000"/>
            </w:pPr>
            <w:r w:rsidRPr="007C2D51">
              <w:t>52%</w:t>
            </w:r>
          </w:p>
        </w:tc>
      </w:tr>
      <w:tr w:rsidR="006F2BC8" w:rsidRPr="007C2D51" w:rsidTr="00E218F6">
        <w:trPr>
          <w:trHeight w:val="300"/>
          <w:jc w:val="center"/>
        </w:trPr>
        <w:tc>
          <w:tcPr>
            <w:cnfStyle w:val="001000000000"/>
            <w:tcW w:w="0" w:type="auto"/>
            <w:noWrap/>
            <w:vAlign w:val="bottom"/>
          </w:tcPr>
          <w:p w:rsidR="006F2BC8" w:rsidRPr="007C2D51" w:rsidRDefault="006F2BC8" w:rsidP="008E1519">
            <w:r w:rsidRPr="007C2D51">
              <w:t>State DOT</w:t>
            </w:r>
          </w:p>
        </w:tc>
        <w:tc>
          <w:tcPr>
            <w:tcW w:w="0" w:type="auto"/>
            <w:vAlign w:val="bottom"/>
          </w:tcPr>
          <w:p w:rsidR="006F2BC8" w:rsidRPr="007C2D51" w:rsidRDefault="006F2BC8">
            <w:pPr>
              <w:jc w:val="right"/>
              <w:cnfStyle w:val="000000000000"/>
              <w:rPr>
                <w:rFonts w:cs="Calibri"/>
                <w:color w:val="000000"/>
              </w:rPr>
            </w:pPr>
            <w:r w:rsidRPr="007C2D51">
              <w:rPr>
                <w:rFonts w:cs="Calibri"/>
                <w:color w:val="000000"/>
              </w:rPr>
              <w:t>46</w:t>
            </w:r>
          </w:p>
        </w:tc>
        <w:tc>
          <w:tcPr>
            <w:tcW w:w="0" w:type="auto"/>
            <w:noWrap/>
            <w:vAlign w:val="bottom"/>
          </w:tcPr>
          <w:p w:rsidR="006F2BC8" w:rsidRPr="007C2D51" w:rsidRDefault="006F2BC8" w:rsidP="005007C0">
            <w:pPr>
              <w:jc w:val="right"/>
              <w:cnfStyle w:val="000000000000"/>
            </w:pPr>
            <w:r w:rsidRPr="007C2D51">
              <w:t>24%</w:t>
            </w:r>
          </w:p>
        </w:tc>
      </w:tr>
      <w:tr w:rsidR="006F2BC8" w:rsidRPr="007C2D51" w:rsidTr="00E218F6">
        <w:trPr>
          <w:cnfStyle w:val="000000100000"/>
          <w:trHeight w:val="300"/>
          <w:jc w:val="center"/>
        </w:trPr>
        <w:tc>
          <w:tcPr>
            <w:cnfStyle w:val="001000000000"/>
            <w:tcW w:w="0" w:type="auto"/>
            <w:tcBorders>
              <w:top w:val="none" w:sz="0" w:space="0" w:color="auto"/>
              <w:left w:val="none" w:sz="0" w:space="0" w:color="auto"/>
              <w:bottom w:val="none" w:sz="0" w:space="0" w:color="auto"/>
            </w:tcBorders>
            <w:noWrap/>
            <w:vAlign w:val="bottom"/>
          </w:tcPr>
          <w:p w:rsidR="006F2BC8" w:rsidRPr="007C2D51" w:rsidRDefault="006F2BC8" w:rsidP="008E1519">
            <w:r w:rsidRPr="007C2D51">
              <w:t>MPO</w:t>
            </w:r>
          </w:p>
        </w:tc>
        <w:tc>
          <w:tcPr>
            <w:tcW w:w="0" w:type="auto"/>
            <w:tcBorders>
              <w:top w:val="none" w:sz="0" w:space="0" w:color="auto"/>
              <w:bottom w:val="none" w:sz="0" w:space="0" w:color="auto"/>
            </w:tcBorders>
            <w:vAlign w:val="bottom"/>
          </w:tcPr>
          <w:p w:rsidR="006F2BC8" w:rsidRPr="007C2D51" w:rsidRDefault="006F2BC8">
            <w:pPr>
              <w:jc w:val="right"/>
              <w:cnfStyle w:val="000000100000"/>
              <w:rPr>
                <w:rFonts w:cs="Calibri"/>
                <w:color w:val="000000"/>
              </w:rPr>
            </w:pPr>
            <w:r w:rsidRPr="007C2D51">
              <w:rPr>
                <w:rFonts w:cs="Calibri"/>
                <w:color w:val="000000"/>
              </w:rPr>
              <w:t>22</w:t>
            </w:r>
          </w:p>
        </w:tc>
        <w:tc>
          <w:tcPr>
            <w:tcW w:w="0" w:type="auto"/>
            <w:tcBorders>
              <w:top w:val="none" w:sz="0" w:space="0" w:color="auto"/>
              <w:bottom w:val="none" w:sz="0" w:space="0" w:color="auto"/>
              <w:right w:val="none" w:sz="0" w:space="0" w:color="auto"/>
            </w:tcBorders>
            <w:noWrap/>
            <w:vAlign w:val="bottom"/>
          </w:tcPr>
          <w:p w:rsidR="006F2BC8" w:rsidRPr="007C2D51" w:rsidRDefault="006F2BC8" w:rsidP="006F2BC8">
            <w:pPr>
              <w:jc w:val="right"/>
              <w:cnfStyle w:val="000000100000"/>
            </w:pPr>
            <w:r w:rsidRPr="007C2D51">
              <w:t>12%</w:t>
            </w:r>
          </w:p>
        </w:tc>
      </w:tr>
      <w:tr w:rsidR="00707F2A" w:rsidRPr="007C2D51" w:rsidTr="00E218F6">
        <w:trPr>
          <w:trHeight w:val="300"/>
          <w:jc w:val="center"/>
        </w:trPr>
        <w:tc>
          <w:tcPr>
            <w:cnfStyle w:val="001000000000"/>
            <w:tcW w:w="0" w:type="auto"/>
            <w:noWrap/>
            <w:vAlign w:val="bottom"/>
          </w:tcPr>
          <w:p w:rsidR="00707F2A" w:rsidRPr="007C2D51" w:rsidRDefault="00707F2A" w:rsidP="008E1519">
            <w:r w:rsidRPr="007C2D51">
              <w:t>Other</w:t>
            </w:r>
          </w:p>
        </w:tc>
        <w:tc>
          <w:tcPr>
            <w:tcW w:w="0" w:type="auto"/>
            <w:vAlign w:val="bottom"/>
          </w:tcPr>
          <w:p w:rsidR="00707F2A" w:rsidRPr="007C2D51" w:rsidRDefault="006F2BC8" w:rsidP="005007C0">
            <w:pPr>
              <w:jc w:val="right"/>
              <w:cnfStyle w:val="000000000000"/>
            </w:pPr>
            <w:r w:rsidRPr="007C2D51">
              <w:t>22</w:t>
            </w:r>
          </w:p>
        </w:tc>
        <w:tc>
          <w:tcPr>
            <w:tcW w:w="0" w:type="auto"/>
            <w:noWrap/>
            <w:vAlign w:val="bottom"/>
          </w:tcPr>
          <w:p w:rsidR="00707F2A" w:rsidRPr="007C2D51" w:rsidRDefault="00707F2A" w:rsidP="006F2BC8">
            <w:pPr>
              <w:jc w:val="right"/>
              <w:cnfStyle w:val="000000000000"/>
            </w:pPr>
            <w:r w:rsidRPr="007C2D51">
              <w:t>1</w:t>
            </w:r>
            <w:r w:rsidR="006F2BC8" w:rsidRPr="007C2D51">
              <w:t>2</w:t>
            </w:r>
            <w:r w:rsidRPr="007C2D51">
              <w:t>%</w:t>
            </w:r>
          </w:p>
        </w:tc>
      </w:tr>
      <w:tr w:rsidR="00707F2A" w:rsidRPr="007C2D51" w:rsidTr="00E218F6">
        <w:trPr>
          <w:cnfStyle w:val="000000100000"/>
          <w:trHeight w:val="300"/>
          <w:jc w:val="center"/>
        </w:trPr>
        <w:tc>
          <w:tcPr>
            <w:cnfStyle w:val="001000000000"/>
            <w:tcW w:w="0" w:type="auto"/>
            <w:tcBorders>
              <w:top w:val="none" w:sz="0" w:space="0" w:color="auto"/>
              <w:left w:val="none" w:sz="0" w:space="0" w:color="auto"/>
              <w:bottom w:val="none" w:sz="0" w:space="0" w:color="auto"/>
            </w:tcBorders>
            <w:noWrap/>
            <w:vAlign w:val="bottom"/>
          </w:tcPr>
          <w:p w:rsidR="00707F2A" w:rsidRPr="007C2D51" w:rsidRDefault="008E1519" w:rsidP="008E1519">
            <w:r w:rsidRPr="007C2D51">
              <w:t>T</w:t>
            </w:r>
            <w:r w:rsidR="00707F2A" w:rsidRPr="007C2D51">
              <w:t>otal</w:t>
            </w:r>
          </w:p>
        </w:tc>
        <w:tc>
          <w:tcPr>
            <w:tcW w:w="0" w:type="auto"/>
            <w:tcBorders>
              <w:top w:val="none" w:sz="0" w:space="0" w:color="auto"/>
              <w:bottom w:val="none" w:sz="0" w:space="0" w:color="auto"/>
            </w:tcBorders>
            <w:vAlign w:val="bottom"/>
          </w:tcPr>
          <w:p w:rsidR="00707F2A" w:rsidRPr="007C2D51" w:rsidRDefault="00707F2A" w:rsidP="006F2BC8">
            <w:pPr>
              <w:jc w:val="right"/>
              <w:cnfStyle w:val="000000100000"/>
            </w:pPr>
            <w:r w:rsidRPr="007C2D51">
              <w:t>1</w:t>
            </w:r>
            <w:r w:rsidR="005007C0" w:rsidRPr="007C2D51">
              <w:t>8</w:t>
            </w:r>
            <w:r w:rsidR="006F2BC8" w:rsidRPr="007C2D51">
              <w:t>8</w:t>
            </w:r>
          </w:p>
        </w:tc>
        <w:tc>
          <w:tcPr>
            <w:tcW w:w="0" w:type="auto"/>
            <w:tcBorders>
              <w:top w:val="none" w:sz="0" w:space="0" w:color="auto"/>
              <w:bottom w:val="none" w:sz="0" w:space="0" w:color="auto"/>
              <w:right w:val="none" w:sz="0" w:space="0" w:color="auto"/>
            </w:tcBorders>
            <w:noWrap/>
            <w:vAlign w:val="bottom"/>
          </w:tcPr>
          <w:p w:rsidR="00707F2A" w:rsidRPr="007C2D51" w:rsidRDefault="00707F2A" w:rsidP="008E1519">
            <w:pPr>
              <w:jc w:val="right"/>
              <w:cnfStyle w:val="000000100000"/>
            </w:pPr>
            <w:r w:rsidRPr="007C2D51">
              <w:t>100%</w:t>
            </w:r>
          </w:p>
        </w:tc>
      </w:tr>
    </w:tbl>
    <w:p w:rsidR="00707F2A" w:rsidRPr="007C2D51" w:rsidRDefault="00707F2A" w:rsidP="003B29A0"/>
    <w:p w:rsidR="00CD3D9E" w:rsidRPr="007C2D51" w:rsidRDefault="00CA78D2" w:rsidP="006600E0">
      <w:pPr>
        <w:pStyle w:val="BodyText"/>
      </w:pPr>
      <w:r w:rsidRPr="007C2D51">
        <w:t>For FY 20</w:t>
      </w:r>
      <w:r w:rsidR="006600E0" w:rsidRPr="007C2D51">
        <w:t>10</w:t>
      </w:r>
      <w:r w:rsidRPr="007C2D51">
        <w:t xml:space="preserve">, </w:t>
      </w:r>
      <w:r w:rsidR="006600E0" w:rsidRPr="007C2D51">
        <w:t>673</w:t>
      </w:r>
      <w:r w:rsidR="00CD3D9E" w:rsidRPr="007C2D51">
        <w:t xml:space="preserve"> </w:t>
      </w:r>
      <w:r w:rsidR="0046131C" w:rsidRPr="007C2D51">
        <w:t xml:space="preserve">separate </w:t>
      </w:r>
      <w:r w:rsidR="00CD3D9E" w:rsidRPr="007C2D51">
        <w:t>subrecipients reported JARC services</w:t>
      </w:r>
      <w:r w:rsidR="00CE332B" w:rsidRPr="007C2D51">
        <w:t xml:space="preserve">.  </w:t>
      </w:r>
      <w:r w:rsidR="00D43EF8" w:rsidRPr="007C2D51">
        <w:t xml:space="preserve">As </w:t>
      </w:r>
      <w:r w:rsidR="00E13525" w:rsidRPr="007C2D51">
        <w:t>Table 3-3</w:t>
      </w:r>
      <w:r w:rsidR="00D43EF8" w:rsidRPr="007C2D51">
        <w:t xml:space="preserve"> indicates, </w:t>
      </w:r>
      <w:r w:rsidR="00CD3D9E" w:rsidRPr="007C2D51">
        <w:t xml:space="preserve">two out of three subrecipients were either </w:t>
      </w:r>
      <w:r w:rsidR="006600E0" w:rsidRPr="007C2D51">
        <w:t>nonprofits</w:t>
      </w:r>
      <w:r w:rsidR="00CD3D9E" w:rsidRPr="007C2D51">
        <w:t xml:space="preserve"> (3</w:t>
      </w:r>
      <w:r w:rsidR="006600E0" w:rsidRPr="007C2D51">
        <w:t>0</w:t>
      </w:r>
      <w:r w:rsidR="00CD3D9E" w:rsidRPr="007C2D51">
        <w:t xml:space="preserve">%) or </w:t>
      </w:r>
      <w:r w:rsidR="006600E0" w:rsidRPr="007C2D51">
        <w:t>public transit operators</w:t>
      </w:r>
      <w:r w:rsidR="00CD3D9E" w:rsidRPr="007C2D51">
        <w:t xml:space="preserve"> (3</w:t>
      </w:r>
      <w:r w:rsidR="006600E0" w:rsidRPr="007C2D51">
        <w:t>0</w:t>
      </w:r>
      <w:r w:rsidR="00CD3D9E" w:rsidRPr="007C2D51">
        <w:t>%)</w:t>
      </w:r>
      <w:r w:rsidR="00CE332B" w:rsidRPr="007C2D51">
        <w:t xml:space="preserve">.  </w:t>
      </w:r>
      <w:r w:rsidR="00F134A9" w:rsidRPr="007C2D51">
        <w:t>DOTs at the city or county level made up the next largest group; in some communities DOTs are also the transit operator</w:t>
      </w:r>
      <w:r w:rsidR="00CE332B" w:rsidRPr="007C2D51">
        <w:t xml:space="preserve">.  </w:t>
      </w:r>
    </w:p>
    <w:p w:rsidR="006600E0" w:rsidRPr="007C2D51" w:rsidRDefault="00C16469" w:rsidP="00547970">
      <w:pPr>
        <w:pStyle w:val="BodyText"/>
      </w:pPr>
      <w:r w:rsidRPr="007C2D51">
        <w:t>Some subrecipients provided multiple services and a few received funds from multiple recipients</w:t>
      </w:r>
      <w:r w:rsidR="00CE332B" w:rsidRPr="007C2D51">
        <w:t xml:space="preserve">.  </w:t>
      </w:r>
      <w:r w:rsidR="00E13525" w:rsidRPr="007C2D51">
        <w:t xml:space="preserve">Separate from the FTA definitions, for the purposes of data reporting and analysis, a recipient was also </w:t>
      </w:r>
      <w:r w:rsidR="00B07CA9" w:rsidRPr="007C2D51">
        <w:t>classified as</w:t>
      </w:r>
      <w:r w:rsidR="00810A25" w:rsidRPr="007C2D51">
        <w:t xml:space="preserve"> </w:t>
      </w:r>
      <w:r w:rsidR="00E13525" w:rsidRPr="007C2D51">
        <w:t xml:space="preserve">a </w:t>
      </w:r>
      <w:r w:rsidRPr="007C2D51">
        <w:t xml:space="preserve">subrecipient if that recipient agency used JARC funds </w:t>
      </w:r>
      <w:r w:rsidR="00E13525" w:rsidRPr="007C2D51">
        <w:t>to operate a project itself</w:t>
      </w:r>
      <w:r w:rsidR="00CE332B" w:rsidRPr="007C2D51">
        <w:t xml:space="preserve">. </w:t>
      </w:r>
    </w:p>
    <w:p w:rsidR="00C16469" w:rsidRPr="007C2D51" w:rsidRDefault="00C16469" w:rsidP="00547970">
      <w:pPr>
        <w:pStyle w:val="BodyText"/>
      </w:pPr>
    </w:p>
    <w:p w:rsidR="00033C3A" w:rsidRPr="007C2D51" w:rsidRDefault="00C65488" w:rsidP="00264722">
      <w:pPr>
        <w:pStyle w:val="Caption"/>
      </w:pPr>
      <w:bookmarkStart w:id="73" w:name="_Toc304967469"/>
      <w:r w:rsidRPr="007C2D51">
        <w:lastRenderedPageBreak/>
        <w:t xml:space="preserve">Table </w:t>
      </w:r>
      <w:r w:rsidR="00022E2F" w:rsidRPr="007C2D51">
        <w:fldChar w:fldCharType="begin"/>
      </w:r>
      <w:r w:rsidR="00FB3E36" w:rsidRPr="007C2D51">
        <w:instrText xml:space="preserve"> STYLEREF 1 \s </w:instrText>
      </w:r>
      <w:r w:rsidR="00022E2F" w:rsidRPr="007C2D51">
        <w:fldChar w:fldCharType="separate"/>
      </w:r>
      <w:r w:rsidR="00F35ACC">
        <w:rPr>
          <w:noProof/>
        </w:rPr>
        <w:t>3</w:t>
      </w:r>
      <w:r w:rsidR="00022E2F" w:rsidRPr="007C2D51">
        <w:fldChar w:fldCharType="end"/>
      </w:r>
      <w:r w:rsidR="00FB3E36" w:rsidRPr="007C2D51">
        <w:noBreakHyphen/>
      </w:r>
      <w:r w:rsidR="00022E2F" w:rsidRPr="007C2D51">
        <w:fldChar w:fldCharType="begin"/>
      </w:r>
      <w:r w:rsidR="00FB3E36" w:rsidRPr="007C2D51">
        <w:instrText xml:space="preserve"> SEQ Table \* ARABIC \s 1 </w:instrText>
      </w:r>
      <w:r w:rsidR="00022E2F" w:rsidRPr="007C2D51">
        <w:fldChar w:fldCharType="separate"/>
      </w:r>
      <w:r w:rsidR="00F35ACC">
        <w:rPr>
          <w:noProof/>
        </w:rPr>
        <w:t>3</w:t>
      </w:r>
      <w:r w:rsidR="00022E2F" w:rsidRPr="007C2D51">
        <w:fldChar w:fldCharType="end"/>
      </w:r>
      <w:r w:rsidRPr="007C2D51">
        <w:br/>
      </w:r>
      <w:r w:rsidR="00033C3A" w:rsidRPr="007C2D51">
        <w:t>Subrecipients by Agency Type</w:t>
      </w:r>
      <w:bookmarkEnd w:id="73"/>
    </w:p>
    <w:tbl>
      <w:tblPr>
        <w:tblStyle w:val="LightList-Accent6"/>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8"/>
        <w:gridCol w:w="516"/>
        <w:gridCol w:w="652"/>
      </w:tblGrid>
      <w:tr w:rsidR="00CD3D9E" w:rsidRPr="007C2D51" w:rsidTr="00E218F6">
        <w:trPr>
          <w:cnfStyle w:val="100000000000"/>
          <w:trHeight w:val="300"/>
          <w:jc w:val="center"/>
        </w:trPr>
        <w:tc>
          <w:tcPr>
            <w:cnfStyle w:val="001000000000"/>
            <w:tcW w:w="0" w:type="auto"/>
            <w:noWrap/>
            <w:vAlign w:val="bottom"/>
          </w:tcPr>
          <w:p w:rsidR="00CD3D9E" w:rsidRPr="007C2D51" w:rsidRDefault="00CD3D9E" w:rsidP="0065342B">
            <w:pPr>
              <w:keepNext/>
            </w:pPr>
            <w:r w:rsidRPr="007C2D51">
              <w:t>Agency type</w:t>
            </w:r>
          </w:p>
        </w:tc>
        <w:tc>
          <w:tcPr>
            <w:tcW w:w="0" w:type="auto"/>
            <w:noWrap/>
            <w:vAlign w:val="bottom"/>
          </w:tcPr>
          <w:p w:rsidR="00CD3D9E" w:rsidRPr="007C2D51" w:rsidRDefault="00CD3D9E" w:rsidP="0065342B">
            <w:pPr>
              <w:keepNext/>
              <w:jc w:val="center"/>
              <w:cnfStyle w:val="100000000000"/>
            </w:pPr>
            <w:r w:rsidRPr="007C2D51">
              <w:t>#</w:t>
            </w:r>
          </w:p>
        </w:tc>
        <w:tc>
          <w:tcPr>
            <w:tcW w:w="0" w:type="auto"/>
            <w:noWrap/>
            <w:vAlign w:val="bottom"/>
          </w:tcPr>
          <w:p w:rsidR="00CD3D9E" w:rsidRPr="007C2D51" w:rsidRDefault="00CD3D9E" w:rsidP="0065342B">
            <w:pPr>
              <w:keepNext/>
              <w:jc w:val="center"/>
              <w:cnfStyle w:val="100000000000"/>
            </w:pPr>
            <w:r w:rsidRPr="007C2D51">
              <w:t>%</w:t>
            </w:r>
          </w:p>
        </w:tc>
      </w:tr>
      <w:tr w:rsidR="006600E0" w:rsidRPr="007C2D51" w:rsidTr="00E218F6">
        <w:trPr>
          <w:cnfStyle w:val="000000100000"/>
          <w:trHeight w:val="300"/>
          <w:jc w:val="center"/>
        </w:trPr>
        <w:tc>
          <w:tcPr>
            <w:cnfStyle w:val="001000000000"/>
            <w:tcW w:w="0" w:type="auto"/>
            <w:tcBorders>
              <w:top w:val="none" w:sz="0" w:space="0" w:color="auto"/>
              <w:left w:val="none" w:sz="0" w:space="0" w:color="auto"/>
              <w:bottom w:val="none" w:sz="0" w:space="0" w:color="auto"/>
            </w:tcBorders>
            <w:noWrap/>
            <w:vAlign w:val="bottom"/>
          </w:tcPr>
          <w:p w:rsidR="006600E0" w:rsidRPr="007C2D51" w:rsidRDefault="006600E0" w:rsidP="0065342B">
            <w:pPr>
              <w:keepNext/>
            </w:pPr>
            <w:r w:rsidRPr="007C2D51">
              <w:t>Nonprofit</w:t>
            </w:r>
          </w:p>
        </w:tc>
        <w:tc>
          <w:tcPr>
            <w:tcW w:w="0" w:type="auto"/>
            <w:tcBorders>
              <w:top w:val="none" w:sz="0" w:space="0" w:color="auto"/>
              <w:bottom w:val="none" w:sz="0" w:space="0" w:color="auto"/>
            </w:tcBorders>
            <w:noWrap/>
            <w:vAlign w:val="bottom"/>
          </w:tcPr>
          <w:p w:rsidR="006600E0" w:rsidRPr="007C2D51" w:rsidRDefault="006600E0">
            <w:pPr>
              <w:jc w:val="right"/>
              <w:cnfStyle w:val="000000100000"/>
              <w:rPr>
                <w:rFonts w:cs="Calibri"/>
                <w:color w:val="000000"/>
              </w:rPr>
            </w:pPr>
            <w:r w:rsidRPr="007C2D51">
              <w:rPr>
                <w:rFonts w:cs="Calibri"/>
                <w:color w:val="000000"/>
              </w:rPr>
              <w:t>234</w:t>
            </w:r>
          </w:p>
        </w:tc>
        <w:tc>
          <w:tcPr>
            <w:tcW w:w="0" w:type="auto"/>
            <w:tcBorders>
              <w:top w:val="none" w:sz="0" w:space="0" w:color="auto"/>
              <w:bottom w:val="none" w:sz="0" w:space="0" w:color="auto"/>
              <w:right w:val="none" w:sz="0" w:space="0" w:color="auto"/>
            </w:tcBorders>
            <w:noWrap/>
            <w:vAlign w:val="bottom"/>
          </w:tcPr>
          <w:p w:rsidR="006600E0" w:rsidRPr="007C2D51" w:rsidRDefault="006600E0">
            <w:pPr>
              <w:jc w:val="right"/>
              <w:cnfStyle w:val="000000100000"/>
              <w:rPr>
                <w:rFonts w:cs="Calibri"/>
                <w:color w:val="000000"/>
              </w:rPr>
            </w:pPr>
            <w:r w:rsidRPr="007C2D51">
              <w:rPr>
                <w:rFonts w:cs="Calibri"/>
                <w:color w:val="000000"/>
              </w:rPr>
              <w:t>35%</w:t>
            </w:r>
          </w:p>
        </w:tc>
      </w:tr>
      <w:tr w:rsidR="006600E0" w:rsidRPr="007C2D51" w:rsidTr="00E218F6">
        <w:trPr>
          <w:trHeight w:val="300"/>
          <w:jc w:val="center"/>
        </w:trPr>
        <w:tc>
          <w:tcPr>
            <w:cnfStyle w:val="001000000000"/>
            <w:tcW w:w="0" w:type="auto"/>
            <w:noWrap/>
            <w:vAlign w:val="bottom"/>
          </w:tcPr>
          <w:p w:rsidR="006600E0" w:rsidRPr="007C2D51" w:rsidRDefault="006600E0" w:rsidP="0065342B">
            <w:pPr>
              <w:keepNext/>
            </w:pPr>
            <w:r w:rsidRPr="007C2D51">
              <w:t>Public transit operator</w:t>
            </w:r>
          </w:p>
        </w:tc>
        <w:tc>
          <w:tcPr>
            <w:tcW w:w="0" w:type="auto"/>
            <w:noWrap/>
            <w:vAlign w:val="bottom"/>
          </w:tcPr>
          <w:p w:rsidR="006600E0" w:rsidRPr="007C2D51" w:rsidRDefault="006600E0">
            <w:pPr>
              <w:jc w:val="right"/>
              <w:cnfStyle w:val="000000000000"/>
              <w:rPr>
                <w:rFonts w:cs="Calibri"/>
                <w:color w:val="000000"/>
              </w:rPr>
            </w:pPr>
            <w:r w:rsidRPr="007C2D51">
              <w:rPr>
                <w:rFonts w:cs="Calibri"/>
                <w:color w:val="000000"/>
              </w:rPr>
              <w:t>205</w:t>
            </w:r>
          </w:p>
        </w:tc>
        <w:tc>
          <w:tcPr>
            <w:tcW w:w="0" w:type="auto"/>
            <w:noWrap/>
            <w:vAlign w:val="bottom"/>
          </w:tcPr>
          <w:p w:rsidR="006600E0" w:rsidRPr="007C2D51" w:rsidRDefault="006600E0">
            <w:pPr>
              <w:jc w:val="right"/>
              <w:cnfStyle w:val="000000000000"/>
              <w:rPr>
                <w:rFonts w:cs="Calibri"/>
                <w:color w:val="000000"/>
              </w:rPr>
            </w:pPr>
            <w:r w:rsidRPr="007C2D51">
              <w:rPr>
                <w:rFonts w:cs="Calibri"/>
                <w:color w:val="000000"/>
              </w:rPr>
              <w:t>30%</w:t>
            </w:r>
          </w:p>
        </w:tc>
      </w:tr>
      <w:tr w:rsidR="006600E0" w:rsidRPr="007C2D51" w:rsidTr="00E218F6">
        <w:trPr>
          <w:cnfStyle w:val="000000100000"/>
          <w:trHeight w:val="300"/>
          <w:jc w:val="center"/>
        </w:trPr>
        <w:tc>
          <w:tcPr>
            <w:cnfStyle w:val="001000000000"/>
            <w:tcW w:w="0" w:type="auto"/>
            <w:tcBorders>
              <w:top w:val="none" w:sz="0" w:space="0" w:color="auto"/>
              <w:left w:val="none" w:sz="0" w:space="0" w:color="auto"/>
              <w:bottom w:val="none" w:sz="0" w:space="0" w:color="auto"/>
            </w:tcBorders>
            <w:noWrap/>
            <w:vAlign w:val="bottom"/>
          </w:tcPr>
          <w:p w:rsidR="006600E0" w:rsidRPr="007C2D51" w:rsidRDefault="006600E0" w:rsidP="0065342B">
            <w:pPr>
              <w:keepNext/>
            </w:pPr>
            <w:r w:rsidRPr="007C2D51">
              <w:t>City DOT</w:t>
            </w:r>
          </w:p>
        </w:tc>
        <w:tc>
          <w:tcPr>
            <w:tcW w:w="0" w:type="auto"/>
            <w:tcBorders>
              <w:top w:val="none" w:sz="0" w:space="0" w:color="auto"/>
              <w:bottom w:val="none" w:sz="0" w:space="0" w:color="auto"/>
            </w:tcBorders>
            <w:noWrap/>
            <w:vAlign w:val="bottom"/>
          </w:tcPr>
          <w:p w:rsidR="006600E0" w:rsidRPr="007C2D51" w:rsidRDefault="006600E0">
            <w:pPr>
              <w:jc w:val="right"/>
              <w:cnfStyle w:val="000000100000"/>
              <w:rPr>
                <w:rFonts w:cs="Calibri"/>
                <w:color w:val="000000"/>
              </w:rPr>
            </w:pPr>
            <w:r w:rsidRPr="007C2D51">
              <w:rPr>
                <w:rFonts w:cs="Calibri"/>
                <w:color w:val="000000"/>
              </w:rPr>
              <w:t>64</w:t>
            </w:r>
          </w:p>
        </w:tc>
        <w:tc>
          <w:tcPr>
            <w:tcW w:w="0" w:type="auto"/>
            <w:tcBorders>
              <w:top w:val="none" w:sz="0" w:space="0" w:color="auto"/>
              <w:bottom w:val="none" w:sz="0" w:space="0" w:color="auto"/>
              <w:right w:val="none" w:sz="0" w:space="0" w:color="auto"/>
            </w:tcBorders>
            <w:noWrap/>
            <w:vAlign w:val="bottom"/>
          </w:tcPr>
          <w:p w:rsidR="006600E0" w:rsidRPr="007C2D51" w:rsidRDefault="006600E0">
            <w:pPr>
              <w:jc w:val="right"/>
              <w:cnfStyle w:val="000000100000"/>
              <w:rPr>
                <w:rFonts w:cs="Calibri"/>
                <w:color w:val="000000"/>
              </w:rPr>
            </w:pPr>
            <w:r w:rsidRPr="007C2D51">
              <w:rPr>
                <w:rFonts w:cs="Calibri"/>
                <w:color w:val="000000"/>
              </w:rPr>
              <w:t>10%</w:t>
            </w:r>
          </w:p>
        </w:tc>
      </w:tr>
      <w:tr w:rsidR="006600E0" w:rsidRPr="007C2D51" w:rsidTr="00E218F6">
        <w:trPr>
          <w:trHeight w:val="300"/>
          <w:jc w:val="center"/>
        </w:trPr>
        <w:tc>
          <w:tcPr>
            <w:cnfStyle w:val="001000000000"/>
            <w:tcW w:w="0" w:type="auto"/>
            <w:noWrap/>
            <w:vAlign w:val="bottom"/>
          </w:tcPr>
          <w:p w:rsidR="006600E0" w:rsidRPr="007C2D51" w:rsidRDefault="006600E0" w:rsidP="0065342B">
            <w:pPr>
              <w:keepNext/>
            </w:pPr>
            <w:r w:rsidRPr="007C2D51">
              <w:t>Other</w:t>
            </w:r>
          </w:p>
        </w:tc>
        <w:tc>
          <w:tcPr>
            <w:tcW w:w="0" w:type="auto"/>
            <w:noWrap/>
            <w:vAlign w:val="bottom"/>
          </w:tcPr>
          <w:p w:rsidR="006600E0" w:rsidRPr="007C2D51" w:rsidRDefault="006600E0" w:rsidP="0065342B">
            <w:pPr>
              <w:keepNext/>
              <w:jc w:val="right"/>
              <w:cnfStyle w:val="000000000000"/>
            </w:pPr>
            <w:r w:rsidRPr="007C2D51">
              <w:t>48</w:t>
            </w:r>
          </w:p>
        </w:tc>
        <w:tc>
          <w:tcPr>
            <w:tcW w:w="0" w:type="auto"/>
            <w:noWrap/>
            <w:vAlign w:val="bottom"/>
          </w:tcPr>
          <w:p w:rsidR="006600E0" w:rsidRPr="007C2D51" w:rsidRDefault="006600E0" w:rsidP="0065342B">
            <w:pPr>
              <w:keepNext/>
              <w:jc w:val="right"/>
              <w:cnfStyle w:val="000000000000"/>
            </w:pPr>
            <w:r w:rsidRPr="007C2D51">
              <w:t>7%</w:t>
            </w:r>
          </w:p>
        </w:tc>
      </w:tr>
      <w:tr w:rsidR="006600E0" w:rsidRPr="007C2D51" w:rsidTr="00E218F6">
        <w:trPr>
          <w:cnfStyle w:val="000000100000"/>
          <w:trHeight w:val="300"/>
          <w:jc w:val="center"/>
        </w:trPr>
        <w:tc>
          <w:tcPr>
            <w:cnfStyle w:val="001000000000"/>
            <w:tcW w:w="0" w:type="auto"/>
            <w:tcBorders>
              <w:top w:val="none" w:sz="0" w:space="0" w:color="auto"/>
              <w:left w:val="none" w:sz="0" w:space="0" w:color="auto"/>
              <w:bottom w:val="none" w:sz="0" w:space="0" w:color="auto"/>
            </w:tcBorders>
            <w:noWrap/>
            <w:vAlign w:val="bottom"/>
          </w:tcPr>
          <w:p w:rsidR="006600E0" w:rsidRPr="007C2D51" w:rsidRDefault="006600E0" w:rsidP="0065342B">
            <w:pPr>
              <w:keepNext/>
            </w:pPr>
            <w:r w:rsidRPr="007C2D51">
              <w:t>Other county</w:t>
            </w:r>
          </w:p>
        </w:tc>
        <w:tc>
          <w:tcPr>
            <w:tcW w:w="0" w:type="auto"/>
            <w:tcBorders>
              <w:top w:val="none" w:sz="0" w:space="0" w:color="auto"/>
              <w:bottom w:val="none" w:sz="0" w:space="0" w:color="auto"/>
            </w:tcBorders>
            <w:noWrap/>
            <w:vAlign w:val="bottom"/>
          </w:tcPr>
          <w:p w:rsidR="006600E0" w:rsidRPr="007C2D51" w:rsidRDefault="006600E0" w:rsidP="0065342B">
            <w:pPr>
              <w:keepNext/>
              <w:jc w:val="right"/>
              <w:cnfStyle w:val="000000100000"/>
            </w:pPr>
            <w:r w:rsidRPr="007C2D51">
              <w:t>46</w:t>
            </w:r>
          </w:p>
        </w:tc>
        <w:tc>
          <w:tcPr>
            <w:tcW w:w="0" w:type="auto"/>
            <w:tcBorders>
              <w:top w:val="none" w:sz="0" w:space="0" w:color="auto"/>
              <w:bottom w:val="none" w:sz="0" w:space="0" w:color="auto"/>
              <w:right w:val="none" w:sz="0" w:space="0" w:color="auto"/>
            </w:tcBorders>
            <w:noWrap/>
            <w:vAlign w:val="bottom"/>
          </w:tcPr>
          <w:p w:rsidR="006600E0" w:rsidRPr="007C2D51" w:rsidRDefault="006600E0" w:rsidP="0065342B">
            <w:pPr>
              <w:keepNext/>
              <w:jc w:val="right"/>
              <w:cnfStyle w:val="000000100000"/>
            </w:pPr>
            <w:r w:rsidRPr="007C2D51">
              <w:t>7%</w:t>
            </w:r>
          </w:p>
        </w:tc>
      </w:tr>
      <w:tr w:rsidR="006600E0" w:rsidRPr="007C2D51" w:rsidTr="00E218F6">
        <w:trPr>
          <w:trHeight w:val="300"/>
          <w:jc w:val="center"/>
        </w:trPr>
        <w:tc>
          <w:tcPr>
            <w:cnfStyle w:val="001000000000"/>
            <w:tcW w:w="0" w:type="auto"/>
            <w:noWrap/>
            <w:vAlign w:val="bottom"/>
          </w:tcPr>
          <w:p w:rsidR="006600E0" w:rsidRPr="007C2D51" w:rsidRDefault="006600E0" w:rsidP="0065342B">
            <w:pPr>
              <w:keepNext/>
            </w:pPr>
            <w:r w:rsidRPr="007C2D51">
              <w:t>County DOT</w:t>
            </w:r>
          </w:p>
        </w:tc>
        <w:tc>
          <w:tcPr>
            <w:tcW w:w="0" w:type="auto"/>
            <w:noWrap/>
            <w:vAlign w:val="bottom"/>
          </w:tcPr>
          <w:p w:rsidR="006600E0" w:rsidRPr="007C2D51" w:rsidRDefault="006600E0" w:rsidP="006600E0">
            <w:pPr>
              <w:keepNext/>
              <w:jc w:val="right"/>
              <w:cnfStyle w:val="000000000000"/>
            </w:pPr>
            <w:r w:rsidRPr="007C2D51">
              <w:t>42</w:t>
            </w:r>
          </w:p>
        </w:tc>
        <w:tc>
          <w:tcPr>
            <w:tcW w:w="0" w:type="auto"/>
            <w:noWrap/>
            <w:vAlign w:val="bottom"/>
          </w:tcPr>
          <w:p w:rsidR="006600E0" w:rsidRPr="007C2D51" w:rsidRDefault="006600E0" w:rsidP="0065342B">
            <w:pPr>
              <w:keepNext/>
              <w:jc w:val="right"/>
              <w:cnfStyle w:val="000000000000"/>
            </w:pPr>
            <w:r w:rsidRPr="007C2D51">
              <w:t>6%</w:t>
            </w:r>
          </w:p>
        </w:tc>
      </w:tr>
      <w:tr w:rsidR="006600E0" w:rsidRPr="007C2D51" w:rsidTr="00E218F6">
        <w:trPr>
          <w:cnfStyle w:val="000000100000"/>
          <w:trHeight w:val="300"/>
          <w:jc w:val="center"/>
        </w:trPr>
        <w:tc>
          <w:tcPr>
            <w:cnfStyle w:val="001000000000"/>
            <w:tcW w:w="0" w:type="auto"/>
            <w:tcBorders>
              <w:top w:val="none" w:sz="0" w:space="0" w:color="auto"/>
              <w:left w:val="none" w:sz="0" w:space="0" w:color="auto"/>
              <w:bottom w:val="none" w:sz="0" w:space="0" w:color="auto"/>
            </w:tcBorders>
            <w:noWrap/>
            <w:vAlign w:val="bottom"/>
          </w:tcPr>
          <w:p w:rsidR="006600E0" w:rsidRPr="007C2D51" w:rsidRDefault="006600E0" w:rsidP="0065342B">
            <w:pPr>
              <w:keepNext/>
            </w:pPr>
            <w:r w:rsidRPr="007C2D51">
              <w:t>Other city</w:t>
            </w:r>
          </w:p>
        </w:tc>
        <w:tc>
          <w:tcPr>
            <w:tcW w:w="0" w:type="auto"/>
            <w:tcBorders>
              <w:top w:val="none" w:sz="0" w:space="0" w:color="auto"/>
              <w:bottom w:val="none" w:sz="0" w:space="0" w:color="auto"/>
            </w:tcBorders>
            <w:noWrap/>
            <w:vAlign w:val="bottom"/>
          </w:tcPr>
          <w:p w:rsidR="006600E0" w:rsidRPr="007C2D51" w:rsidRDefault="006600E0" w:rsidP="0065342B">
            <w:pPr>
              <w:keepNext/>
              <w:jc w:val="right"/>
              <w:cnfStyle w:val="000000100000"/>
            </w:pPr>
            <w:r w:rsidRPr="007C2D51">
              <w:t>15</w:t>
            </w:r>
          </w:p>
        </w:tc>
        <w:tc>
          <w:tcPr>
            <w:tcW w:w="0" w:type="auto"/>
            <w:tcBorders>
              <w:top w:val="none" w:sz="0" w:space="0" w:color="auto"/>
              <w:bottom w:val="none" w:sz="0" w:space="0" w:color="auto"/>
              <w:right w:val="none" w:sz="0" w:space="0" w:color="auto"/>
            </w:tcBorders>
            <w:noWrap/>
            <w:vAlign w:val="bottom"/>
          </w:tcPr>
          <w:p w:rsidR="006600E0" w:rsidRPr="007C2D51" w:rsidRDefault="006600E0" w:rsidP="0065342B">
            <w:pPr>
              <w:keepNext/>
              <w:jc w:val="right"/>
              <w:cnfStyle w:val="000000100000"/>
            </w:pPr>
            <w:r w:rsidRPr="007C2D51">
              <w:t>2%</w:t>
            </w:r>
          </w:p>
        </w:tc>
      </w:tr>
      <w:tr w:rsidR="006600E0" w:rsidRPr="007C2D51" w:rsidTr="00E218F6">
        <w:trPr>
          <w:trHeight w:val="300"/>
          <w:jc w:val="center"/>
        </w:trPr>
        <w:tc>
          <w:tcPr>
            <w:cnfStyle w:val="001000000000"/>
            <w:tcW w:w="0" w:type="auto"/>
            <w:noWrap/>
            <w:vAlign w:val="bottom"/>
          </w:tcPr>
          <w:p w:rsidR="006600E0" w:rsidRPr="007C2D51" w:rsidRDefault="006600E0" w:rsidP="0065342B">
            <w:pPr>
              <w:keepNext/>
            </w:pPr>
            <w:r w:rsidRPr="007C2D51">
              <w:t>Private transit operator</w:t>
            </w:r>
          </w:p>
        </w:tc>
        <w:tc>
          <w:tcPr>
            <w:tcW w:w="0" w:type="auto"/>
            <w:noWrap/>
            <w:vAlign w:val="bottom"/>
          </w:tcPr>
          <w:p w:rsidR="006600E0" w:rsidRPr="007C2D51" w:rsidRDefault="006600E0" w:rsidP="0065342B">
            <w:pPr>
              <w:keepNext/>
              <w:jc w:val="right"/>
              <w:cnfStyle w:val="000000000000"/>
            </w:pPr>
            <w:r w:rsidRPr="007C2D51">
              <w:t>12</w:t>
            </w:r>
          </w:p>
        </w:tc>
        <w:tc>
          <w:tcPr>
            <w:tcW w:w="0" w:type="auto"/>
            <w:noWrap/>
            <w:vAlign w:val="bottom"/>
          </w:tcPr>
          <w:p w:rsidR="006600E0" w:rsidRPr="007C2D51" w:rsidRDefault="006600E0" w:rsidP="0065342B">
            <w:pPr>
              <w:keepNext/>
              <w:jc w:val="right"/>
              <w:cnfStyle w:val="000000000000"/>
            </w:pPr>
            <w:r w:rsidRPr="007C2D51">
              <w:t>2%</w:t>
            </w:r>
          </w:p>
        </w:tc>
      </w:tr>
      <w:tr w:rsidR="006600E0" w:rsidRPr="007C2D51" w:rsidTr="00E218F6">
        <w:trPr>
          <w:cnfStyle w:val="000000100000"/>
          <w:trHeight w:val="300"/>
          <w:jc w:val="center"/>
        </w:trPr>
        <w:tc>
          <w:tcPr>
            <w:cnfStyle w:val="001000000000"/>
            <w:tcW w:w="0" w:type="auto"/>
            <w:tcBorders>
              <w:top w:val="none" w:sz="0" w:space="0" w:color="auto"/>
              <w:left w:val="none" w:sz="0" w:space="0" w:color="auto"/>
              <w:bottom w:val="none" w:sz="0" w:space="0" w:color="auto"/>
            </w:tcBorders>
            <w:noWrap/>
            <w:vAlign w:val="bottom"/>
          </w:tcPr>
          <w:p w:rsidR="006600E0" w:rsidRPr="007C2D51" w:rsidRDefault="006600E0" w:rsidP="0065342B">
            <w:pPr>
              <w:keepNext/>
            </w:pPr>
            <w:r w:rsidRPr="007C2D51">
              <w:t>State agency</w:t>
            </w:r>
          </w:p>
        </w:tc>
        <w:tc>
          <w:tcPr>
            <w:tcW w:w="0" w:type="auto"/>
            <w:tcBorders>
              <w:top w:val="none" w:sz="0" w:space="0" w:color="auto"/>
              <w:bottom w:val="none" w:sz="0" w:space="0" w:color="auto"/>
            </w:tcBorders>
            <w:noWrap/>
            <w:vAlign w:val="bottom"/>
          </w:tcPr>
          <w:p w:rsidR="006600E0" w:rsidRPr="007C2D51" w:rsidRDefault="006600E0" w:rsidP="0065342B">
            <w:pPr>
              <w:keepNext/>
              <w:jc w:val="right"/>
              <w:cnfStyle w:val="000000100000"/>
            </w:pPr>
            <w:r w:rsidRPr="007C2D51">
              <w:t>7</w:t>
            </w:r>
          </w:p>
        </w:tc>
        <w:tc>
          <w:tcPr>
            <w:tcW w:w="0" w:type="auto"/>
            <w:tcBorders>
              <w:top w:val="none" w:sz="0" w:space="0" w:color="auto"/>
              <w:bottom w:val="none" w:sz="0" w:space="0" w:color="auto"/>
              <w:right w:val="none" w:sz="0" w:space="0" w:color="auto"/>
            </w:tcBorders>
            <w:noWrap/>
            <w:vAlign w:val="bottom"/>
          </w:tcPr>
          <w:p w:rsidR="006600E0" w:rsidRPr="007C2D51" w:rsidRDefault="006600E0" w:rsidP="0065342B">
            <w:pPr>
              <w:keepNext/>
              <w:jc w:val="right"/>
              <w:cnfStyle w:val="000000100000"/>
            </w:pPr>
            <w:r w:rsidRPr="007C2D51">
              <w:t>1%</w:t>
            </w:r>
          </w:p>
        </w:tc>
      </w:tr>
      <w:tr w:rsidR="00CD3D9E" w:rsidRPr="007C2D51" w:rsidTr="00E218F6">
        <w:trPr>
          <w:trHeight w:val="300"/>
          <w:jc w:val="center"/>
        </w:trPr>
        <w:tc>
          <w:tcPr>
            <w:cnfStyle w:val="001000000000"/>
            <w:tcW w:w="0" w:type="auto"/>
            <w:noWrap/>
            <w:vAlign w:val="bottom"/>
          </w:tcPr>
          <w:p w:rsidR="00CD3D9E" w:rsidRPr="007C2D51" w:rsidRDefault="00CD3D9E" w:rsidP="0065342B">
            <w:r w:rsidRPr="007C2D51">
              <w:t>Total</w:t>
            </w:r>
          </w:p>
        </w:tc>
        <w:tc>
          <w:tcPr>
            <w:tcW w:w="0" w:type="auto"/>
            <w:noWrap/>
            <w:vAlign w:val="bottom"/>
          </w:tcPr>
          <w:p w:rsidR="00CD3D9E" w:rsidRPr="007C2D51" w:rsidRDefault="006600E0" w:rsidP="0065342B">
            <w:pPr>
              <w:jc w:val="right"/>
              <w:cnfStyle w:val="000000000000"/>
            </w:pPr>
            <w:r w:rsidRPr="007C2D51">
              <w:t>673</w:t>
            </w:r>
          </w:p>
        </w:tc>
        <w:tc>
          <w:tcPr>
            <w:tcW w:w="0" w:type="auto"/>
            <w:noWrap/>
            <w:vAlign w:val="bottom"/>
          </w:tcPr>
          <w:p w:rsidR="00CD3D9E" w:rsidRPr="007C2D51" w:rsidRDefault="00CD3D9E" w:rsidP="0065342B">
            <w:pPr>
              <w:jc w:val="right"/>
              <w:cnfStyle w:val="000000000000"/>
            </w:pPr>
            <w:r w:rsidRPr="007C2D51">
              <w:t>100%</w:t>
            </w:r>
          </w:p>
        </w:tc>
      </w:tr>
    </w:tbl>
    <w:p w:rsidR="00254AA9" w:rsidRPr="007C2D51" w:rsidRDefault="00254AA9"/>
    <w:p w:rsidR="00A921AA" w:rsidRPr="007C2D51" w:rsidRDefault="00A921AA" w:rsidP="00AB34CA">
      <w:pPr>
        <w:pStyle w:val="Heading2"/>
      </w:pPr>
      <w:bookmarkStart w:id="74" w:name="_Toc304965691"/>
      <w:r w:rsidRPr="007C2D51">
        <w:t>Size of Urbanized Area</w:t>
      </w:r>
      <w:bookmarkEnd w:id="67"/>
      <w:bookmarkEnd w:id="68"/>
      <w:bookmarkEnd w:id="74"/>
    </w:p>
    <w:p w:rsidR="009F0BE1" w:rsidRPr="007C2D51" w:rsidRDefault="00854E89" w:rsidP="00CE7C6F">
      <w:pPr>
        <w:pStyle w:val="BodyText"/>
      </w:pPr>
      <w:r w:rsidRPr="007C2D51">
        <w:t>Almost</w:t>
      </w:r>
      <w:r w:rsidR="001A6FB5" w:rsidRPr="007C2D51">
        <w:t xml:space="preserve"> half of all JARC-supported services (4</w:t>
      </w:r>
      <w:r w:rsidRPr="007C2D51">
        <w:t>7</w:t>
      </w:r>
      <w:r w:rsidR="001A6FB5" w:rsidRPr="007C2D51">
        <w:t xml:space="preserve">%) operated in large </w:t>
      </w:r>
      <w:r w:rsidR="00A921AA" w:rsidRPr="007C2D51">
        <w:t>urbanized are</w:t>
      </w:r>
      <w:r w:rsidR="001A6FB5" w:rsidRPr="007C2D51">
        <w:t>as (population over 200,000) in FY 20</w:t>
      </w:r>
      <w:r w:rsidRPr="007C2D51">
        <w:t>1</w:t>
      </w:r>
      <w:r w:rsidR="00AE6F91" w:rsidRPr="007C2D51">
        <w:t>0</w:t>
      </w:r>
      <w:r w:rsidR="00CE332B" w:rsidRPr="007C2D51">
        <w:t xml:space="preserve">.  </w:t>
      </w:r>
      <w:r w:rsidR="001A6FB5" w:rsidRPr="007C2D51">
        <w:t>About 2</w:t>
      </w:r>
      <w:r w:rsidRPr="007C2D51">
        <w:t>3</w:t>
      </w:r>
      <w:r w:rsidR="001A6FB5" w:rsidRPr="007C2D51">
        <w:t xml:space="preserve">% </w:t>
      </w:r>
      <w:r w:rsidR="009F0BE1" w:rsidRPr="007C2D51">
        <w:t xml:space="preserve">were located </w:t>
      </w:r>
      <w:r w:rsidR="001A6FB5" w:rsidRPr="007C2D51">
        <w:t xml:space="preserve">in </w:t>
      </w:r>
      <w:r w:rsidR="00A921AA" w:rsidRPr="007C2D51">
        <w:t xml:space="preserve">small-urban localities </w:t>
      </w:r>
      <w:r w:rsidR="009F0BE1" w:rsidRPr="007C2D51">
        <w:t>(population 50,000-199,000) and 3</w:t>
      </w:r>
      <w:r w:rsidRPr="007C2D51">
        <w:t>0</w:t>
      </w:r>
      <w:r w:rsidR="009F0BE1" w:rsidRPr="007C2D51">
        <w:t xml:space="preserve">% in </w:t>
      </w:r>
      <w:r w:rsidR="00A921AA" w:rsidRPr="007C2D51">
        <w:t>non-urbanized or rural areas (population less than 50,000)</w:t>
      </w:r>
      <w:r w:rsidR="00CE332B" w:rsidRPr="007C2D51">
        <w:t xml:space="preserve">.  </w:t>
      </w:r>
      <w:r w:rsidR="009F0BE1" w:rsidRPr="007C2D51">
        <w:t>Note that grantees reported on the size of the service area for each individual program, not for the grantee agency itself</w:t>
      </w:r>
      <w:r w:rsidR="00CE332B" w:rsidRPr="007C2D51">
        <w:t xml:space="preserve">.  </w:t>
      </w:r>
      <w:r w:rsidR="009F0BE1" w:rsidRPr="007C2D51">
        <w:t>For example, a state DOT that submitted a report for multiple services was asked to characterize the operating setting for each service separately</w:t>
      </w:r>
      <w:r w:rsidR="00CE332B" w:rsidRPr="007C2D51">
        <w:t xml:space="preserve">.  </w:t>
      </w:r>
      <w:r w:rsidR="009F0BE1" w:rsidRPr="007C2D51">
        <w:t>When a service covered multiple jurisdictions, such as an express route connecting rural residents with city jobs, grantees were asked to select the setting that best characterized the service</w:t>
      </w:r>
      <w:r w:rsidR="00CE332B" w:rsidRPr="007C2D51">
        <w:t xml:space="preserve">.  </w:t>
      </w:r>
    </w:p>
    <w:p w:rsidR="000D3C49" w:rsidRPr="007C2D51" w:rsidRDefault="00547970" w:rsidP="00CE7C6F">
      <w:pPr>
        <w:pStyle w:val="BodyText"/>
      </w:pPr>
      <w:r w:rsidRPr="007C2D51">
        <w:t xml:space="preserve">Three types of JARC-supported services were especially likely to operate in </w:t>
      </w:r>
      <w:r w:rsidR="000D3C49" w:rsidRPr="007C2D51">
        <w:t>large urban areas</w:t>
      </w:r>
      <w:r w:rsidRPr="007C2D51">
        <w:t xml:space="preserve">: Shuttles and feeders (60% of reported services), fixed routes (58%), and user-side subsidies and vouchers (53%). </w:t>
      </w:r>
      <w:r w:rsidR="000D3C49" w:rsidRPr="007C2D51">
        <w:t>Demand response and flexible routes were more common in non-urbanized locations (5</w:t>
      </w:r>
      <w:r w:rsidRPr="007C2D51">
        <w:t>2</w:t>
      </w:r>
      <w:r w:rsidR="000D3C49" w:rsidRPr="007C2D51">
        <w:t xml:space="preserve">% and </w:t>
      </w:r>
      <w:r w:rsidRPr="007C2D51">
        <w:t>41</w:t>
      </w:r>
      <w:r w:rsidR="000D3C49" w:rsidRPr="007C2D51">
        <w:t xml:space="preserve">%), </w:t>
      </w:r>
      <w:r w:rsidR="009B6E1D" w:rsidRPr="007C2D51">
        <w:t xml:space="preserve">where they were a better </w:t>
      </w:r>
      <w:r w:rsidR="000118B0" w:rsidRPr="007C2D51">
        <w:t>match for</w:t>
      </w:r>
      <w:r w:rsidR="009B6E1D" w:rsidRPr="007C2D51">
        <w:t xml:space="preserve"> low-density land-use and employment patterns</w:t>
      </w:r>
      <w:r w:rsidR="00CE332B" w:rsidRPr="007C2D51">
        <w:t xml:space="preserve">.  </w:t>
      </w:r>
      <w:r w:rsidR="00AE6F91" w:rsidRPr="007C2D51">
        <w:t xml:space="preserve">Some program types seemed </w:t>
      </w:r>
      <w:r w:rsidR="003034B4" w:rsidRPr="007C2D51">
        <w:t>adaptable</w:t>
      </w:r>
      <w:r w:rsidR="00AE6F91" w:rsidRPr="007C2D51">
        <w:t xml:space="preserve"> to all operating settings. These included m</w:t>
      </w:r>
      <w:r w:rsidR="003034B4" w:rsidRPr="007C2D51">
        <w:t xml:space="preserve">obility manager program, which could be found in all settings: </w:t>
      </w:r>
      <w:r w:rsidR="000D3C49" w:rsidRPr="007C2D51">
        <w:t>large urban (</w:t>
      </w:r>
      <w:r w:rsidR="003034B4" w:rsidRPr="007C2D51">
        <w:t>4</w:t>
      </w:r>
      <w:r w:rsidRPr="007C2D51">
        <w:t>5</w:t>
      </w:r>
      <w:r w:rsidR="000D3C49" w:rsidRPr="007C2D51">
        <w:t>%), small urban (</w:t>
      </w:r>
      <w:r w:rsidR="003034B4" w:rsidRPr="007C2D51">
        <w:t>2</w:t>
      </w:r>
      <w:r w:rsidRPr="007C2D51">
        <w:t>0</w:t>
      </w:r>
      <w:r w:rsidR="000D3C49" w:rsidRPr="007C2D51">
        <w:t>%), and rural (3</w:t>
      </w:r>
      <w:r w:rsidRPr="007C2D51">
        <w:t>5</w:t>
      </w:r>
      <w:r w:rsidR="00F175BF" w:rsidRPr="007C2D51">
        <w:t>%)</w:t>
      </w:r>
      <w:r w:rsidR="003034B4" w:rsidRPr="007C2D51">
        <w:t xml:space="preserve">. Programs providing vehicles for individuals showed a similar </w:t>
      </w:r>
      <w:r w:rsidR="009B6E1D" w:rsidRPr="007C2D51">
        <w:t xml:space="preserve">pattern – </w:t>
      </w:r>
      <w:r w:rsidR="003034B4" w:rsidRPr="007C2D51">
        <w:t>4</w:t>
      </w:r>
      <w:r w:rsidRPr="007C2D51">
        <w:t>2</w:t>
      </w:r>
      <w:r w:rsidR="009B6E1D" w:rsidRPr="007C2D51">
        <w:t>% in large urban areas, 2</w:t>
      </w:r>
      <w:r w:rsidRPr="007C2D51">
        <w:t>3</w:t>
      </w:r>
      <w:r w:rsidR="009B6E1D" w:rsidRPr="007C2D51">
        <w:t>% in small urban, and 3</w:t>
      </w:r>
      <w:r w:rsidRPr="007C2D51">
        <w:t>5</w:t>
      </w:r>
      <w:r w:rsidR="009B6E1D" w:rsidRPr="007C2D51">
        <w:t>% in rural – although it is difficult to extr</w:t>
      </w:r>
      <w:r w:rsidR="00CE332B" w:rsidRPr="007C2D51">
        <w:t xml:space="preserve">apolate from only </w:t>
      </w:r>
      <w:r w:rsidR="003034B4" w:rsidRPr="007C2D51">
        <w:t>3</w:t>
      </w:r>
      <w:r w:rsidRPr="007C2D51">
        <w:t>1</w:t>
      </w:r>
      <w:r w:rsidR="00CE332B" w:rsidRPr="007C2D51">
        <w:t xml:space="preserve"> programs.  </w:t>
      </w:r>
      <w:r w:rsidR="009A6952" w:rsidRPr="007C2D51">
        <w:t>(This distribution is summarized in Table 3-</w:t>
      </w:r>
      <w:r w:rsidR="00A37BE2" w:rsidRPr="007C2D51">
        <w:t>4</w:t>
      </w:r>
      <w:r w:rsidR="009A6952" w:rsidRPr="007C2D51">
        <w:t xml:space="preserve"> and illustrated in Figure 3-</w:t>
      </w:r>
      <w:r w:rsidR="00C4641C" w:rsidRPr="007C2D51">
        <w:t>4</w:t>
      </w:r>
      <w:r w:rsidR="009A6952" w:rsidRPr="007C2D51">
        <w:t>.)</w:t>
      </w:r>
    </w:p>
    <w:p w:rsidR="00A921AA" w:rsidRPr="007C2D51" w:rsidRDefault="00B2602E" w:rsidP="00CE7C6F">
      <w:pPr>
        <w:pStyle w:val="BodyText"/>
      </w:pPr>
      <w:r w:rsidRPr="007C2D51">
        <w:t xml:space="preserve">Fixed route comprised nearly half of all programs in </w:t>
      </w:r>
      <w:r w:rsidR="009A6952" w:rsidRPr="007C2D51">
        <w:t>large urbanized areas (</w:t>
      </w:r>
      <w:r w:rsidR="00C06970" w:rsidRPr="007C2D51">
        <w:t>4</w:t>
      </w:r>
      <w:r w:rsidRPr="007C2D51">
        <w:t>8</w:t>
      </w:r>
      <w:r w:rsidR="009A6952" w:rsidRPr="007C2D51">
        <w:t>%), but accounted for only 2</w:t>
      </w:r>
      <w:r w:rsidRPr="007C2D51">
        <w:t>1</w:t>
      </w:r>
      <w:r w:rsidR="009A6952" w:rsidRPr="007C2D51">
        <w:t>% of the rural programs</w:t>
      </w:r>
      <w:r w:rsidR="00CE332B" w:rsidRPr="007C2D51">
        <w:t xml:space="preserve">.  </w:t>
      </w:r>
      <w:r w:rsidR="009A6952" w:rsidRPr="007C2D51">
        <w:t xml:space="preserve">Demand response, in contrast, comprised </w:t>
      </w:r>
      <w:r w:rsidRPr="007C2D51">
        <w:t>40</w:t>
      </w:r>
      <w:r w:rsidR="009A6952" w:rsidRPr="007C2D51">
        <w:t>% of the non-urban programs but only 1</w:t>
      </w:r>
      <w:r w:rsidR="00C06970" w:rsidRPr="007C2D51">
        <w:t>3</w:t>
      </w:r>
      <w:r w:rsidR="009A6952" w:rsidRPr="007C2D51">
        <w:t>% of the large urban services</w:t>
      </w:r>
      <w:r w:rsidR="00CE332B" w:rsidRPr="007C2D51">
        <w:t xml:space="preserve">.  </w:t>
      </w:r>
      <w:r w:rsidR="00000702" w:rsidRPr="007C2D51">
        <w:t>Again, these findings are not surprising and indicate that JARC recipients are taking advantage of the program’s flexibility to match service configuration with the operating environment</w:t>
      </w:r>
      <w:r w:rsidR="00CE332B" w:rsidRPr="007C2D51">
        <w:t xml:space="preserve">.  </w:t>
      </w:r>
      <w:r w:rsidR="00A921AA" w:rsidRPr="007C2D51">
        <w:t>(See Table 3-</w:t>
      </w:r>
      <w:r w:rsidR="007D7122" w:rsidRPr="007C2D51">
        <w:t>5</w:t>
      </w:r>
      <w:r w:rsidR="00A921AA" w:rsidRPr="007C2D51">
        <w:t xml:space="preserve"> and Figure 3-</w:t>
      </w:r>
      <w:r w:rsidR="00C4641C" w:rsidRPr="007C2D51">
        <w:t>5</w:t>
      </w:r>
      <w:r w:rsidR="00A921AA" w:rsidRPr="007C2D51">
        <w:t>.)</w:t>
      </w:r>
    </w:p>
    <w:p w:rsidR="00344692" w:rsidRPr="007C2D51" w:rsidRDefault="00146E5E" w:rsidP="00146E5E">
      <w:pPr>
        <w:pStyle w:val="BodyText"/>
      </w:pPr>
      <w:r w:rsidRPr="007C2D51">
        <w:t xml:space="preserve">Between FY 2009 and FY 2010, the percentage of JARC-supported services in large urbanized areas increased slightly from 44% to 47% but the percentage in rural areas was stable at about </w:t>
      </w:r>
      <w:r w:rsidRPr="007C2D51">
        <w:lastRenderedPageBreak/>
        <w:t xml:space="preserve">30%.  This pattern may </w:t>
      </w:r>
      <w:r w:rsidR="00DC2EF1" w:rsidRPr="007C2D51">
        <w:t>reflect the impacts of the formula program, which allocates a fixed percentage of JARC funding for communities in small urban and non-urbanized areas</w:t>
      </w:r>
      <w:r w:rsidR="00CE332B" w:rsidRPr="007C2D51">
        <w:t xml:space="preserve">.   </w:t>
      </w:r>
      <w:r w:rsidR="004B01CE" w:rsidRPr="007C2D51">
        <w:t xml:space="preserve">Figure </w:t>
      </w:r>
      <w:r w:rsidR="0039101F" w:rsidRPr="007C2D51">
        <w:t>3</w:t>
      </w:r>
      <w:r w:rsidR="004B01CE" w:rsidRPr="007C2D51">
        <w:t>-6 illustrates the trend, showing the percentage of JARC services by size of urbanized area for FY 2006 through FY 20</w:t>
      </w:r>
      <w:r w:rsidRPr="007C2D51">
        <w:t>10</w:t>
      </w:r>
      <w:r w:rsidR="00CE332B" w:rsidRPr="007C2D51">
        <w:t xml:space="preserve">.  </w:t>
      </w:r>
    </w:p>
    <w:p w:rsidR="00B14838" w:rsidRPr="007C2D51" w:rsidRDefault="00B14838" w:rsidP="00CE7C6F">
      <w:pPr>
        <w:pStyle w:val="BodyText"/>
      </w:pPr>
      <w:r w:rsidRPr="007C2D51">
        <w:br w:type="page"/>
      </w:r>
    </w:p>
    <w:p w:rsidR="00A921AA" w:rsidRPr="007C2D51" w:rsidRDefault="00A921AA" w:rsidP="008C13AC">
      <w:pPr>
        <w:pStyle w:val="Caption"/>
      </w:pPr>
      <w:bookmarkStart w:id="75" w:name="_Toc244485526"/>
      <w:bookmarkStart w:id="76" w:name="OLE_LINK13"/>
      <w:bookmarkStart w:id="77" w:name="OLE_LINK14"/>
      <w:bookmarkStart w:id="78" w:name="_Toc242869951"/>
      <w:bookmarkStart w:id="79" w:name="_Toc244658128"/>
      <w:bookmarkStart w:id="80" w:name="_Toc304967470"/>
      <w:bookmarkEnd w:id="75"/>
      <w:r w:rsidRPr="007C2D51">
        <w:lastRenderedPageBreak/>
        <w:t xml:space="preserve">Table </w:t>
      </w:r>
      <w:r w:rsidR="00022E2F" w:rsidRPr="007C2D51">
        <w:fldChar w:fldCharType="begin"/>
      </w:r>
      <w:r w:rsidR="00FB3E36" w:rsidRPr="007C2D51">
        <w:instrText xml:space="preserve"> STYLEREF 1 \s </w:instrText>
      </w:r>
      <w:r w:rsidR="00022E2F" w:rsidRPr="007C2D51">
        <w:fldChar w:fldCharType="separate"/>
      </w:r>
      <w:r w:rsidR="00F35ACC">
        <w:rPr>
          <w:noProof/>
        </w:rPr>
        <w:t>3</w:t>
      </w:r>
      <w:r w:rsidR="00022E2F" w:rsidRPr="007C2D51">
        <w:fldChar w:fldCharType="end"/>
      </w:r>
      <w:r w:rsidR="00FB3E36" w:rsidRPr="007C2D51">
        <w:noBreakHyphen/>
      </w:r>
      <w:r w:rsidR="00022E2F" w:rsidRPr="007C2D51">
        <w:fldChar w:fldCharType="begin"/>
      </w:r>
      <w:r w:rsidR="00FB3E36" w:rsidRPr="007C2D51">
        <w:instrText xml:space="preserve"> SEQ Table \* ARABIC \s 1 </w:instrText>
      </w:r>
      <w:r w:rsidR="00022E2F" w:rsidRPr="007C2D51">
        <w:fldChar w:fldCharType="separate"/>
      </w:r>
      <w:r w:rsidR="00F35ACC">
        <w:rPr>
          <w:noProof/>
        </w:rPr>
        <w:t>4</w:t>
      </w:r>
      <w:r w:rsidR="00022E2F" w:rsidRPr="007C2D51">
        <w:fldChar w:fldCharType="end"/>
      </w:r>
      <w:r w:rsidRPr="007C2D51">
        <w:br/>
        <w:t xml:space="preserve">JARC Services by Type and </w:t>
      </w:r>
      <w:bookmarkEnd w:id="76"/>
      <w:bookmarkEnd w:id="77"/>
      <w:r w:rsidR="007D7122" w:rsidRPr="007C2D51">
        <w:t>Size of Urbanized Area</w:t>
      </w:r>
      <w:r w:rsidRPr="007C2D51">
        <w:t xml:space="preserve"> </w:t>
      </w:r>
      <w:r w:rsidRPr="007C2D51">
        <w:br/>
        <w:t>(</w:t>
      </w:r>
      <w:r w:rsidR="00C16469" w:rsidRPr="007C2D51">
        <w:t>Percentage by Row</w:t>
      </w:r>
      <w:r w:rsidRPr="007C2D51">
        <w:t>)</w:t>
      </w:r>
      <w:bookmarkEnd w:id="78"/>
      <w:bookmarkEnd w:id="79"/>
      <w:bookmarkEnd w:id="80"/>
    </w:p>
    <w:tbl>
      <w:tblPr>
        <w:tblStyle w:val="LightList-Accent6"/>
        <w:tblpPr w:leftFromText="180" w:rightFromText="180" w:vertAnchor="text" w:horzAnchor="margin" w:tblpXSpec="center" w:tblpY="23"/>
        <w:tblW w:w="9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16"/>
        <w:gridCol w:w="664"/>
        <w:gridCol w:w="1541"/>
        <w:gridCol w:w="1492"/>
        <w:gridCol w:w="1335"/>
        <w:gridCol w:w="725"/>
      </w:tblGrid>
      <w:tr w:rsidR="0037079D" w:rsidRPr="007C2D51" w:rsidTr="00E218F6">
        <w:trPr>
          <w:cnfStyle w:val="100000000000"/>
          <w:trHeight w:val="300"/>
        </w:trPr>
        <w:tc>
          <w:tcPr>
            <w:cnfStyle w:val="001000000000"/>
            <w:tcW w:w="1929" w:type="pct"/>
            <w:noWrap/>
            <w:vAlign w:val="bottom"/>
          </w:tcPr>
          <w:p w:rsidR="0037079D" w:rsidRPr="007C2D51" w:rsidRDefault="0037079D" w:rsidP="0037079D">
            <w:r w:rsidRPr="007C2D51">
              <w:t>Service Type</w:t>
            </w:r>
          </w:p>
        </w:tc>
        <w:tc>
          <w:tcPr>
            <w:tcW w:w="354" w:type="pct"/>
            <w:vAlign w:val="bottom"/>
          </w:tcPr>
          <w:p w:rsidR="0037079D" w:rsidRPr="007C2D51" w:rsidRDefault="0037079D" w:rsidP="0037079D">
            <w:pPr>
              <w:jc w:val="center"/>
              <w:cnfStyle w:val="100000000000"/>
            </w:pPr>
            <w:r w:rsidRPr="007C2D51">
              <w:t>#</w:t>
            </w:r>
          </w:p>
        </w:tc>
        <w:tc>
          <w:tcPr>
            <w:tcW w:w="822" w:type="pct"/>
            <w:noWrap/>
            <w:vAlign w:val="bottom"/>
          </w:tcPr>
          <w:p w:rsidR="0037079D" w:rsidRPr="007C2D51" w:rsidRDefault="0037079D" w:rsidP="0037079D">
            <w:pPr>
              <w:jc w:val="center"/>
              <w:cnfStyle w:val="100000000000"/>
            </w:pPr>
            <w:r w:rsidRPr="007C2D51">
              <w:t>Large Urban</w:t>
            </w:r>
          </w:p>
        </w:tc>
        <w:tc>
          <w:tcPr>
            <w:tcW w:w="796" w:type="pct"/>
            <w:noWrap/>
            <w:vAlign w:val="bottom"/>
          </w:tcPr>
          <w:p w:rsidR="0037079D" w:rsidRPr="007C2D51" w:rsidRDefault="0037079D" w:rsidP="0037079D">
            <w:pPr>
              <w:jc w:val="center"/>
              <w:cnfStyle w:val="100000000000"/>
            </w:pPr>
            <w:r w:rsidRPr="007C2D51">
              <w:t>Small Urban</w:t>
            </w:r>
          </w:p>
        </w:tc>
        <w:tc>
          <w:tcPr>
            <w:tcW w:w="712" w:type="pct"/>
            <w:noWrap/>
            <w:vAlign w:val="bottom"/>
          </w:tcPr>
          <w:p w:rsidR="0037079D" w:rsidRPr="007C2D51" w:rsidRDefault="0037079D" w:rsidP="0037079D">
            <w:pPr>
              <w:jc w:val="center"/>
              <w:cnfStyle w:val="100000000000"/>
            </w:pPr>
            <w:r w:rsidRPr="007C2D51">
              <w:t>Non Urban</w:t>
            </w:r>
          </w:p>
        </w:tc>
        <w:tc>
          <w:tcPr>
            <w:tcW w:w="387" w:type="pct"/>
            <w:noWrap/>
            <w:vAlign w:val="bottom"/>
          </w:tcPr>
          <w:p w:rsidR="0037079D" w:rsidRPr="007C2D51" w:rsidRDefault="0037079D" w:rsidP="0037079D">
            <w:pPr>
              <w:jc w:val="center"/>
              <w:cnfStyle w:val="100000000000"/>
            </w:pPr>
            <w:r w:rsidRPr="007C2D51">
              <w:t>Total</w:t>
            </w:r>
          </w:p>
        </w:tc>
      </w:tr>
      <w:tr w:rsidR="0037079D" w:rsidRPr="007C2D51" w:rsidTr="00E218F6">
        <w:trPr>
          <w:cnfStyle w:val="000000100000"/>
          <w:trHeight w:val="300"/>
        </w:trPr>
        <w:tc>
          <w:tcPr>
            <w:cnfStyle w:val="001000000000"/>
            <w:tcW w:w="1929" w:type="pct"/>
            <w:tcBorders>
              <w:top w:val="none" w:sz="0" w:space="0" w:color="auto"/>
              <w:left w:val="none" w:sz="0" w:space="0" w:color="auto"/>
              <w:bottom w:val="none" w:sz="0" w:space="0" w:color="auto"/>
            </w:tcBorders>
            <w:shd w:val="clear" w:color="auto" w:fill="475A8D" w:themeFill="accent6"/>
            <w:noWrap/>
            <w:vAlign w:val="bottom"/>
          </w:tcPr>
          <w:p w:rsidR="0037079D" w:rsidRPr="007C2D51" w:rsidRDefault="0037079D" w:rsidP="0037079D">
            <w:pPr>
              <w:rPr>
                <w:b w:val="0"/>
                <w:bCs w:val="0"/>
                <w:color w:val="FFFFFF" w:themeColor="background1"/>
              </w:rPr>
            </w:pPr>
            <w:r w:rsidRPr="007C2D51">
              <w:rPr>
                <w:color w:val="FFFFFF" w:themeColor="background1"/>
              </w:rPr>
              <w:t>Trip-Based Services</w:t>
            </w:r>
          </w:p>
        </w:tc>
        <w:tc>
          <w:tcPr>
            <w:tcW w:w="354" w:type="pct"/>
            <w:tcBorders>
              <w:top w:val="none" w:sz="0" w:space="0" w:color="auto"/>
              <w:bottom w:val="none" w:sz="0" w:space="0" w:color="auto"/>
            </w:tcBorders>
            <w:shd w:val="clear" w:color="auto" w:fill="475A8D" w:themeFill="accent6"/>
            <w:vAlign w:val="bottom"/>
          </w:tcPr>
          <w:p w:rsidR="0037079D" w:rsidRPr="007C2D51" w:rsidRDefault="0037079D" w:rsidP="0037079D">
            <w:pPr>
              <w:jc w:val="right"/>
              <w:cnfStyle w:val="000000100000"/>
              <w:rPr>
                <w:rFonts w:cs="Calibri"/>
                <w:b/>
                <w:bCs/>
                <w:color w:val="FFFFFF" w:themeColor="background1"/>
              </w:rPr>
            </w:pPr>
            <w:r w:rsidRPr="007C2D51">
              <w:rPr>
                <w:rFonts w:cs="Calibri"/>
                <w:b/>
                <w:bCs/>
                <w:color w:val="FFFFFF" w:themeColor="background1"/>
              </w:rPr>
              <w:t>813</w:t>
            </w:r>
          </w:p>
        </w:tc>
        <w:tc>
          <w:tcPr>
            <w:tcW w:w="822" w:type="pct"/>
            <w:tcBorders>
              <w:top w:val="none" w:sz="0" w:space="0" w:color="auto"/>
              <w:bottom w:val="none" w:sz="0" w:space="0" w:color="auto"/>
            </w:tcBorders>
            <w:shd w:val="clear" w:color="auto" w:fill="475A8D" w:themeFill="accent6"/>
            <w:noWrap/>
            <w:vAlign w:val="bottom"/>
          </w:tcPr>
          <w:p w:rsidR="0037079D" w:rsidRPr="007C2D51" w:rsidRDefault="0037079D">
            <w:pPr>
              <w:jc w:val="right"/>
              <w:cnfStyle w:val="000000100000"/>
              <w:rPr>
                <w:rFonts w:cs="Calibri"/>
                <w:b/>
                <w:bCs/>
                <w:color w:val="FFFFFF" w:themeColor="background1"/>
              </w:rPr>
            </w:pPr>
            <w:r w:rsidRPr="007C2D51">
              <w:rPr>
                <w:rFonts w:cs="Calibri"/>
                <w:b/>
                <w:bCs/>
                <w:color w:val="FFFFFF" w:themeColor="background1"/>
              </w:rPr>
              <w:t>47%</w:t>
            </w:r>
          </w:p>
        </w:tc>
        <w:tc>
          <w:tcPr>
            <w:tcW w:w="796" w:type="pct"/>
            <w:tcBorders>
              <w:top w:val="none" w:sz="0" w:space="0" w:color="auto"/>
              <w:bottom w:val="none" w:sz="0" w:space="0" w:color="auto"/>
            </w:tcBorders>
            <w:shd w:val="clear" w:color="auto" w:fill="475A8D" w:themeFill="accent6"/>
            <w:noWrap/>
            <w:vAlign w:val="bottom"/>
          </w:tcPr>
          <w:p w:rsidR="0037079D" w:rsidRPr="007C2D51" w:rsidRDefault="0037079D">
            <w:pPr>
              <w:jc w:val="right"/>
              <w:cnfStyle w:val="000000100000"/>
              <w:rPr>
                <w:rFonts w:cs="Calibri"/>
                <w:b/>
                <w:bCs/>
                <w:color w:val="FFFFFF" w:themeColor="background1"/>
              </w:rPr>
            </w:pPr>
            <w:r w:rsidRPr="007C2D51">
              <w:rPr>
                <w:rFonts w:cs="Calibri"/>
                <w:b/>
                <w:bCs/>
                <w:color w:val="FFFFFF" w:themeColor="background1"/>
              </w:rPr>
              <w:t>23%</w:t>
            </w:r>
          </w:p>
        </w:tc>
        <w:tc>
          <w:tcPr>
            <w:tcW w:w="712" w:type="pct"/>
            <w:tcBorders>
              <w:top w:val="none" w:sz="0" w:space="0" w:color="auto"/>
              <w:bottom w:val="none" w:sz="0" w:space="0" w:color="auto"/>
            </w:tcBorders>
            <w:shd w:val="clear" w:color="auto" w:fill="475A8D" w:themeFill="accent6"/>
            <w:noWrap/>
            <w:vAlign w:val="bottom"/>
          </w:tcPr>
          <w:p w:rsidR="0037079D" w:rsidRPr="007C2D51" w:rsidRDefault="0037079D">
            <w:pPr>
              <w:jc w:val="right"/>
              <w:cnfStyle w:val="000000100000"/>
              <w:rPr>
                <w:rFonts w:cs="Calibri"/>
                <w:b/>
                <w:bCs/>
                <w:color w:val="FFFFFF" w:themeColor="background1"/>
              </w:rPr>
            </w:pPr>
            <w:r w:rsidRPr="007C2D51">
              <w:rPr>
                <w:rFonts w:cs="Calibri"/>
                <w:b/>
                <w:bCs/>
                <w:color w:val="FFFFFF" w:themeColor="background1"/>
              </w:rPr>
              <w:t>30%</w:t>
            </w:r>
          </w:p>
        </w:tc>
        <w:tc>
          <w:tcPr>
            <w:tcW w:w="387" w:type="pct"/>
            <w:tcBorders>
              <w:top w:val="none" w:sz="0" w:space="0" w:color="auto"/>
              <w:bottom w:val="none" w:sz="0" w:space="0" w:color="auto"/>
              <w:right w:val="none" w:sz="0" w:space="0" w:color="auto"/>
            </w:tcBorders>
            <w:shd w:val="clear" w:color="auto" w:fill="475A8D" w:themeFill="accent6"/>
            <w:noWrap/>
            <w:vAlign w:val="bottom"/>
          </w:tcPr>
          <w:p w:rsidR="0037079D" w:rsidRPr="00613F0E" w:rsidRDefault="0037079D" w:rsidP="0037079D">
            <w:pPr>
              <w:jc w:val="right"/>
              <w:cnfStyle w:val="000000100000"/>
              <w:rPr>
                <w:b/>
                <w:color w:val="FFFFFF" w:themeColor="background1"/>
              </w:rPr>
            </w:pPr>
            <w:r w:rsidRPr="00613F0E">
              <w:rPr>
                <w:b/>
                <w:color w:val="FFFFFF" w:themeColor="background1"/>
              </w:rPr>
              <w:t>100%</w:t>
            </w:r>
          </w:p>
        </w:tc>
      </w:tr>
      <w:tr w:rsidR="0037079D" w:rsidRPr="007C2D51" w:rsidTr="00E218F6">
        <w:trPr>
          <w:trHeight w:val="300"/>
        </w:trPr>
        <w:tc>
          <w:tcPr>
            <w:cnfStyle w:val="001000000000"/>
            <w:tcW w:w="1929" w:type="pct"/>
            <w:noWrap/>
            <w:vAlign w:val="bottom"/>
          </w:tcPr>
          <w:p w:rsidR="0037079D" w:rsidRPr="007C2D51" w:rsidRDefault="0037079D" w:rsidP="0037079D">
            <w:r w:rsidRPr="007C2D51">
              <w:t>Fixed route</w:t>
            </w:r>
          </w:p>
        </w:tc>
        <w:tc>
          <w:tcPr>
            <w:tcW w:w="354" w:type="pct"/>
            <w:vAlign w:val="bottom"/>
          </w:tcPr>
          <w:p w:rsidR="0037079D" w:rsidRPr="007C2D51" w:rsidRDefault="0037079D" w:rsidP="0037079D">
            <w:pPr>
              <w:jc w:val="right"/>
              <w:cnfStyle w:val="000000000000"/>
              <w:rPr>
                <w:rFonts w:cs="Calibri"/>
                <w:color w:val="000000"/>
              </w:rPr>
            </w:pPr>
            <w:r w:rsidRPr="007C2D51">
              <w:rPr>
                <w:rFonts w:cs="Calibri"/>
                <w:color w:val="000000"/>
              </w:rPr>
              <w:t>397</w:t>
            </w:r>
          </w:p>
        </w:tc>
        <w:tc>
          <w:tcPr>
            <w:tcW w:w="822" w:type="pct"/>
            <w:noWrap/>
            <w:vAlign w:val="bottom"/>
          </w:tcPr>
          <w:p w:rsidR="0037079D" w:rsidRPr="007C2D51" w:rsidRDefault="0037079D">
            <w:pPr>
              <w:jc w:val="right"/>
              <w:cnfStyle w:val="000000000000"/>
              <w:rPr>
                <w:rFonts w:cs="Calibri"/>
                <w:color w:val="000000"/>
              </w:rPr>
            </w:pPr>
            <w:r w:rsidRPr="007C2D51">
              <w:rPr>
                <w:rFonts w:cs="Calibri"/>
                <w:color w:val="000000"/>
              </w:rPr>
              <w:t>58%</w:t>
            </w:r>
          </w:p>
        </w:tc>
        <w:tc>
          <w:tcPr>
            <w:tcW w:w="796" w:type="pct"/>
            <w:noWrap/>
            <w:vAlign w:val="bottom"/>
          </w:tcPr>
          <w:p w:rsidR="0037079D" w:rsidRPr="007C2D51" w:rsidRDefault="0037079D">
            <w:pPr>
              <w:jc w:val="right"/>
              <w:cnfStyle w:val="000000000000"/>
              <w:rPr>
                <w:rFonts w:cs="Calibri"/>
                <w:color w:val="000000"/>
              </w:rPr>
            </w:pPr>
            <w:r w:rsidRPr="007C2D51">
              <w:rPr>
                <w:rFonts w:cs="Calibri"/>
                <w:color w:val="000000"/>
              </w:rPr>
              <w:t>25%</w:t>
            </w:r>
          </w:p>
        </w:tc>
        <w:tc>
          <w:tcPr>
            <w:tcW w:w="712" w:type="pct"/>
            <w:noWrap/>
            <w:vAlign w:val="bottom"/>
          </w:tcPr>
          <w:p w:rsidR="0037079D" w:rsidRPr="007C2D51" w:rsidRDefault="0037079D">
            <w:pPr>
              <w:jc w:val="right"/>
              <w:cnfStyle w:val="000000000000"/>
              <w:rPr>
                <w:rFonts w:cs="Calibri"/>
                <w:color w:val="000000"/>
              </w:rPr>
            </w:pPr>
            <w:r w:rsidRPr="007C2D51">
              <w:rPr>
                <w:rFonts w:cs="Calibri"/>
                <w:color w:val="000000"/>
              </w:rPr>
              <w:t>17%</w:t>
            </w:r>
          </w:p>
        </w:tc>
        <w:tc>
          <w:tcPr>
            <w:tcW w:w="387" w:type="pct"/>
            <w:noWrap/>
            <w:vAlign w:val="bottom"/>
          </w:tcPr>
          <w:p w:rsidR="0037079D" w:rsidRPr="007C2D51" w:rsidRDefault="0037079D" w:rsidP="0037079D">
            <w:pPr>
              <w:jc w:val="right"/>
              <w:cnfStyle w:val="000000000000"/>
            </w:pPr>
            <w:r w:rsidRPr="007C2D51">
              <w:t>100%</w:t>
            </w:r>
          </w:p>
        </w:tc>
      </w:tr>
      <w:tr w:rsidR="0037079D" w:rsidRPr="007C2D51" w:rsidTr="00E218F6">
        <w:trPr>
          <w:cnfStyle w:val="000000100000"/>
          <w:trHeight w:val="300"/>
        </w:trPr>
        <w:tc>
          <w:tcPr>
            <w:cnfStyle w:val="001000000000"/>
            <w:tcW w:w="1929" w:type="pct"/>
            <w:tcBorders>
              <w:top w:val="none" w:sz="0" w:space="0" w:color="auto"/>
              <w:left w:val="none" w:sz="0" w:space="0" w:color="auto"/>
              <w:bottom w:val="none" w:sz="0" w:space="0" w:color="auto"/>
            </w:tcBorders>
            <w:noWrap/>
            <w:vAlign w:val="bottom"/>
          </w:tcPr>
          <w:p w:rsidR="0037079D" w:rsidRPr="007C2D51" w:rsidRDefault="0037079D" w:rsidP="0037079D">
            <w:r w:rsidRPr="007C2D51">
              <w:t>Demand response</w:t>
            </w:r>
          </w:p>
        </w:tc>
        <w:tc>
          <w:tcPr>
            <w:tcW w:w="354" w:type="pct"/>
            <w:tcBorders>
              <w:top w:val="none" w:sz="0" w:space="0" w:color="auto"/>
              <w:bottom w:val="none" w:sz="0" w:space="0" w:color="auto"/>
            </w:tcBorders>
            <w:vAlign w:val="bottom"/>
          </w:tcPr>
          <w:p w:rsidR="0037079D" w:rsidRPr="007C2D51" w:rsidRDefault="0037079D" w:rsidP="0037079D">
            <w:pPr>
              <w:jc w:val="right"/>
              <w:cnfStyle w:val="000000100000"/>
              <w:rPr>
                <w:rFonts w:cs="Calibri"/>
                <w:color w:val="000000"/>
              </w:rPr>
            </w:pPr>
            <w:r w:rsidRPr="007C2D51">
              <w:rPr>
                <w:rFonts w:cs="Calibri"/>
                <w:color w:val="000000"/>
              </w:rPr>
              <w:t>237</w:t>
            </w:r>
          </w:p>
        </w:tc>
        <w:tc>
          <w:tcPr>
            <w:tcW w:w="822" w:type="pct"/>
            <w:tcBorders>
              <w:top w:val="none" w:sz="0" w:space="0" w:color="auto"/>
              <w:bottom w:val="none" w:sz="0" w:space="0" w:color="auto"/>
            </w:tcBorders>
            <w:noWrap/>
            <w:vAlign w:val="bottom"/>
          </w:tcPr>
          <w:p w:rsidR="0037079D" w:rsidRPr="007C2D51" w:rsidRDefault="0037079D">
            <w:pPr>
              <w:jc w:val="right"/>
              <w:cnfStyle w:val="000000100000"/>
              <w:rPr>
                <w:rFonts w:cs="Calibri"/>
                <w:color w:val="000000"/>
              </w:rPr>
            </w:pPr>
            <w:r w:rsidRPr="007C2D51">
              <w:rPr>
                <w:rFonts w:cs="Calibri"/>
                <w:color w:val="000000"/>
              </w:rPr>
              <w:t>27%</w:t>
            </w:r>
          </w:p>
        </w:tc>
        <w:tc>
          <w:tcPr>
            <w:tcW w:w="796" w:type="pct"/>
            <w:tcBorders>
              <w:top w:val="none" w:sz="0" w:space="0" w:color="auto"/>
              <w:bottom w:val="none" w:sz="0" w:space="0" w:color="auto"/>
            </w:tcBorders>
            <w:noWrap/>
            <w:vAlign w:val="bottom"/>
          </w:tcPr>
          <w:p w:rsidR="0037079D" w:rsidRPr="007C2D51" w:rsidRDefault="0037079D">
            <w:pPr>
              <w:jc w:val="right"/>
              <w:cnfStyle w:val="000000100000"/>
              <w:rPr>
                <w:rFonts w:cs="Calibri"/>
                <w:color w:val="000000"/>
              </w:rPr>
            </w:pPr>
            <w:r w:rsidRPr="007C2D51">
              <w:rPr>
                <w:rFonts w:cs="Calibri"/>
                <w:color w:val="000000"/>
              </w:rPr>
              <w:t>21%</w:t>
            </w:r>
          </w:p>
        </w:tc>
        <w:tc>
          <w:tcPr>
            <w:tcW w:w="712" w:type="pct"/>
            <w:tcBorders>
              <w:top w:val="none" w:sz="0" w:space="0" w:color="auto"/>
              <w:bottom w:val="none" w:sz="0" w:space="0" w:color="auto"/>
            </w:tcBorders>
            <w:noWrap/>
            <w:vAlign w:val="bottom"/>
          </w:tcPr>
          <w:p w:rsidR="0037079D" w:rsidRPr="007C2D51" w:rsidRDefault="0037079D">
            <w:pPr>
              <w:jc w:val="right"/>
              <w:cnfStyle w:val="000000100000"/>
              <w:rPr>
                <w:rFonts w:cs="Calibri"/>
                <w:color w:val="000000"/>
              </w:rPr>
            </w:pPr>
            <w:r w:rsidRPr="007C2D51">
              <w:rPr>
                <w:rFonts w:cs="Calibri"/>
                <w:color w:val="000000"/>
              </w:rPr>
              <w:t>52%</w:t>
            </w:r>
          </w:p>
        </w:tc>
        <w:tc>
          <w:tcPr>
            <w:tcW w:w="387" w:type="pct"/>
            <w:tcBorders>
              <w:top w:val="none" w:sz="0" w:space="0" w:color="auto"/>
              <w:bottom w:val="none" w:sz="0" w:space="0" w:color="auto"/>
              <w:right w:val="none" w:sz="0" w:space="0" w:color="auto"/>
            </w:tcBorders>
            <w:noWrap/>
            <w:vAlign w:val="bottom"/>
          </w:tcPr>
          <w:p w:rsidR="0037079D" w:rsidRPr="007C2D51" w:rsidRDefault="0037079D" w:rsidP="0037079D">
            <w:pPr>
              <w:jc w:val="right"/>
              <w:cnfStyle w:val="000000100000"/>
            </w:pPr>
            <w:r w:rsidRPr="007C2D51">
              <w:t>100%</w:t>
            </w:r>
          </w:p>
        </w:tc>
      </w:tr>
      <w:tr w:rsidR="0037079D" w:rsidRPr="007C2D51" w:rsidTr="00E218F6">
        <w:trPr>
          <w:trHeight w:val="300"/>
        </w:trPr>
        <w:tc>
          <w:tcPr>
            <w:cnfStyle w:val="001000000000"/>
            <w:tcW w:w="1929" w:type="pct"/>
            <w:noWrap/>
            <w:vAlign w:val="bottom"/>
          </w:tcPr>
          <w:p w:rsidR="0037079D" w:rsidRPr="007C2D51" w:rsidRDefault="0037079D" w:rsidP="0037079D">
            <w:r w:rsidRPr="007C2D51">
              <w:t>Flexible routing</w:t>
            </w:r>
          </w:p>
        </w:tc>
        <w:tc>
          <w:tcPr>
            <w:tcW w:w="354" w:type="pct"/>
            <w:vAlign w:val="bottom"/>
          </w:tcPr>
          <w:p w:rsidR="0037079D" w:rsidRPr="007C2D51" w:rsidRDefault="0037079D" w:rsidP="0037079D">
            <w:pPr>
              <w:jc w:val="right"/>
              <w:cnfStyle w:val="000000000000"/>
              <w:rPr>
                <w:rFonts w:cs="Calibri"/>
                <w:color w:val="000000"/>
              </w:rPr>
            </w:pPr>
            <w:r w:rsidRPr="007C2D51">
              <w:rPr>
                <w:rFonts w:cs="Calibri"/>
                <w:color w:val="000000"/>
              </w:rPr>
              <w:t>61</w:t>
            </w:r>
          </w:p>
        </w:tc>
        <w:tc>
          <w:tcPr>
            <w:tcW w:w="822" w:type="pct"/>
            <w:noWrap/>
            <w:vAlign w:val="bottom"/>
          </w:tcPr>
          <w:p w:rsidR="0037079D" w:rsidRPr="007C2D51" w:rsidRDefault="0037079D">
            <w:pPr>
              <w:jc w:val="right"/>
              <w:cnfStyle w:val="000000000000"/>
              <w:rPr>
                <w:rFonts w:cs="Calibri"/>
                <w:color w:val="000000"/>
              </w:rPr>
            </w:pPr>
            <w:r w:rsidRPr="007C2D51">
              <w:rPr>
                <w:rFonts w:cs="Calibri"/>
                <w:color w:val="000000"/>
              </w:rPr>
              <w:t>31%</w:t>
            </w:r>
          </w:p>
        </w:tc>
        <w:tc>
          <w:tcPr>
            <w:tcW w:w="796" w:type="pct"/>
            <w:noWrap/>
            <w:vAlign w:val="bottom"/>
          </w:tcPr>
          <w:p w:rsidR="0037079D" w:rsidRPr="007C2D51" w:rsidRDefault="0037079D">
            <w:pPr>
              <w:jc w:val="right"/>
              <w:cnfStyle w:val="000000000000"/>
              <w:rPr>
                <w:rFonts w:cs="Calibri"/>
                <w:color w:val="000000"/>
              </w:rPr>
            </w:pPr>
            <w:r w:rsidRPr="007C2D51">
              <w:rPr>
                <w:rFonts w:cs="Calibri"/>
                <w:color w:val="000000"/>
              </w:rPr>
              <w:t>28%</w:t>
            </w:r>
          </w:p>
        </w:tc>
        <w:tc>
          <w:tcPr>
            <w:tcW w:w="712" w:type="pct"/>
            <w:noWrap/>
            <w:vAlign w:val="bottom"/>
          </w:tcPr>
          <w:p w:rsidR="0037079D" w:rsidRPr="007C2D51" w:rsidRDefault="0037079D">
            <w:pPr>
              <w:jc w:val="right"/>
              <w:cnfStyle w:val="000000000000"/>
              <w:rPr>
                <w:rFonts w:cs="Calibri"/>
                <w:color w:val="000000"/>
              </w:rPr>
            </w:pPr>
            <w:r w:rsidRPr="007C2D51">
              <w:rPr>
                <w:rFonts w:cs="Calibri"/>
                <w:color w:val="000000"/>
              </w:rPr>
              <w:t>41%</w:t>
            </w:r>
          </w:p>
        </w:tc>
        <w:tc>
          <w:tcPr>
            <w:tcW w:w="387" w:type="pct"/>
            <w:noWrap/>
            <w:vAlign w:val="bottom"/>
          </w:tcPr>
          <w:p w:rsidR="0037079D" w:rsidRPr="007C2D51" w:rsidRDefault="0037079D" w:rsidP="0037079D">
            <w:pPr>
              <w:jc w:val="right"/>
              <w:cnfStyle w:val="000000000000"/>
            </w:pPr>
            <w:r w:rsidRPr="007C2D51">
              <w:t>100%</w:t>
            </w:r>
          </w:p>
        </w:tc>
      </w:tr>
      <w:tr w:rsidR="0037079D" w:rsidRPr="007C2D51" w:rsidTr="00E218F6">
        <w:trPr>
          <w:cnfStyle w:val="000000100000"/>
          <w:trHeight w:val="300"/>
        </w:trPr>
        <w:tc>
          <w:tcPr>
            <w:cnfStyle w:val="001000000000"/>
            <w:tcW w:w="1929" w:type="pct"/>
            <w:tcBorders>
              <w:top w:val="none" w:sz="0" w:space="0" w:color="auto"/>
              <w:left w:val="none" w:sz="0" w:space="0" w:color="auto"/>
              <w:bottom w:val="none" w:sz="0" w:space="0" w:color="auto"/>
            </w:tcBorders>
            <w:noWrap/>
            <w:vAlign w:val="bottom"/>
          </w:tcPr>
          <w:p w:rsidR="0037079D" w:rsidRPr="007C2D51" w:rsidRDefault="0037079D" w:rsidP="0037079D">
            <w:r w:rsidRPr="007C2D51">
              <w:t>Shuttle/Feeder</w:t>
            </w:r>
          </w:p>
        </w:tc>
        <w:tc>
          <w:tcPr>
            <w:tcW w:w="354" w:type="pct"/>
            <w:tcBorders>
              <w:top w:val="none" w:sz="0" w:space="0" w:color="auto"/>
              <w:bottom w:val="none" w:sz="0" w:space="0" w:color="auto"/>
            </w:tcBorders>
            <w:vAlign w:val="bottom"/>
          </w:tcPr>
          <w:p w:rsidR="0037079D" w:rsidRPr="007C2D51" w:rsidRDefault="0037079D" w:rsidP="0037079D">
            <w:pPr>
              <w:jc w:val="right"/>
              <w:cnfStyle w:val="000000100000"/>
              <w:rPr>
                <w:rFonts w:cs="Calibri"/>
                <w:color w:val="000000"/>
              </w:rPr>
            </w:pPr>
            <w:r w:rsidRPr="007C2D51">
              <w:rPr>
                <w:rFonts w:cs="Calibri"/>
                <w:color w:val="000000"/>
              </w:rPr>
              <w:t>52</w:t>
            </w:r>
          </w:p>
        </w:tc>
        <w:tc>
          <w:tcPr>
            <w:tcW w:w="822" w:type="pct"/>
            <w:tcBorders>
              <w:top w:val="none" w:sz="0" w:space="0" w:color="auto"/>
              <w:bottom w:val="none" w:sz="0" w:space="0" w:color="auto"/>
            </w:tcBorders>
            <w:noWrap/>
            <w:vAlign w:val="bottom"/>
          </w:tcPr>
          <w:p w:rsidR="0037079D" w:rsidRPr="007C2D51" w:rsidRDefault="0037079D">
            <w:pPr>
              <w:jc w:val="right"/>
              <w:cnfStyle w:val="000000100000"/>
              <w:rPr>
                <w:rFonts w:cs="Calibri"/>
                <w:color w:val="000000"/>
              </w:rPr>
            </w:pPr>
            <w:r w:rsidRPr="007C2D51">
              <w:rPr>
                <w:rFonts w:cs="Calibri"/>
                <w:color w:val="000000"/>
              </w:rPr>
              <w:t>60%</w:t>
            </w:r>
          </w:p>
        </w:tc>
        <w:tc>
          <w:tcPr>
            <w:tcW w:w="796" w:type="pct"/>
            <w:tcBorders>
              <w:top w:val="none" w:sz="0" w:space="0" w:color="auto"/>
              <w:bottom w:val="none" w:sz="0" w:space="0" w:color="auto"/>
            </w:tcBorders>
            <w:noWrap/>
            <w:vAlign w:val="bottom"/>
          </w:tcPr>
          <w:p w:rsidR="0037079D" w:rsidRPr="007C2D51" w:rsidRDefault="0037079D">
            <w:pPr>
              <w:jc w:val="right"/>
              <w:cnfStyle w:val="000000100000"/>
              <w:rPr>
                <w:rFonts w:cs="Calibri"/>
                <w:color w:val="000000"/>
              </w:rPr>
            </w:pPr>
            <w:r w:rsidRPr="007C2D51">
              <w:rPr>
                <w:rFonts w:cs="Calibri"/>
                <w:color w:val="000000"/>
              </w:rPr>
              <w:t>21%</w:t>
            </w:r>
          </w:p>
        </w:tc>
        <w:tc>
          <w:tcPr>
            <w:tcW w:w="712" w:type="pct"/>
            <w:tcBorders>
              <w:top w:val="none" w:sz="0" w:space="0" w:color="auto"/>
              <w:bottom w:val="none" w:sz="0" w:space="0" w:color="auto"/>
            </w:tcBorders>
            <w:noWrap/>
            <w:vAlign w:val="bottom"/>
          </w:tcPr>
          <w:p w:rsidR="0037079D" w:rsidRPr="007C2D51" w:rsidRDefault="0037079D">
            <w:pPr>
              <w:jc w:val="right"/>
              <w:cnfStyle w:val="000000100000"/>
              <w:rPr>
                <w:rFonts w:cs="Calibri"/>
                <w:color w:val="000000"/>
              </w:rPr>
            </w:pPr>
            <w:r w:rsidRPr="007C2D51">
              <w:rPr>
                <w:rFonts w:cs="Calibri"/>
                <w:color w:val="000000"/>
              </w:rPr>
              <w:t>19%</w:t>
            </w:r>
          </w:p>
        </w:tc>
        <w:tc>
          <w:tcPr>
            <w:tcW w:w="387" w:type="pct"/>
            <w:tcBorders>
              <w:top w:val="none" w:sz="0" w:space="0" w:color="auto"/>
              <w:bottom w:val="none" w:sz="0" w:space="0" w:color="auto"/>
              <w:right w:val="none" w:sz="0" w:space="0" w:color="auto"/>
            </w:tcBorders>
            <w:noWrap/>
            <w:vAlign w:val="bottom"/>
          </w:tcPr>
          <w:p w:rsidR="0037079D" w:rsidRPr="007C2D51" w:rsidRDefault="0037079D" w:rsidP="0037079D">
            <w:pPr>
              <w:jc w:val="right"/>
              <w:cnfStyle w:val="000000100000"/>
            </w:pPr>
            <w:r w:rsidRPr="007C2D51">
              <w:t>100%</w:t>
            </w:r>
          </w:p>
        </w:tc>
      </w:tr>
      <w:tr w:rsidR="0037079D" w:rsidRPr="007C2D51" w:rsidTr="00E218F6">
        <w:trPr>
          <w:trHeight w:val="300"/>
        </w:trPr>
        <w:tc>
          <w:tcPr>
            <w:cnfStyle w:val="001000000000"/>
            <w:tcW w:w="1929" w:type="pct"/>
            <w:noWrap/>
            <w:vAlign w:val="bottom"/>
          </w:tcPr>
          <w:p w:rsidR="0037079D" w:rsidRPr="007C2D51" w:rsidRDefault="0037079D" w:rsidP="0037079D">
            <w:r w:rsidRPr="007C2D51">
              <w:t>User-side subsidy</w:t>
            </w:r>
          </w:p>
        </w:tc>
        <w:tc>
          <w:tcPr>
            <w:tcW w:w="354" w:type="pct"/>
            <w:vAlign w:val="bottom"/>
          </w:tcPr>
          <w:p w:rsidR="0037079D" w:rsidRPr="007C2D51" w:rsidRDefault="0037079D" w:rsidP="0037079D">
            <w:pPr>
              <w:jc w:val="right"/>
              <w:cnfStyle w:val="000000000000"/>
              <w:rPr>
                <w:rFonts w:cs="Calibri"/>
                <w:color w:val="000000"/>
              </w:rPr>
            </w:pPr>
            <w:r w:rsidRPr="007C2D51">
              <w:rPr>
                <w:rFonts w:cs="Calibri"/>
                <w:color w:val="000000"/>
              </w:rPr>
              <w:t>38</w:t>
            </w:r>
          </w:p>
        </w:tc>
        <w:tc>
          <w:tcPr>
            <w:tcW w:w="822" w:type="pct"/>
            <w:noWrap/>
            <w:vAlign w:val="bottom"/>
          </w:tcPr>
          <w:p w:rsidR="0037079D" w:rsidRPr="007C2D51" w:rsidRDefault="0037079D">
            <w:pPr>
              <w:jc w:val="right"/>
              <w:cnfStyle w:val="000000000000"/>
              <w:rPr>
                <w:rFonts w:cs="Calibri"/>
                <w:color w:val="000000"/>
              </w:rPr>
            </w:pPr>
            <w:r w:rsidRPr="007C2D51">
              <w:rPr>
                <w:rFonts w:cs="Calibri"/>
                <w:color w:val="000000"/>
              </w:rPr>
              <w:t>46%</w:t>
            </w:r>
          </w:p>
        </w:tc>
        <w:tc>
          <w:tcPr>
            <w:tcW w:w="796" w:type="pct"/>
            <w:noWrap/>
            <w:vAlign w:val="bottom"/>
          </w:tcPr>
          <w:p w:rsidR="0037079D" w:rsidRPr="007C2D51" w:rsidRDefault="0037079D">
            <w:pPr>
              <w:jc w:val="right"/>
              <w:cnfStyle w:val="000000000000"/>
              <w:rPr>
                <w:rFonts w:cs="Calibri"/>
                <w:color w:val="000000"/>
              </w:rPr>
            </w:pPr>
            <w:r w:rsidRPr="007C2D51">
              <w:rPr>
                <w:rFonts w:cs="Calibri"/>
                <w:color w:val="000000"/>
              </w:rPr>
              <w:t>21%</w:t>
            </w:r>
          </w:p>
        </w:tc>
        <w:tc>
          <w:tcPr>
            <w:tcW w:w="712" w:type="pct"/>
            <w:noWrap/>
            <w:vAlign w:val="bottom"/>
          </w:tcPr>
          <w:p w:rsidR="0037079D" w:rsidRPr="007C2D51" w:rsidRDefault="0037079D">
            <w:pPr>
              <w:jc w:val="right"/>
              <w:cnfStyle w:val="000000000000"/>
              <w:rPr>
                <w:rFonts w:cs="Calibri"/>
                <w:color w:val="000000"/>
              </w:rPr>
            </w:pPr>
            <w:r w:rsidRPr="007C2D51">
              <w:rPr>
                <w:rFonts w:cs="Calibri"/>
                <w:color w:val="000000"/>
              </w:rPr>
              <w:t>32%</w:t>
            </w:r>
          </w:p>
        </w:tc>
        <w:tc>
          <w:tcPr>
            <w:tcW w:w="387" w:type="pct"/>
            <w:noWrap/>
            <w:vAlign w:val="bottom"/>
          </w:tcPr>
          <w:p w:rsidR="0037079D" w:rsidRPr="007C2D51" w:rsidRDefault="0037079D" w:rsidP="0037079D">
            <w:pPr>
              <w:jc w:val="right"/>
              <w:cnfStyle w:val="000000000000"/>
            </w:pPr>
            <w:r w:rsidRPr="007C2D51">
              <w:t>100%</w:t>
            </w:r>
          </w:p>
        </w:tc>
      </w:tr>
      <w:tr w:rsidR="0037079D" w:rsidRPr="007C2D51" w:rsidTr="00E218F6">
        <w:trPr>
          <w:cnfStyle w:val="000000100000"/>
          <w:trHeight w:val="300"/>
        </w:trPr>
        <w:tc>
          <w:tcPr>
            <w:cnfStyle w:val="001000000000"/>
            <w:tcW w:w="1929" w:type="pct"/>
            <w:tcBorders>
              <w:top w:val="none" w:sz="0" w:space="0" w:color="auto"/>
              <w:left w:val="none" w:sz="0" w:space="0" w:color="auto"/>
              <w:bottom w:val="none" w:sz="0" w:space="0" w:color="auto"/>
            </w:tcBorders>
            <w:noWrap/>
            <w:vAlign w:val="bottom"/>
          </w:tcPr>
          <w:p w:rsidR="0037079D" w:rsidRPr="007C2D51" w:rsidRDefault="0037079D" w:rsidP="0037079D">
            <w:r w:rsidRPr="007C2D51">
              <w:t>Vanpool</w:t>
            </w:r>
          </w:p>
        </w:tc>
        <w:tc>
          <w:tcPr>
            <w:tcW w:w="354" w:type="pct"/>
            <w:tcBorders>
              <w:top w:val="none" w:sz="0" w:space="0" w:color="auto"/>
              <w:bottom w:val="none" w:sz="0" w:space="0" w:color="auto"/>
            </w:tcBorders>
            <w:vAlign w:val="bottom"/>
          </w:tcPr>
          <w:p w:rsidR="0037079D" w:rsidRPr="007C2D51" w:rsidRDefault="0037079D" w:rsidP="0037079D">
            <w:pPr>
              <w:jc w:val="right"/>
              <w:cnfStyle w:val="000000100000"/>
              <w:rPr>
                <w:rFonts w:cs="Calibri"/>
                <w:color w:val="000000"/>
              </w:rPr>
            </w:pPr>
            <w:r w:rsidRPr="007C2D51">
              <w:rPr>
                <w:rFonts w:cs="Calibri"/>
                <w:color w:val="000000"/>
              </w:rPr>
              <w:t>28</w:t>
            </w:r>
          </w:p>
        </w:tc>
        <w:tc>
          <w:tcPr>
            <w:tcW w:w="822" w:type="pct"/>
            <w:tcBorders>
              <w:top w:val="none" w:sz="0" w:space="0" w:color="auto"/>
              <w:bottom w:val="none" w:sz="0" w:space="0" w:color="auto"/>
            </w:tcBorders>
            <w:noWrap/>
            <w:vAlign w:val="bottom"/>
          </w:tcPr>
          <w:p w:rsidR="0037079D" w:rsidRPr="007C2D51" w:rsidRDefault="0037079D">
            <w:pPr>
              <w:jc w:val="right"/>
              <w:cnfStyle w:val="000000100000"/>
              <w:rPr>
                <w:rFonts w:cs="Calibri"/>
                <w:color w:val="000000"/>
              </w:rPr>
            </w:pPr>
            <w:r w:rsidRPr="007C2D51">
              <w:rPr>
                <w:rFonts w:cs="Calibri"/>
                <w:color w:val="000000"/>
              </w:rPr>
              <w:t>53%</w:t>
            </w:r>
          </w:p>
        </w:tc>
        <w:tc>
          <w:tcPr>
            <w:tcW w:w="796" w:type="pct"/>
            <w:tcBorders>
              <w:top w:val="none" w:sz="0" w:space="0" w:color="auto"/>
              <w:bottom w:val="none" w:sz="0" w:space="0" w:color="auto"/>
            </w:tcBorders>
            <w:noWrap/>
            <w:vAlign w:val="bottom"/>
          </w:tcPr>
          <w:p w:rsidR="0037079D" w:rsidRPr="007C2D51" w:rsidRDefault="0037079D">
            <w:pPr>
              <w:jc w:val="right"/>
              <w:cnfStyle w:val="000000100000"/>
              <w:rPr>
                <w:rFonts w:cs="Calibri"/>
                <w:color w:val="000000"/>
              </w:rPr>
            </w:pPr>
            <w:r w:rsidRPr="007C2D51">
              <w:rPr>
                <w:rFonts w:cs="Calibri"/>
                <w:color w:val="000000"/>
              </w:rPr>
              <w:t>24%</w:t>
            </w:r>
          </w:p>
        </w:tc>
        <w:tc>
          <w:tcPr>
            <w:tcW w:w="712" w:type="pct"/>
            <w:tcBorders>
              <w:top w:val="none" w:sz="0" w:space="0" w:color="auto"/>
              <w:bottom w:val="none" w:sz="0" w:space="0" w:color="auto"/>
            </w:tcBorders>
            <w:noWrap/>
            <w:vAlign w:val="bottom"/>
          </w:tcPr>
          <w:p w:rsidR="0037079D" w:rsidRPr="007C2D51" w:rsidRDefault="0037079D">
            <w:pPr>
              <w:jc w:val="right"/>
              <w:cnfStyle w:val="000000100000"/>
              <w:rPr>
                <w:rFonts w:cs="Calibri"/>
                <w:color w:val="000000"/>
              </w:rPr>
            </w:pPr>
            <w:r w:rsidRPr="007C2D51">
              <w:rPr>
                <w:rFonts w:cs="Calibri"/>
                <w:color w:val="000000"/>
              </w:rPr>
              <w:t>24%</w:t>
            </w:r>
          </w:p>
        </w:tc>
        <w:tc>
          <w:tcPr>
            <w:tcW w:w="387" w:type="pct"/>
            <w:tcBorders>
              <w:top w:val="none" w:sz="0" w:space="0" w:color="auto"/>
              <w:bottom w:val="none" w:sz="0" w:space="0" w:color="auto"/>
              <w:right w:val="none" w:sz="0" w:space="0" w:color="auto"/>
            </w:tcBorders>
            <w:noWrap/>
            <w:vAlign w:val="bottom"/>
          </w:tcPr>
          <w:p w:rsidR="0037079D" w:rsidRPr="007C2D51" w:rsidRDefault="0037079D" w:rsidP="0037079D">
            <w:pPr>
              <w:jc w:val="right"/>
              <w:cnfStyle w:val="000000100000"/>
            </w:pPr>
            <w:r w:rsidRPr="007C2D51">
              <w:t>100%</w:t>
            </w:r>
          </w:p>
        </w:tc>
      </w:tr>
      <w:tr w:rsidR="0037079D" w:rsidRPr="007C2D51" w:rsidTr="00E218F6">
        <w:trPr>
          <w:trHeight w:val="300"/>
        </w:trPr>
        <w:tc>
          <w:tcPr>
            <w:cnfStyle w:val="001000000000"/>
            <w:tcW w:w="1929" w:type="pct"/>
            <w:shd w:val="clear" w:color="auto" w:fill="475A8D" w:themeFill="accent6"/>
            <w:noWrap/>
            <w:vAlign w:val="bottom"/>
          </w:tcPr>
          <w:p w:rsidR="0037079D" w:rsidRPr="007C2D51" w:rsidRDefault="0037079D" w:rsidP="0037079D">
            <w:pPr>
              <w:rPr>
                <w:color w:val="FFFFFF" w:themeColor="background1"/>
              </w:rPr>
            </w:pPr>
            <w:r w:rsidRPr="007C2D51">
              <w:rPr>
                <w:color w:val="FFFFFF" w:themeColor="background1"/>
              </w:rPr>
              <w:t>Information-Based Services</w:t>
            </w:r>
          </w:p>
        </w:tc>
        <w:tc>
          <w:tcPr>
            <w:tcW w:w="354" w:type="pct"/>
            <w:shd w:val="clear" w:color="auto" w:fill="475A8D" w:themeFill="accent6"/>
            <w:vAlign w:val="bottom"/>
          </w:tcPr>
          <w:p w:rsidR="0037079D" w:rsidRPr="007C2D51" w:rsidRDefault="0037079D" w:rsidP="0037079D">
            <w:pPr>
              <w:jc w:val="right"/>
              <w:cnfStyle w:val="000000000000"/>
              <w:rPr>
                <w:rFonts w:cs="Calibri"/>
                <w:b/>
                <w:bCs/>
                <w:color w:val="FFFFFF" w:themeColor="background1"/>
              </w:rPr>
            </w:pPr>
            <w:r w:rsidRPr="007C2D51">
              <w:rPr>
                <w:rFonts w:cs="Calibri"/>
                <w:b/>
                <w:bCs/>
                <w:color w:val="FFFFFF" w:themeColor="background1"/>
              </w:rPr>
              <w:t>120</w:t>
            </w:r>
          </w:p>
        </w:tc>
        <w:tc>
          <w:tcPr>
            <w:tcW w:w="822" w:type="pct"/>
            <w:shd w:val="clear" w:color="auto" w:fill="475A8D" w:themeFill="accent6"/>
            <w:noWrap/>
            <w:vAlign w:val="bottom"/>
          </w:tcPr>
          <w:p w:rsidR="0037079D" w:rsidRPr="007C2D51" w:rsidRDefault="0037079D">
            <w:pPr>
              <w:jc w:val="right"/>
              <w:cnfStyle w:val="000000000000"/>
              <w:rPr>
                <w:rFonts w:cs="Calibri"/>
                <w:b/>
                <w:bCs/>
                <w:color w:val="FFFFFF" w:themeColor="background1"/>
              </w:rPr>
            </w:pPr>
            <w:r w:rsidRPr="007C2D51">
              <w:rPr>
                <w:rFonts w:cs="Calibri"/>
                <w:b/>
                <w:bCs/>
                <w:color w:val="FFFFFF" w:themeColor="background1"/>
              </w:rPr>
              <w:t>50%</w:t>
            </w:r>
          </w:p>
        </w:tc>
        <w:tc>
          <w:tcPr>
            <w:tcW w:w="796" w:type="pct"/>
            <w:shd w:val="clear" w:color="auto" w:fill="475A8D" w:themeFill="accent6"/>
            <w:noWrap/>
            <w:vAlign w:val="bottom"/>
          </w:tcPr>
          <w:p w:rsidR="0037079D" w:rsidRPr="007C2D51" w:rsidRDefault="0037079D">
            <w:pPr>
              <w:jc w:val="right"/>
              <w:cnfStyle w:val="000000000000"/>
              <w:rPr>
                <w:rFonts w:cs="Calibri"/>
                <w:b/>
                <w:bCs/>
                <w:color w:val="FFFFFF" w:themeColor="background1"/>
              </w:rPr>
            </w:pPr>
            <w:r w:rsidRPr="007C2D51">
              <w:rPr>
                <w:rFonts w:cs="Calibri"/>
                <w:b/>
                <w:bCs/>
                <w:color w:val="FFFFFF" w:themeColor="background1"/>
              </w:rPr>
              <w:t>23%</w:t>
            </w:r>
          </w:p>
        </w:tc>
        <w:tc>
          <w:tcPr>
            <w:tcW w:w="712" w:type="pct"/>
            <w:shd w:val="clear" w:color="auto" w:fill="475A8D" w:themeFill="accent6"/>
            <w:noWrap/>
            <w:vAlign w:val="bottom"/>
          </w:tcPr>
          <w:p w:rsidR="0037079D" w:rsidRPr="007C2D51" w:rsidRDefault="0037079D">
            <w:pPr>
              <w:jc w:val="right"/>
              <w:cnfStyle w:val="000000000000"/>
              <w:rPr>
                <w:rFonts w:cs="Calibri"/>
                <w:b/>
                <w:bCs/>
                <w:color w:val="FFFFFF" w:themeColor="background1"/>
              </w:rPr>
            </w:pPr>
            <w:r w:rsidRPr="007C2D51">
              <w:rPr>
                <w:rFonts w:cs="Calibri"/>
                <w:b/>
                <w:bCs/>
                <w:color w:val="FFFFFF" w:themeColor="background1"/>
              </w:rPr>
              <w:t>28%</w:t>
            </w:r>
          </w:p>
        </w:tc>
        <w:tc>
          <w:tcPr>
            <w:tcW w:w="387" w:type="pct"/>
            <w:shd w:val="clear" w:color="auto" w:fill="475A8D" w:themeFill="accent6"/>
            <w:noWrap/>
            <w:vAlign w:val="bottom"/>
          </w:tcPr>
          <w:p w:rsidR="0037079D" w:rsidRPr="007C2D51" w:rsidRDefault="0037079D" w:rsidP="0037079D">
            <w:pPr>
              <w:jc w:val="right"/>
              <w:cnfStyle w:val="000000000000"/>
              <w:rPr>
                <w:b/>
                <w:color w:val="FFFFFF" w:themeColor="background1"/>
              </w:rPr>
            </w:pPr>
            <w:r w:rsidRPr="007C2D51">
              <w:rPr>
                <w:b/>
                <w:color w:val="FFFFFF" w:themeColor="background1"/>
              </w:rPr>
              <w:t>100%</w:t>
            </w:r>
          </w:p>
        </w:tc>
      </w:tr>
      <w:tr w:rsidR="0037079D" w:rsidRPr="007C2D51" w:rsidTr="00E218F6">
        <w:trPr>
          <w:cnfStyle w:val="000000100000"/>
          <w:trHeight w:val="300"/>
        </w:trPr>
        <w:tc>
          <w:tcPr>
            <w:cnfStyle w:val="001000000000"/>
            <w:tcW w:w="1929" w:type="pct"/>
            <w:tcBorders>
              <w:top w:val="none" w:sz="0" w:space="0" w:color="auto"/>
              <w:left w:val="none" w:sz="0" w:space="0" w:color="auto"/>
              <w:bottom w:val="none" w:sz="0" w:space="0" w:color="auto"/>
            </w:tcBorders>
            <w:noWrap/>
            <w:vAlign w:val="bottom"/>
          </w:tcPr>
          <w:p w:rsidR="0037079D" w:rsidRPr="007C2D51" w:rsidRDefault="0037079D" w:rsidP="0037079D">
            <w:r w:rsidRPr="007C2D51">
              <w:t>Mobility manager</w:t>
            </w:r>
          </w:p>
        </w:tc>
        <w:tc>
          <w:tcPr>
            <w:tcW w:w="354" w:type="pct"/>
            <w:tcBorders>
              <w:top w:val="none" w:sz="0" w:space="0" w:color="auto"/>
              <w:bottom w:val="none" w:sz="0" w:space="0" w:color="auto"/>
            </w:tcBorders>
            <w:vAlign w:val="bottom"/>
          </w:tcPr>
          <w:p w:rsidR="0037079D" w:rsidRPr="007C2D51" w:rsidRDefault="0037079D" w:rsidP="0037079D">
            <w:pPr>
              <w:jc w:val="right"/>
              <w:cnfStyle w:val="000000100000"/>
              <w:rPr>
                <w:rFonts w:cs="Calibri"/>
                <w:color w:val="000000"/>
              </w:rPr>
            </w:pPr>
            <w:r w:rsidRPr="007C2D51">
              <w:rPr>
                <w:rFonts w:cs="Calibri"/>
                <w:color w:val="000000"/>
              </w:rPr>
              <w:t>65</w:t>
            </w:r>
          </w:p>
        </w:tc>
        <w:tc>
          <w:tcPr>
            <w:tcW w:w="822" w:type="pct"/>
            <w:tcBorders>
              <w:top w:val="none" w:sz="0" w:space="0" w:color="auto"/>
              <w:bottom w:val="none" w:sz="0" w:space="0" w:color="auto"/>
            </w:tcBorders>
            <w:noWrap/>
            <w:vAlign w:val="bottom"/>
          </w:tcPr>
          <w:p w:rsidR="0037079D" w:rsidRPr="007C2D51" w:rsidRDefault="0037079D">
            <w:pPr>
              <w:jc w:val="right"/>
              <w:cnfStyle w:val="000000100000"/>
              <w:rPr>
                <w:rFonts w:cs="Calibri"/>
                <w:color w:val="000000"/>
              </w:rPr>
            </w:pPr>
            <w:r w:rsidRPr="007C2D51">
              <w:rPr>
                <w:rFonts w:cs="Calibri"/>
                <w:color w:val="000000"/>
              </w:rPr>
              <w:t>40%</w:t>
            </w:r>
          </w:p>
        </w:tc>
        <w:tc>
          <w:tcPr>
            <w:tcW w:w="796" w:type="pct"/>
            <w:tcBorders>
              <w:top w:val="none" w:sz="0" w:space="0" w:color="auto"/>
              <w:bottom w:val="none" w:sz="0" w:space="0" w:color="auto"/>
            </w:tcBorders>
            <w:noWrap/>
            <w:vAlign w:val="bottom"/>
          </w:tcPr>
          <w:p w:rsidR="0037079D" w:rsidRPr="007C2D51" w:rsidRDefault="0037079D">
            <w:pPr>
              <w:jc w:val="right"/>
              <w:cnfStyle w:val="000000100000"/>
              <w:rPr>
                <w:rFonts w:cs="Calibri"/>
                <w:color w:val="000000"/>
              </w:rPr>
            </w:pPr>
            <w:r w:rsidRPr="007C2D51">
              <w:rPr>
                <w:rFonts w:cs="Calibri"/>
                <w:color w:val="000000"/>
              </w:rPr>
              <w:t>25%</w:t>
            </w:r>
          </w:p>
        </w:tc>
        <w:tc>
          <w:tcPr>
            <w:tcW w:w="712" w:type="pct"/>
            <w:tcBorders>
              <w:top w:val="none" w:sz="0" w:space="0" w:color="auto"/>
              <w:bottom w:val="none" w:sz="0" w:space="0" w:color="auto"/>
            </w:tcBorders>
            <w:noWrap/>
            <w:vAlign w:val="bottom"/>
          </w:tcPr>
          <w:p w:rsidR="0037079D" w:rsidRPr="007C2D51" w:rsidRDefault="0037079D">
            <w:pPr>
              <w:jc w:val="right"/>
              <w:cnfStyle w:val="000000100000"/>
              <w:rPr>
                <w:rFonts w:cs="Calibri"/>
                <w:color w:val="000000"/>
              </w:rPr>
            </w:pPr>
            <w:r w:rsidRPr="007C2D51">
              <w:rPr>
                <w:rFonts w:cs="Calibri"/>
                <w:color w:val="000000"/>
              </w:rPr>
              <w:t>35%</w:t>
            </w:r>
          </w:p>
        </w:tc>
        <w:tc>
          <w:tcPr>
            <w:tcW w:w="387" w:type="pct"/>
            <w:tcBorders>
              <w:top w:val="none" w:sz="0" w:space="0" w:color="auto"/>
              <w:bottom w:val="none" w:sz="0" w:space="0" w:color="auto"/>
              <w:right w:val="none" w:sz="0" w:space="0" w:color="auto"/>
            </w:tcBorders>
            <w:noWrap/>
            <w:vAlign w:val="bottom"/>
          </w:tcPr>
          <w:p w:rsidR="0037079D" w:rsidRPr="007C2D51" w:rsidRDefault="0037079D" w:rsidP="0037079D">
            <w:pPr>
              <w:jc w:val="right"/>
              <w:cnfStyle w:val="000000100000"/>
            </w:pPr>
            <w:r w:rsidRPr="007C2D51">
              <w:t>100%</w:t>
            </w:r>
          </w:p>
        </w:tc>
      </w:tr>
      <w:tr w:rsidR="0037079D" w:rsidRPr="007C2D51" w:rsidTr="00E218F6">
        <w:trPr>
          <w:trHeight w:val="300"/>
        </w:trPr>
        <w:tc>
          <w:tcPr>
            <w:cnfStyle w:val="001000000000"/>
            <w:tcW w:w="1929" w:type="pct"/>
            <w:noWrap/>
            <w:vAlign w:val="bottom"/>
          </w:tcPr>
          <w:p w:rsidR="0037079D" w:rsidRPr="007C2D51" w:rsidRDefault="0037079D" w:rsidP="0037079D">
            <w:r w:rsidRPr="007C2D51">
              <w:t>One-on-one transit training</w:t>
            </w:r>
          </w:p>
        </w:tc>
        <w:tc>
          <w:tcPr>
            <w:tcW w:w="354" w:type="pct"/>
            <w:vAlign w:val="bottom"/>
          </w:tcPr>
          <w:p w:rsidR="0037079D" w:rsidRPr="007C2D51" w:rsidRDefault="0037079D" w:rsidP="0037079D">
            <w:pPr>
              <w:jc w:val="right"/>
              <w:cnfStyle w:val="000000000000"/>
              <w:rPr>
                <w:rFonts w:cs="Calibri"/>
                <w:color w:val="000000"/>
              </w:rPr>
            </w:pPr>
            <w:r w:rsidRPr="007C2D51">
              <w:rPr>
                <w:rFonts w:cs="Calibri"/>
                <w:color w:val="000000"/>
              </w:rPr>
              <w:t>15</w:t>
            </w:r>
          </w:p>
        </w:tc>
        <w:tc>
          <w:tcPr>
            <w:tcW w:w="822" w:type="pct"/>
            <w:noWrap/>
            <w:vAlign w:val="bottom"/>
          </w:tcPr>
          <w:p w:rsidR="0037079D" w:rsidRPr="007C2D51" w:rsidRDefault="0037079D">
            <w:pPr>
              <w:jc w:val="right"/>
              <w:cnfStyle w:val="000000000000"/>
              <w:rPr>
                <w:rFonts w:cs="Calibri"/>
                <w:color w:val="000000"/>
              </w:rPr>
            </w:pPr>
            <w:r w:rsidRPr="007C2D51">
              <w:rPr>
                <w:rFonts w:cs="Calibri"/>
                <w:color w:val="000000"/>
              </w:rPr>
              <w:t>80%</w:t>
            </w:r>
          </w:p>
        </w:tc>
        <w:tc>
          <w:tcPr>
            <w:tcW w:w="796" w:type="pct"/>
            <w:noWrap/>
            <w:vAlign w:val="bottom"/>
          </w:tcPr>
          <w:p w:rsidR="0037079D" w:rsidRPr="007C2D51" w:rsidRDefault="0037079D">
            <w:pPr>
              <w:jc w:val="right"/>
              <w:cnfStyle w:val="000000000000"/>
              <w:rPr>
                <w:rFonts w:cs="Calibri"/>
                <w:color w:val="000000"/>
              </w:rPr>
            </w:pPr>
            <w:r w:rsidRPr="007C2D51">
              <w:rPr>
                <w:rFonts w:cs="Calibri"/>
                <w:color w:val="000000"/>
              </w:rPr>
              <w:t>13%</w:t>
            </w:r>
          </w:p>
        </w:tc>
        <w:tc>
          <w:tcPr>
            <w:tcW w:w="712" w:type="pct"/>
            <w:noWrap/>
            <w:vAlign w:val="bottom"/>
          </w:tcPr>
          <w:p w:rsidR="0037079D" w:rsidRPr="007C2D51" w:rsidRDefault="0037079D">
            <w:pPr>
              <w:jc w:val="right"/>
              <w:cnfStyle w:val="000000000000"/>
              <w:rPr>
                <w:rFonts w:cs="Calibri"/>
                <w:color w:val="000000"/>
              </w:rPr>
            </w:pPr>
            <w:r w:rsidRPr="007C2D51">
              <w:rPr>
                <w:rFonts w:cs="Calibri"/>
                <w:color w:val="000000"/>
              </w:rPr>
              <w:t>7%</w:t>
            </w:r>
          </w:p>
        </w:tc>
        <w:tc>
          <w:tcPr>
            <w:tcW w:w="387" w:type="pct"/>
            <w:noWrap/>
            <w:vAlign w:val="bottom"/>
          </w:tcPr>
          <w:p w:rsidR="0037079D" w:rsidRPr="007C2D51" w:rsidRDefault="0037079D" w:rsidP="0037079D">
            <w:pPr>
              <w:jc w:val="right"/>
              <w:cnfStyle w:val="000000000000"/>
            </w:pPr>
            <w:r w:rsidRPr="007C2D51">
              <w:t>100%</w:t>
            </w:r>
          </w:p>
        </w:tc>
      </w:tr>
      <w:tr w:rsidR="0037079D" w:rsidRPr="007C2D51" w:rsidTr="00E218F6">
        <w:trPr>
          <w:cnfStyle w:val="000000100000"/>
          <w:trHeight w:val="300"/>
        </w:trPr>
        <w:tc>
          <w:tcPr>
            <w:cnfStyle w:val="001000000000"/>
            <w:tcW w:w="1929" w:type="pct"/>
            <w:tcBorders>
              <w:top w:val="none" w:sz="0" w:space="0" w:color="auto"/>
              <w:left w:val="none" w:sz="0" w:space="0" w:color="auto"/>
              <w:bottom w:val="none" w:sz="0" w:space="0" w:color="auto"/>
            </w:tcBorders>
            <w:noWrap/>
            <w:vAlign w:val="bottom"/>
          </w:tcPr>
          <w:p w:rsidR="0037079D" w:rsidRPr="007C2D51" w:rsidRDefault="0037079D" w:rsidP="0037079D">
            <w:r w:rsidRPr="007C2D51">
              <w:t>Materials and marketing</w:t>
            </w:r>
          </w:p>
        </w:tc>
        <w:tc>
          <w:tcPr>
            <w:tcW w:w="354" w:type="pct"/>
            <w:tcBorders>
              <w:top w:val="none" w:sz="0" w:space="0" w:color="auto"/>
              <w:bottom w:val="none" w:sz="0" w:space="0" w:color="auto"/>
            </w:tcBorders>
            <w:vAlign w:val="bottom"/>
          </w:tcPr>
          <w:p w:rsidR="0037079D" w:rsidRPr="007C2D51" w:rsidRDefault="0037079D" w:rsidP="0037079D">
            <w:pPr>
              <w:jc w:val="right"/>
              <w:cnfStyle w:val="000000100000"/>
              <w:rPr>
                <w:rFonts w:cs="Calibri"/>
                <w:color w:val="000000"/>
              </w:rPr>
            </w:pPr>
            <w:r w:rsidRPr="007C2D51">
              <w:rPr>
                <w:rFonts w:cs="Calibri"/>
                <w:color w:val="000000"/>
              </w:rPr>
              <w:t>13</w:t>
            </w:r>
          </w:p>
        </w:tc>
        <w:tc>
          <w:tcPr>
            <w:tcW w:w="822" w:type="pct"/>
            <w:tcBorders>
              <w:top w:val="none" w:sz="0" w:space="0" w:color="auto"/>
              <w:bottom w:val="none" w:sz="0" w:space="0" w:color="auto"/>
            </w:tcBorders>
            <w:noWrap/>
            <w:vAlign w:val="bottom"/>
          </w:tcPr>
          <w:p w:rsidR="0037079D" w:rsidRPr="007C2D51" w:rsidRDefault="0037079D">
            <w:pPr>
              <w:jc w:val="right"/>
              <w:cnfStyle w:val="000000100000"/>
              <w:rPr>
                <w:rFonts w:cs="Calibri"/>
                <w:color w:val="000000"/>
              </w:rPr>
            </w:pPr>
            <w:r w:rsidRPr="007C2D51">
              <w:rPr>
                <w:rFonts w:cs="Calibri"/>
                <w:color w:val="000000"/>
              </w:rPr>
              <w:t>38%</w:t>
            </w:r>
          </w:p>
        </w:tc>
        <w:tc>
          <w:tcPr>
            <w:tcW w:w="796" w:type="pct"/>
            <w:tcBorders>
              <w:top w:val="none" w:sz="0" w:space="0" w:color="auto"/>
              <w:bottom w:val="none" w:sz="0" w:space="0" w:color="auto"/>
            </w:tcBorders>
            <w:noWrap/>
            <w:vAlign w:val="bottom"/>
          </w:tcPr>
          <w:p w:rsidR="0037079D" w:rsidRPr="007C2D51" w:rsidRDefault="0037079D">
            <w:pPr>
              <w:jc w:val="right"/>
              <w:cnfStyle w:val="000000100000"/>
              <w:rPr>
                <w:rFonts w:cs="Calibri"/>
                <w:color w:val="000000"/>
              </w:rPr>
            </w:pPr>
            <w:r w:rsidRPr="007C2D51">
              <w:rPr>
                <w:rFonts w:cs="Calibri"/>
                <w:color w:val="000000"/>
              </w:rPr>
              <w:t>23%</w:t>
            </w:r>
          </w:p>
        </w:tc>
        <w:tc>
          <w:tcPr>
            <w:tcW w:w="712" w:type="pct"/>
            <w:tcBorders>
              <w:top w:val="none" w:sz="0" w:space="0" w:color="auto"/>
              <w:bottom w:val="none" w:sz="0" w:space="0" w:color="auto"/>
            </w:tcBorders>
            <w:noWrap/>
            <w:vAlign w:val="bottom"/>
          </w:tcPr>
          <w:p w:rsidR="0037079D" w:rsidRPr="007C2D51" w:rsidRDefault="0037079D">
            <w:pPr>
              <w:jc w:val="right"/>
              <w:cnfStyle w:val="000000100000"/>
              <w:rPr>
                <w:rFonts w:cs="Calibri"/>
                <w:color w:val="000000"/>
              </w:rPr>
            </w:pPr>
            <w:r w:rsidRPr="007C2D51">
              <w:rPr>
                <w:rFonts w:cs="Calibri"/>
                <w:color w:val="000000"/>
              </w:rPr>
              <w:t>38%</w:t>
            </w:r>
          </w:p>
        </w:tc>
        <w:tc>
          <w:tcPr>
            <w:tcW w:w="387" w:type="pct"/>
            <w:tcBorders>
              <w:top w:val="none" w:sz="0" w:space="0" w:color="auto"/>
              <w:bottom w:val="none" w:sz="0" w:space="0" w:color="auto"/>
              <w:right w:val="none" w:sz="0" w:space="0" w:color="auto"/>
            </w:tcBorders>
            <w:noWrap/>
            <w:vAlign w:val="bottom"/>
          </w:tcPr>
          <w:p w:rsidR="0037079D" w:rsidRPr="007C2D51" w:rsidRDefault="0037079D" w:rsidP="0037079D">
            <w:pPr>
              <w:jc w:val="right"/>
              <w:cnfStyle w:val="000000100000"/>
            </w:pPr>
            <w:r w:rsidRPr="007C2D51">
              <w:t>100%</w:t>
            </w:r>
          </w:p>
        </w:tc>
      </w:tr>
      <w:tr w:rsidR="0037079D" w:rsidRPr="007C2D51" w:rsidTr="00E218F6">
        <w:trPr>
          <w:trHeight w:val="300"/>
        </w:trPr>
        <w:tc>
          <w:tcPr>
            <w:cnfStyle w:val="001000000000"/>
            <w:tcW w:w="1929" w:type="pct"/>
            <w:noWrap/>
            <w:vAlign w:val="bottom"/>
          </w:tcPr>
          <w:p w:rsidR="0037079D" w:rsidRPr="007C2D51" w:rsidRDefault="0037079D" w:rsidP="0037079D">
            <w:r w:rsidRPr="007C2D51">
              <w:t>Transportation resource training</w:t>
            </w:r>
          </w:p>
        </w:tc>
        <w:tc>
          <w:tcPr>
            <w:tcW w:w="354" w:type="pct"/>
            <w:vAlign w:val="bottom"/>
          </w:tcPr>
          <w:p w:rsidR="0037079D" w:rsidRPr="007C2D51" w:rsidRDefault="0037079D" w:rsidP="0037079D">
            <w:pPr>
              <w:jc w:val="right"/>
              <w:cnfStyle w:val="000000000000"/>
              <w:rPr>
                <w:rFonts w:cs="Calibri"/>
                <w:color w:val="000000"/>
              </w:rPr>
            </w:pPr>
            <w:r w:rsidRPr="007C2D51">
              <w:rPr>
                <w:rFonts w:cs="Calibri"/>
                <w:color w:val="000000"/>
              </w:rPr>
              <w:t>10</w:t>
            </w:r>
          </w:p>
        </w:tc>
        <w:tc>
          <w:tcPr>
            <w:tcW w:w="822" w:type="pct"/>
            <w:noWrap/>
            <w:vAlign w:val="bottom"/>
          </w:tcPr>
          <w:p w:rsidR="0037079D" w:rsidRPr="007C2D51" w:rsidRDefault="0037079D">
            <w:pPr>
              <w:jc w:val="right"/>
              <w:cnfStyle w:val="000000000000"/>
              <w:rPr>
                <w:rFonts w:cs="Calibri"/>
                <w:color w:val="000000"/>
              </w:rPr>
            </w:pPr>
            <w:r w:rsidRPr="007C2D51">
              <w:rPr>
                <w:rFonts w:cs="Calibri"/>
                <w:color w:val="000000"/>
              </w:rPr>
              <w:t>70%</w:t>
            </w:r>
          </w:p>
        </w:tc>
        <w:tc>
          <w:tcPr>
            <w:tcW w:w="796" w:type="pct"/>
            <w:noWrap/>
            <w:vAlign w:val="bottom"/>
          </w:tcPr>
          <w:p w:rsidR="0037079D" w:rsidRPr="007C2D51" w:rsidRDefault="0037079D">
            <w:pPr>
              <w:jc w:val="right"/>
              <w:cnfStyle w:val="000000000000"/>
              <w:rPr>
                <w:rFonts w:cs="Calibri"/>
                <w:color w:val="000000"/>
              </w:rPr>
            </w:pPr>
            <w:r w:rsidRPr="007C2D51">
              <w:rPr>
                <w:rFonts w:cs="Calibri"/>
                <w:color w:val="000000"/>
              </w:rPr>
              <w:t>30%</w:t>
            </w:r>
          </w:p>
        </w:tc>
        <w:tc>
          <w:tcPr>
            <w:tcW w:w="712" w:type="pct"/>
            <w:noWrap/>
            <w:vAlign w:val="bottom"/>
          </w:tcPr>
          <w:p w:rsidR="0037079D" w:rsidRPr="007C2D51" w:rsidRDefault="0037079D">
            <w:pPr>
              <w:jc w:val="right"/>
              <w:cnfStyle w:val="000000000000"/>
              <w:rPr>
                <w:rFonts w:cs="Calibri"/>
                <w:color w:val="000000"/>
              </w:rPr>
            </w:pPr>
            <w:r w:rsidRPr="007C2D51">
              <w:rPr>
                <w:rFonts w:cs="Calibri"/>
                <w:color w:val="000000"/>
              </w:rPr>
              <w:t>0%</w:t>
            </w:r>
          </w:p>
        </w:tc>
        <w:tc>
          <w:tcPr>
            <w:tcW w:w="387" w:type="pct"/>
            <w:noWrap/>
            <w:vAlign w:val="bottom"/>
          </w:tcPr>
          <w:p w:rsidR="0037079D" w:rsidRPr="007C2D51" w:rsidRDefault="0037079D" w:rsidP="0037079D">
            <w:pPr>
              <w:jc w:val="right"/>
              <w:cnfStyle w:val="000000000000"/>
            </w:pPr>
            <w:r w:rsidRPr="007C2D51">
              <w:t>100%</w:t>
            </w:r>
          </w:p>
        </w:tc>
      </w:tr>
      <w:tr w:rsidR="0037079D" w:rsidRPr="007C2D51" w:rsidTr="00E218F6">
        <w:trPr>
          <w:cnfStyle w:val="000000100000"/>
          <w:trHeight w:val="300"/>
        </w:trPr>
        <w:tc>
          <w:tcPr>
            <w:cnfStyle w:val="001000000000"/>
            <w:tcW w:w="1929" w:type="pct"/>
            <w:tcBorders>
              <w:top w:val="none" w:sz="0" w:space="0" w:color="auto"/>
              <w:left w:val="none" w:sz="0" w:space="0" w:color="auto"/>
              <w:bottom w:val="none" w:sz="0" w:space="0" w:color="auto"/>
            </w:tcBorders>
            <w:noWrap/>
            <w:vAlign w:val="bottom"/>
          </w:tcPr>
          <w:p w:rsidR="0037079D" w:rsidRPr="007C2D51" w:rsidRDefault="0037079D" w:rsidP="0037079D">
            <w:r w:rsidRPr="007C2D51">
              <w:t>One-stop center</w:t>
            </w:r>
          </w:p>
        </w:tc>
        <w:tc>
          <w:tcPr>
            <w:tcW w:w="354" w:type="pct"/>
            <w:tcBorders>
              <w:top w:val="none" w:sz="0" w:space="0" w:color="auto"/>
              <w:bottom w:val="none" w:sz="0" w:space="0" w:color="auto"/>
            </w:tcBorders>
            <w:vAlign w:val="bottom"/>
          </w:tcPr>
          <w:p w:rsidR="0037079D" w:rsidRPr="007C2D51" w:rsidRDefault="0037079D" w:rsidP="0037079D">
            <w:pPr>
              <w:jc w:val="right"/>
              <w:cnfStyle w:val="000000100000"/>
              <w:rPr>
                <w:rFonts w:cs="Calibri"/>
                <w:color w:val="000000"/>
              </w:rPr>
            </w:pPr>
            <w:r w:rsidRPr="007C2D51">
              <w:rPr>
                <w:rFonts w:cs="Calibri"/>
                <w:color w:val="000000"/>
              </w:rPr>
              <w:t>9</w:t>
            </w:r>
          </w:p>
        </w:tc>
        <w:tc>
          <w:tcPr>
            <w:tcW w:w="822" w:type="pct"/>
            <w:tcBorders>
              <w:top w:val="none" w:sz="0" w:space="0" w:color="auto"/>
              <w:bottom w:val="none" w:sz="0" w:space="0" w:color="auto"/>
            </w:tcBorders>
            <w:noWrap/>
            <w:vAlign w:val="bottom"/>
          </w:tcPr>
          <w:p w:rsidR="0037079D" w:rsidRPr="007C2D51" w:rsidRDefault="0037079D">
            <w:pPr>
              <w:jc w:val="right"/>
              <w:cnfStyle w:val="000000100000"/>
              <w:rPr>
                <w:rFonts w:cs="Calibri"/>
                <w:color w:val="000000"/>
              </w:rPr>
            </w:pPr>
            <w:r w:rsidRPr="007C2D51">
              <w:rPr>
                <w:rFonts w:cs="Calibri"/>
                <w:color w:val="000000"/>
              </w:rPr>
              <w:t>44%</w:t>
            </w:r>
          </w:p>
        </w:tc>
        <w:tc>
          <w:tcPr>
            <w:tcW w:w="796" w:type="pct"/>
            <w:tcBorders>
              <w:top w:val="none" w:sz="0" w:space="0" w:color="auto"/>
              <w:bottom w:val="none" w:sz="0" w:space="0" w:color="auto"/>
            </w:tcBorders>
            <w:noWrap/>
            <w:vAlign w:val="bottom"/>
          </w:tcPr>
          <w:p w:rsidR="0037079D" w:rsidRPr="007C2D51" w:rsidRDefault="0037079D">
            <w:pPr>
              <w:jc w:val="right"/>
              <w:cnfStyle w:val="000000100000"/>
              <w:rPr>
                <w:rFonts w:cs="Calibri"/>
                <w:color w:val="000000"/>
              </w:rPr>
            </w:pPr>
            <w:r w:rsidRPr="007C2D51">
              <w:rPr>
                <w:rFonts w:cs="Calibri"/>
                <w:color w:val="000000"/>
              </w:rPr>
              <w:t>22%</w:t>
            </w:r>
          </w:p>
        </w:tc>
        <w:tc>
          <w:tcPr>
            <w:tcW w:w="712" w:type="pct"/>
            <w:tcBorders>
              <w:top w:val="none" w:sz="0" w:space="0" w:color="auto"/>
              <w:bottom w:val="none" w:sz="0" w:space="0" w:color="auto"/>
            </w:tcBorders>
            <w:noWrap/>
            <w:vAlign w:val="bottom"/>
          </w:tcPr>
          <w:p w:rsidR="0037079D" w:rsidRPr="007C2D51" w:rsidRDefault="0037079D">
            <w:pPr>
              <w:jc w:val="right"/>
              <w:cnfStyle w:val="000000100000"/>
              <w:rPr>
                <w:rFonts w:cs="Calibri"/>
                <w:color w:val="000000"/>
              </w:rPr>
            </w:pPr>
            <w:r w:rsidRPr="007C2D51">
              <w:rPr>
                <w:rFonts w:cs="Calibri"/>
                <w:color w:val="000000"/>
              </w:rPr>
              <w:t>33%</w:t>
            </w:r>
          </w:p>
        </w:tc>
        <w:tc>
          <w:tcPr>
            <w:tcW w:w="387" w:type="pct"/>
            <w:tcBorders>
              <w:top w:val="none" w:sz="0" w:space="0" w:color="auto"/>
              <w:bottom w:val="none" w:sz="0" w:space="0" w:color="auto"/>
              <w:right w:val="none" w:sz="0" w:space="0" w:color="auto"/>
            </w:tcBorders>
            <w:noWrap/>
            <w:vAlign w:val="bottom"/>
          </w:tcPr>
          <w:p w:rsidR="0037079D" w:rsidRPr="007C2D51" w:rsidRDefault="0037079D" w:rsidP="0037079D">
            <w:pPr>
              <w:jc w:val="right"/>
              <w:cnfStyle w:val="000000100000"/>
            </w:pPr>
            <w:r w:rsidRPr="007C2D51">
              <w:t>100%</w:t>
            </w:r>
          </w:p>
        </w:tc>
      </w:tr>
      <w:tr w:rsidR="0037079D" w:rsidRPr="007C2D51" w:rsidTr="00E218F6">
        <w:trPr>
          <w:trHeight w:val="300"/>
        </w:trPr>
        <w:tc>
          <w:tcPr>
            <w:cnfStyle w:val="001000000000"/>
            <w:tcW w:w="1929" w:type="pct"/>
            <w:noWrap/>
            <w:vAlign w:val="bottom"/>
          </w:tcPr>
          <w:p w:rsidR="0037079D" w:rsidRPr="007C2D51" w:rsidRDefault="0037079D" w:rsidP="0037079D">
            <w:r w:rsidRPr="007C2D51">
              <w:t>Trip/itinerary planning</w:t>
            </w:r>
          </w:p>
        </w:tc>
        <w:tc>
          <w:tcPr>
            <w:tcW w:w="354" w:type="pct"/>
            <w:vAlign w:val="bottom"/>
          </w:tcPr>
          <w:p w:rsidR="0037079D" w:rsidRPr="007C2D51" w:rsidRDefault="0037079D" w:rsidP="0037079D">
            <w:pPr>
              <w:jc w:val="right"/>
              <w:cnfStyle w:val="000000000000"/>
              <w:rPr>
                <w:rFonts w:cs="Calibri"/>
                <w:color w:val="000000"/>
              </w:rPr>
            </w:pPr>
            <w:r w:rsidRPr="007C2D51">
              <w:rPr>
                <w:rFonts w:cs="Calibri"/>
                <w:color w:val="000000"/>
              </w:rPr>
              <w:t>5</w:t>
            </w:r>
          </w:p>
        </w:tc>
        <w:tc>
          <w:tcPr>
            <w:tcW w:w="822" w:type="pct"/>
            <w:noWrap/>
            <w:vAlign w:val="bottom"/>
          </w:tcPr>
          <w:p w:rsidR="0037079D" w:rsidRPr="007C2D51" w:rsidRDefault="0037079D">
            <w:pPr>
              <w:jc w:val="right"/>
              <w:cnfStyle w:val="000000000000"/>
              <w:rPr>
                <w:rFonts w:cs="Calibri"/>
                <w:color w:val="000000"/>
              </w:rPr>
            </w:pPr>
            <w:r w:rsidRPr="007C2D51">
              <w:rPr>
                <w:rFonts w:cs="Calibri"/>
                <w:color w:val="000000"/>
              </w:rPr>
              <w:t>100%</w:t>
            </w:r>
          </w:p>
        </w:tc>
        <w:tc>
          <w:tcPr>
            <w:tcW w:w="796" w:type="pct"/>
            <w:noWrap/>
            <w:vAlign w:val="bottom"/>
          </w:tcPr>
          <w:p w:rsidR="0037079D" w:rsidRPr="007C2D51" w:rsidRDefault="0037079D">
            <w:pPr>
              <w:jc w:val="right"/>
              <w:cnfStyle w:val="000000000000"/>
              <w:rPr>
                <w:rFonts w:cs="Calibri"/>
                <w:color w:val="000000"/>
              </w:rPr>
            </w:pPr>
            <w:r w:rsidRPr="007C2D51">
              <w:rPr>
                <w:rFonts w:cs="Calibri"/>
                <w:color w:val="000000"/>
              </w:rPr>
              <w:t>0%</w:t>
            </w:r>
          </w:p>
        </w:tc>
        <w:tc>
          <w:tcPr>
            <w:tcW w:w="712" w:type="pct"/>
            <w:noWrap/>
            <w:vAlign w:val="bottom"/>
          </w:tcPr>
          <w:p w:rsidR="0037079D" w:rsidRPr="007C2D51" w:rsidRDefault="0037079D">
            <w:pPr>
              <w:jc w:val="right"/>
              <w:cnfStyle w:val="000000000000"/>
              <w:rPr>
                <w:rFonts w:cs="Calibri"/>
                <w:color w:val="000000"/>
              </w:rPr>
            </w:pPr>
            <w:r w:rsidRPr="007C2D51">
              <w:rPr>
                <w:rFonts w:cs="Calibri"/>
                <w:color w:val="000000"/>
              </w:rPr>
              <w:t>0%</w:t>
            </w:r>
          </w:p>
        </w:tc>
        <w:tc>
          <w:tcPr>
            <w:tcW w:w="387" w:type="pct"/>
            <w:noWrap/>
            <w:vAlign w:val="bottom"/>
          </w:tcPr>
          <w:p w:rsidR="0037079D" w:rsidRPr="007C2D51" w:rsidRDefault="0037079D" w:rsidP="0037079D">
            <w:pPr>
              <w:jc w:val="right"/>
              <w:cnfStyle w:val="000000000000"/>
            </w:pPr>
            <w:r w:rsidRPr="007C2D51">
              <w:t>100%</w:t>
            </w:r>
          </w:p>
        </w:tc>
      </w:tr>
      <w:tr w:rsidR="0037079D" w:rsidRPr="007C2D51" w:rsidTr="00E218F6">
        <w:trPr>
          <w:cnfStyle w:val="000000100000"/>
          <w:trHeight w:val="300"/>
        </w:trPr>
        <w:tc>
          <w:tcPr>
            <w:cnfStyle w:val="001000000000"/>
            <w:tcW w:w="1929" w:type="pct"/>
            <w:tcBorders>
              <w:top w:val="none" w:sz="0" w:space="0" w:color="auto"/>
              <w:left w:val="none" w:sz="0" w:space="0" w:color="auto"/>
              <w:bottom w:val="none" w:sz="0" w:space="0" w:color="auto"/>
            </w:tcBorders>
            <w:noWrap/>
            <w:vAlign w:val="bottom"/>
          </w:tcPr>
          <w:p w:rsidR="0037079D" w:rsidRPr="007C2D51" w:rsidRDefault="0037079D" w:rsidP="0037079D">
            <w:r w:rsidRPr="007C2D51">
              <w:t>Internet-based information</w:t>
            </w:r>
          </w:p>
        </w:tc>
        <w:tc>
          <w:tcPr>
            <w:tcW w:w="354" w:type="pct"/>
            <w:tcBorders>
              <w:top w:val="none" w:sz="0" w:space="0" w:color="auto"/>
              <w:bottom w:val="none" w:sz="0" w:space="0" w:color="auto"/>
            </w:tcBorders>
            <w:vAlign w:val="bottom"/>
          </w:tcPr>
          <w:p w:rsidR="0037079D" w:rsidRPr="007C2D51" w:rsidRDefault="0037079D" w:rsidP="0037079D">
            <w:pPr>
              <w:jc w:val="right"/>
              <w:cnfStyle w:val="000000100000"/>
              <w:rPr>
                <w:rFonts w:cs="Calibri"/>
                <w:color w:val="000000"/>
              </w:rPr>
            </w:pPr>
            <w:r w:rsidRPr="007C2D51">
              <w:rPr>
                <w:rFonts w:cs="Calibri"/>
                <w:color w:val="000000"/>
              </w:rPr>
              <w:t>3</w:t>
            </w:r>
          </w:p>
        </w:tc>
        <w:tc>
          <w:tcPr>
            <w:tcW w:w="822" w:type="pct"/>
            <w:tcBorders>
              <w:top w:val="none" w:sz="0" w:space="0" w:color="auto"/>
              <w:bottom w:val="none" w:sz="0" w:space="0" w:color="auto"/>
            </w:tcBorders>
            <w:noWrap/>
            <w:vAlign w:val="bottom"/>
          </w:tcPr>
          <w:p w:rsidR="0037079D" w:rsidRPr="007C2D51" w:rsidRDefault="0037079D">
            <w:pPr>
              <w:jc w:val="right"/>
              <w:cnfStyle w:val="000000100000"/>
              <w:rPr>
                <w:rFonts w:cs="Calibri"/>
                <w:color w:val="000000"/>
              </w:rPr>
            </w:pPr>
            <w:r w:rsidRPr="007C2D51">
              <w:rPr>
                <w:rFonts w:cs="Calibri"/>
                <w:color w:val="000000"/>
              </w:rPr>
              <w:t>33%</w:t>
            </w:r>
          </w:p>
        </w:tc>
        <w:tc>
          <w:tcPr>
            <w:tcW w:w="796" w:type="pct"/>
            <w:tcBorders>
              <w:top w:val="none" w:sz="0" w:space="0" w:color="auto"/>
              <w:bottom w:val="none" w:sz="0" w:space="0" w:color="auto"/>
            </w:tcBorders>
            <w:noWrap/>
            <w:vAlign w:val="bottom"/>
          </w:tcPr>
          <w:p w:rsidR="0037079D" w:rsidRPr="007C2D51" w:rsidRDefault="0037079D">
            <w:pPr>
              <w:jc w:val="right"/>
              <w:cnfStyle w:val="000000100000"/>
              <w:rPr>
                <w:rFonts w:cs="Calibri"/>
                <w:color w:val="000000"/>
              </w:rPr>
            </w:pPr>
            <w:r w:rsidRPr="007C2D51">
              <w:rPr>
                <w:rFonts w:cs="Calibri"/>
                <w:color w:val="000000"/>
              </w:rPr>
              <w:t>33%</w:t>
            </w:r>
          </w:p>
        </w:tc>
        <w:tc>
          <w:tcPr>
            <w:tcW w:w="712" w:type="pct"/>
            <w:tcBorders>
              <w:top w:val="none" w:sz="0" w:space="0" w:color="auto"/>
              <w:bottom w:val="none" w:sz="0" w:space="0" w:color="auto"/>
            </w:tcBorders>
            <w:noWrap/>
            <w:vAlign w:val="bottom"/>
          </w:tcPr>
          <w:p w:rsidR="0037079D" w:rsidRPr="007C2D51" w:rsidRDefault="0037079D">
            <w:pPr>
              <w:jc w:val="right"/>
              <w:cnfStyle w:val="000000100000"/>
              <w:rPr>
                <w:rFonts w:cs="Calibri"/>
                <w:color w:val="000000"/>
              </w:rPr>
            </w:pPr>
            <w:r w:rsidRPr="007C2D51">
              <w:rPr>
                <w:rFonts w:cs="Calibri"/>
                <w:color w:val="000000"/>
              </w:rPr>
              <w:t>33%</w:t>
            </w:r>
          </w:p>
        </w:tc>
        <w:tc>
          <w:tcPr>
            <w:tcW w:w="387" w:type="pct"/>
            <w:tcBorders>
              <w:top w:val="none" w:sz="0" w:space="0" w:color="auto"/>
              <w:bottom w:val="none" w:sz="0" w:space="0" w:color="auto"/>
              <w:right w:val="none" w:sz="0" w:space="0" w:color="auto"/>
            </w:tcBorders>
            <w:noWrap/>
            <w:vAlign w:val="bottom"/>
          </w:tcPr>
          <w:p w:rsidR="0037079D" w:rsidRPr="007C2D51" w:rsidRDefault="0037079D" w:rsidP="0037079D">
            <w:pPr>
              <w:jc w:val="right"/>
              <w:cnfStyle w:val="000000100000"/>
            </w:pPr>
            <w:r w:rsidRPr="007C2D51">
              <w:t>100%</w:t>
            </w:r>
          </w:p>
        </w:tc>
      </w:tr>
      <w:tr w:rsidR="0037079D" w:rsidRPr="007C2D51" w:rsidTr="00E218F6">
        <w:trPr>
          <w:trHeight w:val="300"/>
        </w:trPr>
        <w:tc>
          <w:tcPr>
            <w:cnfStyle w:val="001000000000"/>
            <w:tcW w:w="1929" w:type="pct"/>
            <w:shd w:val="clear" w:color="auto" w:fill="475A8D" w:themeFill="accent6"/>
            <w:noWrap/>
            <w:vAlign w:val="bottom"/>
          </w:tcPr>
          <w:p w:rsidR="0037079D" w:rsidRPr="007C2D51" w:rsidRDefault="0037079D" w:rsidP="0037079D">
            <w:pPr>
              <w:rPr>
                <w:color w:val="FFFFFF" w:themeColor="background1"/>
              </w:rPr>
            </w:pPr>
            <w:r w:rsidRPr="007C2D51">
              <w:rPr>
                <w:color w:val="FFFFFF" w:themeColor="background1"/>
              </w:rPr>
              <w:t>Capital Investment Projects</w:t>
            </w:r>
          </w:p>
        </w:tc>
        <w:tc>
          <w:tcPr>
            <w:tcW w:w="354" w:type="pct"/>
            <w:shd w:val="clear" w:color="auto" w:fill="475A8D" w:themeFill="accent6"/>
            <w:vAlign w:val="bottom"/>
          </w:tcPr>
          <w:p w:rsidR="0037079D" w:rsidRPr="007C2D51" w:rsidRDefault="0037079D" w:rsidP="0037079D">
            <w:pPr>
              <w:jc w:val="right"/>
              <w:cnfStyle w:val="000000000000"/>
              <w:rPr>
                <w:rFonts w:cs="Calibri"/>
                <w:b/>
                <w:bCs/>
                <w:color w:val="FFFFFF" w:themeColor="background1"/>
              </w:rPr>
            </w:pPr>
            <w:r w:rsidRPr="007C2D51">
              <w:rPr>
                <w:rFonts w:cs="Calibri"/>
                <w:b/>
                <w:bCs/>
                <w:color w:val="FFFFFF" w:themeColor="background1"/>
              </w:rPr>
              <w:t>83</w:t>
            </w:r>
          </w:p>
        </w:tc>
        <w:tc>
          <w:tcPr>
            <w:tcW w:w="822" w:type="pct"/>
            <w:shd w:val="clear" w:color="auto" w:fill="475A8D" w:themeFill="accent6"/>
            <w:noWrap/>
            <w:vAlign w:val="bottom"/>
          </w:tcPr>
          <w:p w:rsidR="0037079D" w:rsidRPr="007C2D51" w:rsidRDefault="0037079D">
            <w:pPr>
              <w:jc w:val="right"/>
              <w:cnfStyle w:val="000000000000"/>
              <w:rPr>
                <w:rFonts w:cs="Calibri"/>
                <w:b/>
                <w:bCs/>
                <w:color w:val="FFFFFF" w:themeColor="background1"/>
              </w:rPr>
            </w:pPr>
            <w:r w:rsidRPr="007C2D51">
              <w:rPr>
                <w:rFonts w:cs="Calibri"/>
                <w:b/>
                <w:bCs/>
                <w:color w:val="FFFFFF" w:themeColor="background1"/>
              </w:rPr>
              <w:t>45%</w:t>
            </w:r>
          </w:p>
        </w:tc>
        <w:tc>
          <w:tcPr>
            <w:tcW w:w="796" w:type="pct"/>
            <w:shd w:val="clear" w:color="auto" w:fill="475A8D" w:themeFill="accent6"/>
            <w:noWrap/>
            <w:vAlign w:val="bottom"/>
          </w:tcPr>
          <w:p w:rsidR="0037079D" w:rsidRPr="007C2D51" w:rsidRDefault="0037079D">
            <w:pPr>
              <w:jc w:val="right"/>
              <w:cnfStyle w:val="000000000000"/>
              <w:rPr>
                <w:rFonts w:cs="Calibri"/>
                <w:b/>
                <w:bCs/>
                <w:color w:val="FFFFFF" w:themeColor="background1"/>
              </w:rPr>
            </w:pPr>
            <w:r w:rsidRPr="007C2D51">
              <w:rPr>
                <w:rFonts w:cs="Calibri"/>
                <w:b/>
                <w:bCs/>
                <w:color w:val="FFFFFF" w:themeColor="background1"/>
              </w:rPr>
              <w:t>19%</w:t>
            </w:r>
          </w:p>
        </w:tc>
        <w:tc>
          <w:tcPr>
            <w:tcW w:w="712" w:type="pct"/>
            <w:shd w:val="clear" w:color="auto" w:fill="475A8D" w:themeFill="accent6"/>
            <w:noWrap/>
            <w:vAlign w:val="bottom"/>
          </w:tcPr>
          <w:p w:rsidR="0037079D" w:rsidRPr="007C2D51" w:rsidRDefault="0037079D">
            <w:pPr>
              <w:jc w:val="right"/>
              <w:cnfStyle w:val="000000000000"/>
              <w:rPr>
                <w:rFonts w:cs="Calibri"/>
                <w:b/>
                <w:bCs/>
                <w:color w:val="FFFFFF" w:themeColor="background1"/>
              </w:rPr>
            </w:pPr>
            <w:r w:rsidRPr="007C2D51">
              <w:rPr>
                <w:rFonts w:cs="Calibri"/>
                <w:b/>
                <w:bCs/>
                <w:color w:val="FFFFFF" w:themeColor="background1"/>
              </w:rPr>
              <w:t>36%</w:t>
            </w:r>
          </w:p>
        </w:tc>
        <w:tc>
          <w:tcPr>
            <w:tcW w:w="387" w:type="pct"/>
            <w:shd w:val="clear" w:color="auto" w:fill="475A8D" w:themeFill="accent6"/>
            <w:noWrap/>
            <w:vAlign w:val="bottom"/>
          </w:tcPr>
          <w:p w:rsidR="0037079D" w:rsidRPr="007C2D51" w:rsidRDefault="0037079D" w:rsidP="0037079D">
            <w:pPr>
              <w:jc w:val="right"/>
              <w:cnfStyle w:val="000000000000"/>
              <w:rPr>
                <w:b/>
                <w:color w:val="FFFFFF" w:themeColor="background1"/>
              </w:rPr>
            </w:pPr>
            <w:r w:rsidRPr="007C2D51">
              <w:rPr>
                <w:b/>
                <w:color w:val="FFFFFF" w:themeColor="background1"/>
              </w:rPr>
              <w:t>100%</w:t>
            </w:r>
          </w:p>
        </w:tc>
      </w:tr>
      <w:tr w:rsidR="0037079D" w:rsidRPr="007C2D51" w:rsidTr="00E218F6">
        <w:trPr>
          <w:cnfStyle w:val="000000100000"/>
          <w:trHeight w:val="300"/>
        </w:trPr>
        <w:tc>
          <w:tcPr>
            <w:cnfStyle w:val="001000000000"/>
            <w:tcW w:w="1929" w:type="pct"/>
            <w:tcBorders>
              <w:top w:val="none" w:sz="0" w:space="0" w:color="auto"/>
              <w:left w:val="none" w:sz="0" w:space="0" w:color="auto"/>
              <w:bottom w:val="none" w:sz="0" w:space="0" w:color="auto"/>
            </w:tcBorders>
            <w:noWrap/>
            <w:vAlign w:val="bottom"/>
          </w:tcPr>
          <w:p w:rsidR="0037079D" w:rsidRPr="007C2D51" w:rsidRDefault="0037079D" w:rsidP="0037079D">
            <w:r w:rsidRPr="007C2D51">
              <w:t>Vehicle for agency</w:t>
            </w:r>
          </w:p>
        </w:tc>
        <w:tc>
          <w:tcPr>
            <w:tcW w:w="354" w:type="pct"/>
            <w:tcBorders>
              <w:top w:val="none" w:sz="0" w:space="0" w:color="auto"/>
              <w:bottom w:val="none" w:sz="0" w:space="0" w:color="auto"/>
            </w:tcBorders>
            <w:vAlign w:val="bottom"/>
          </w:tcPr>
          <w:p w:rsidR="0037079D" w:rsidRPr="007C2D51" w:rsidRDefault="0037079D" w:rsidP="0037079D">
            <w:pPr>
              <w:jc w:val="right"/>
              <w:cnfStyle w:val="000000100000"/>
              <w:rPr>
                <w:rFonts w:cs="Calibri"/>
                <w:color w:val="000000"/>
              </w:rPr>
            </w:pPr>
            <w:r w:rsidRPr="007C2D51">
              <w:rPr>
                <w:rFonts w:cs="Calibri"/>
                <w:color w:val="000000"/>
              </w:rPr>
              <w:t>32</w:t>
            </w:r>
          </w:p>
        </w:tc>
        <w:tc>
          <w:tcPr>
            <w:tcW w:w="822" w:type="pct"/>
            <w:tcBorders>
              <w:top w:val="none" w:sz="0" w:space="0" w:color="auto"/>
              <w:bottom w:val="none" w:sz="0" w:space="0" w:color="auto"/>
            </w:tcBorders>
            <w:noWrap/>
            <w:vAlign w:val="bottom"/>
          </w:tcPr>
          <w:p w:rsidR="0037079D" w:rsidRPr="007C2D51" w:rsidRDefault="0037079D">
            <w:pPr>
              <w:jc w:val="right"/>
              <w:cnfStyle w:val="000000100000"/>
              <w:rPr>
                <w:rFonts w:cs="Calibri"/>
                <w:color w:val="000000"/>
              </w:rPr>
            </w:pPr>
            <w:r w:rsidRPr="007C2D51">
              <w:rPr>
                <w:rFonts w:cs="Calibri"/>
                <w:color w:val="000000"/>
              </w:rPr>
              <w:t>34%</w:t>
            </w:r>
          </w:p>
        </w:tc>
        <w:tc>
          <w:tcPr>
            <w:tcW w:w="796" w:type="pct"/>
            <w:tcBorders>
              <w:top w:val="none" w:sz="0" w:space="0" w:color="auto"/>
              <w:bottom w:val="none" w:sz="0" w:space="0" w:color="auto"/>
            </w:tcBorders>
            <w:noWrap/>
            <w:vAlign w:val="bottom"/>
          </w:tcPr>
          <w:p w:rsidR="0037079D" w:rsidRPr="007C2D51" w:rsidRDefault="0037079D">
            <w:pPr>
              <w:jc w:val="right"/>
              <w:cnfStyle w:val="000000100000"/>
              <w:rPr>
                <w:rFonts w:cs="Calibri"/>
                <w:color w:val="000000"/>
              </w:rPr>
            </w:pPr>
            <w:r w:rsidRPr="007C2D51">
              <w:rPr>
                <w:rFonts w:cs="Calibri"/>
                <w:color w:val="000000"/>
              </w:rPr>
              <w:t>16%</w:t>
            </w:r>
          </w:p>
        </w:tc>
        <w:tc>
          <w:tcPr>
            <w:tcW w:w="712" w:type="pct"/>
            <w:tcBorders>
              <w:top w:val="none" w:sz="0" w:space="0" w:color="auto"/>
              <w:bottom w:val="none" w:sz="0" w:space="0" w:color="auto"/>
            </w:tcBorders>
            <w:noWrap/>
            <w:vAlign w:val="bottom"/>
          </w:tcPr>
          <w:p w:rsidR="0037079D" w:rsidRPr="007C2D51" w:rsidRDefault="0037079D">
            <w:pPr>
              <w:jc w:val="right"/>
              <w:cnfStyle w:val="000000100000"/>
              <w:rPr>
                <w:rFonts w:cs="Calibri"/>
                <w:color w:val="000000"/>
              </w:rPr>
            </w:pPr>
            <w:r w:rsidRPr="007C2D51">
              <w:rPr>
                <w:rFonts w:cs="Calibri"/>
                <w:color w:val="000000"/>
              </w:rPr>
              <w:t>50%</w:t>
            </w:r>
          </w:p>
        </w:tc>
        <w:tc>
          <w:tcPr>
            <w:tcW w:w="387" w:type="pct"/>
            <w:tcBorders>
              <w:top w:val="none" w:sz="0" w:space="0" w:color="auto"/>
              <w:bottom w:val="none" w:sz="0" w:space="0" w:color="auto"/>
              <w:right w:val="none" w:sz="0" w:space="0" w:color="auto"/>
            </w:tcBorders>
            <w:noWrap/>
            <w:vAlign w:val="bottom"/>
          </w:tcPr>
          <w:p w:rsidR="0037079D" w:rsidRPr="007C2D51" w:rsidRDefault="0037079D" w:rsidP="0037079D">
            <w:pPr>
              <w:jc w:val="right"/>
              <w:cnfStyle w:val="000000100000"/>
            </w:pPr>
            <w:r w:rsidRPr="007C2D51">
              <w:t>100%</w:t>
            </w:r>
          </w:p>
        </w:tc>
      </w:tr>
      <w:tr w:rsidR="0037079D" w:rsidRPr="007C2D51" w:rsidTr="00E218F6">
        <w:trPr>
          <w:trHeight w:val="300"/>
        </w:trPr>
        <w:tc>
          <w:tcPr>
            <w:cnfStyle w:val="001000000000"/>
            <w:tcW w:w="1929" w:type="pct"/>
            <w:noWrap/>
            <w:vAlign w:val="bottom"/>
          </w:tcPr>
          <w:p w:rsidR="0037079D" w:rsidRPr="007C2D51" w:rsidRDefault="0037079D" w:rsidP="0037079D">
            <w:r w:rsidRPr="007C2D51">
              <w:t>Vehicle for individual</w:t>
            </w:r>
          </w:p>
        </w:tc>
        <w:tc>
          <w:tcPr>
            <w:tcW w:w="354" w:type="pct"/>
            <w:vAlign w:val="bottom"/>
          </w:tcPr>
          <w:p w:rsidR="0037079D" w:rsidRPr="007C2D51" w:rsidRDefault="0037079D" w:rsidP="0037079D">
            <w:pPr>
              <w:jc w:val="right"/>
              <w:cnfStyle w:val="000000000000"/>
              <w:rPr>
                <w:rFonts w:cs="Calibri"/>
                <w:color w:val="000000"/>
              </w:rPr>
            </w:pPr>
            <w:r w:rsidRPr="007C2D51">
              <w:rPr>
                <w:rFonts w:cs="Calibri"/>
                <w:color w:val="000000"/>
              </w:rPr>
              <w:t>31</w:t>
            </w:r>
          </w:p>
        </w:tc>
        <w:tc>
          <w:tcPr>
            <w:tcW w:w="822" w:type="pct"/>
            <w:noWrap/>
            <w:vAlign w:val="bottom"/>
          </w:tcPr>
          <w:p w:rsidR="0037079D" w:rsidRPr="007C2D51" w:rsidRDefault="0037079D">
            <w:pPr>
              <w:jc w:val="right"/>
              <w:cnfStyle w:val="000000000000"/>
              <w:rPr>
                <w:rFonts w:cs="Calibri"/>
                <w:color w:val="000000"/>
              </w:rPr>
            </w:pPr>
            <w:r w:rsidRPr="007C2D51">
              <w:rPr>
                <w:rFonts w:cs="Calibri"/>
                <w:color w:val="000000"/>
              </w:rPr>
              <w:t>42%</w:t>
            </w:r>
          </w:p>
        </w:tc>
        <w:tc>
          <w:tcPr>
            <w:tcW w:w="796" w:type="pct"/>
            <w:noWrap/>
            <w:vAlign w:val="bottom"/>
          </w:tcPr>
          <w:p w:rsidR="0037079D" w:rsidRPr="007C2D51" w:rsidRDefault="0037079D">
            <w:pPr>
              <w:jc w:val="right"/>
              <w:cnfStyle w:val="000000000000"/>
              <w:rPr>
                <w:rFonts w:cs="Calibri"/>
                <w:color w:val="000000"/>
              </w:rPr>
            </w:pPr>
            <w:r w:rsidRPr="007C2D51">
              <w:rPr>
                <w:rFonts w:cs="Calibri"/>
                <w:color w:val="000000"/>
              </w:rPr>
              <w:t>23%</w:t>
            </w:r>
          </w:p>
        </w:tc>
        <w:tc>
          <w:tcPr>
            <w:tcW w:w="712" w:type="pct"/>
            <w:noWrap/>
            <w:vAlign w:val="bottom"/>
          </w:tcPr>
          <w:p w:rsidR="0037079D" w:rsidRPr="007C2D51" w:rsidRDefault="0037079D">
            <w:pPr>
              <w:jc w:val="right"/>
              <w:cnfStyle w:val="000000000000"/>
              <w:rPr>
                <w:rFonts w:cs="Calibri"/>
                <w:color w:val="000000"/>
              </w:rPr>
            </w:pPr>
            <w:r w:rsidRPr="007C2D51">
              <w:rPr>
                <w:rFonts w:cs="Calibri"/>
                <w:color w:val="000000"/>
              </w:rPr>
              <w:t>35%</w:t>
            </w:r>
          </w:p>
        </w:tc>
        <w:tc>
          <w:tcPr>
            <w:tcW w:w="387" w:type="pct"/>
            <w:noWrap/>
            <w:vAlign w:val="bottom"/>
          </w:tcPr>
          <w:p w:rsidR="0037079D" w:rsidRPr="007C2D51" w:rsidRDefault="0037079D" w:rsidP="0037079D">
            <w:pPr>
              <w:jc w:val="right"/>
              <w:cnfStyle w:val="000000000000"/>
            </w:pPr>
            <w:r w:rsidRPr="007C2D51">
              <w:t>100%</w:t>
            </w:r>
          </w:p>
        </w:tc>
      </w:tr>
      <w:tr w:rsidR="0037079D" w:rsidRPr="007C2D51" w:rsidTr="00E218F6">
        <w:trPr>
          <w:cnfStyle w:val="000000100000"/>
          <w:trHeight w:val="300"/>
        </w:trPr>
        <w:tc>
          <w:tcPr>
            <w:cnfStyle w:val="001000000000"/>
            <w:tcW w:w="1929" w:type="pct"/>
            <w:tcBorders>
              <w:top w:val="none" w:sz="0" w:space="0" w:color="auto"/>
              <w:left w:val="none" w:sz="0" w:space="0" w:color="auto"/>
              <w:bottom w:val="none" w:sz="0" w:space="0" w:color="auto"/>
            </w:tcBorders>
            <w:noWrap/>
            <w:vAlign w:val="bottom"/>
          </w:tcPr>
          <w:p w:rsidR="0037079D" w:rsidRPr="007C2D51" w:rsidRDefault="0037079D" w:rsidP="0037079D">
            <w:r w:rsidRPr="007C2D51">
              <w:t>ITS investments</w:t>
            </w:r>
          </w:p>
        </w:tc>
        <w:tc>
          <w:tcPr>
            <w:tcW w:w="354" w:type="pct"/>
            <w:tcBorders>
              <w:top w:val="none" w:sz="0" w:space="0" w:color="auto"/>
              <w:bottom w:val="none" w:sz="0" w:space="0" w:color="auto"/>
            </w:tcBorders>
            <w:vAlign w:val="bottom"/>
          </w:tcPr>
          <w:p w:rsidR="0037079D" w:rsidRPr="007C2D51" w:rsidRDefault="0037079D" w:rsidP="0037079D">
            <w:pPr>
              <w:jc w:val="right"/>
              <w:cnfStyle w:val="000000100000"/>
              <w:rPr>
                <w:rFonts w:cs="Calibri"/>
                <w:color w:val="000000"/>
              </w:rPr>
            </w:pPr>
            <w:r w:rsidRPr="007C2D51">
              <w:rPr>
                <w:rFonts w:cs="Calibri"/>
                <w:color w:val="000000"/>
              </w:rPr>
              <w:t>12</w:t>
            </w:r>
          </w:p>
        </w:tc>
        <w:tc>
          <w:tcPr>
            <w:tcW w:w="822" w:type="pct"/>
            <w:tcBorders>
              <w:top w:val="none" w:sz="0" w:space="0" w:color="auto"/>
              <w:bottom w:val="none" w:sz="0" w:space="0" w:color="auto"/>
            </w:tcBorders>
            <w:noWrap/>
            <w:vAlign w:val="bottom"/>
          </w:tcPr>
          <w:p w:rsidR="0037079D" w:rsidRPr="007C2D51" w:rsidRDefault="0037079D">
            <w:pPr>
              <w:jc w:val="right"/>
              <w:cnfStyle w:val="000000100000"/>
              <w:rPr>
                <w:rFonts w:cs="Calibri"/>
                <w:color w:val="000000"/>
              </w:rPr>
            </w:pPr>
            <w:r w:rsidRPr="007C2D51">
              <w:rPr>
                <w:rFonts w:cs="Calibri"/>
                <w:color w:val="000000"/>
              </w:rPr>
              <w:t>100%</w:t>
            </w:r>
          </w:p>
        </w:tc>
        <w:tc>
          <w:tcPr>
            <w:tcW w:w="796" w:type="pct"/>
            <w:tcBorders>
              <w:top w:val="none" w:sz="0" w:space="0" w:color="auto"/>
              <w:bottom w:val="none" w:sz="0" w:space="0" w:color="auto"/>
            </w:tcBorders>
            <w:noWrap/>
            <w:vAlign w:val="bottom"/>
          </w:tcPr>
          <w:p w:rsidR="0037079D" w:rsidRPr="007C2D51" w:rsidRDefault="0037079D">
            <w:pPr>
              <w:jc w:val="right"/>
              <w:cnfStyle w:val="000000100000"/>
              <w:rPr>
                <w:rFonts w:cs="Calibri"/>
                <w:color w:val="000000"/>
              </w:rPr>
            </w:pPr>
            <w:r w:rsidRPr="007C2D51">
              <w:rPr>
                <w:rFonts w:cs="Calibri"/>
                <w:color w:val="000000"/>
              </w:rPr>
              <w:t>0%</w:t>
            </w:r>
          </w:p>
        </w:tc>
        <w:tc>
          <w:tcPr>
            <w:tcW w:w="712" w:type="pct"/>
            <w:tcBorders>
              <w:top w:val="none" w:sz="0" w:space="0" w:color="auto"/>
              <w:bottom w:val="none" w:sz="0" w:space="0" w:color="auto"/>
            </w:tcBorders>
            <w:noWrap/>
            <w:vAlign w:val="bottom"/>
          </w:tcPr>
          <w:p w:rsidR="0037079D" w:rsidRPr="007C2D51" w:rsidRDefault="0037079D">
            <w:pPr>
              <w:jc w:val="right"/>
              <w:cnfStyle w:val="000000100000"/>
              <w:rPr>
                <w:rFonts w:cs="Calibri"/>
                <w:color w:val="000000"/>
              </w:rPr>
            </w:pPr>
            <w:r w:rsidRPr="007C2D51">
              <w:rPr>
                <w:rFonts w:cs="Calibri"/>
                <w:color w:val="000000"/>
              </w:rPr>
              <w:t>0%</w:t>
            </w:r>
          </w:p>
        </w:tc>
        <w:tc>
          <w:tcPr>
            <w:tcW w:w="387" w:type="pct"/>
            <w:tcBorders>
              <w:top w:val="none" w:sz="0" w:space="0" w:color="auto"/>
              <w:bottom w:val="none" w:sz="0" w:space="0" w:color="auto"/>
              <w:right w:val="none" w:sz="0" w:space="0" w:color="auto"/>
            </w:tcBorders>
            <w:noWrap/>
            <w:vAlign w:val="bottom"/>
          </w:tcPr>
          <w:p w:rsidR="0037079D" w:rsidRPr="007C2D51" w:rsidRDefault="0037079D" w:rsidP="0037079D">
            <w:pPr>
              <w:jc w:val="right"/>
              <w:cnfStyle w:val="000000100000"/>
            </w:pPr>
            <w:r w:rsidRPr="007C2D51">
              <w:t>100%</w:t>
            </w:r>
          </w:p>
        </w:tc>
      </w:tr>
      <w:tr w:rsidR="0037079D" w:rsidRPr="007C2D51" w:rsidTr="00E218F6">
        <w:trPr>
          <w:trHeight w:val="300"/>
        </w:trPr>
        <w:tc>
          <w:tcPr>
            <w:cnfStyle w:val="001000000000"/>
            <w:tcW w:w="1929" w:type="pct"/>
            <w:noWrap/>
            <w:vAlign w:val="bottom"/>
          </w:tcPr>
          <w:p w:rsidR="0037079D" w:rsidRPr="007C2D51" w:rsidRDefault="0037079D" w:rsidP="0037079D">
            <w:r w:rsidRPr="007C2D51">
              <w:t>Vanpool vehicles</w:t>
            </w:r>
          </w:p>
        </w:tc>
        <w:tc>
          <w:tcPr>
            <w:tcW w:w="354" w:type="pct"/>
            <w:vAlign w:val="bottom"/>
          </w:tcPr>
          <w:p w:rsidR="0037079D" w:rsidRPr="007C2D51" w:rsidRDefault="0037079D" w:rsidP="0037079D">
            <w:pPr>
              <w:jc w:val="right"/>
              <w:cnfStyle w:val="000000000000"/>
              <w:rPr>
                <w:rFonts w:cs="Calibri"/>
                <w:color w:val="000000"/>
              </w:rPr>
            </w:pPr>
            <w:r w:rsidRPr="007C2D51">
              <w:rPr>
                <w:rFonts w:cs="Calibri"/>
                <w:color w:val="000000"/>
              </w:rPr>
              <w:t>4</w:t>
            </w:r>
          </w:p>
        </w:tc>
        <w:tc>
          <w:tcPr>
            <w:tcW w:w="822" w:type="pct"/>
            <w:noWrap/>
            <w:vAlign w:val="bottom"/>
          </w:tcPr>
          <w:p w:rsidR="0037079D" w:rsidRPr="007C2D51" w:rsidRDefault="0037079D">
            <w:pPr>
              <w:jc w:val="right"/>
              <w:cnfStyle w:val="000000000000"/>
              <w:rPr>
                <w:rFonts w:cs="Calibri"/>
                <w:color w:val="000000"/>
              </w:rPr>
            </w:pPr>
            <w:r w:rsidRPr="007C2D51">
              <w:rPr>
                <w:rFonts w:cs="Calibri"/>
                <w:color w:val="000000"/>
              </w:rPr>
              <w:t>67%</w:t>
            </w:r>
          </w:p>
        </w:tc>
        <w:tc>
          <w:tcPr>
            <w:tcW w:w="796" w:type="pct"/>
            <w:noWrap/>
            <w:vAlign w:val="bottom"/>
          </w:tcPr>
          <w:p w:rsidR="0037079D" w:rsidRPr="007C2D51" w:rsidRDefault="0037079D">
            <w:pPr>
              <w:jc w:val="right"/>
              <w:cnfStyle w:val="000000000000"/>
              <w:rPr>
                <w:rFonts w:cs="Calibri"/>
                <w:color w:val="000000"/>
              </w:rPr>
            </w:pPr>
            <w:r w:rsidRPr="007C2D51">
              <w:rPr>
                <w:rFonts w:cs="Calibri"/>
                <w:color w:val="000000"/>
              </w:rPr>
              <w:t>17%</w:t>
            </w:r>
          </w:p>
        </w:tc>
        <w:tc>
          <w:tcPr>
            <w:tcW w:w="712" w:type="pct"/>
            <w:noWrap/>
            <w:vAlign w:val="bottom"/>
          </w:tcPr>
          <w:p w:rsidR="0037079D" w:rsidRPr="007C2D51" w:rsidRDefault="0037079D">
            <w:pPr>
              <w:jc w:val="right"/>
              <w:cnfStyle w:val="000000000000"/>
              <w:rPr>
                <w:rFonts w:cs="Calibri"/>
                <w:color w:val="000000"/>
              </w:rPr>
            </w:pPr>
            <w:r w:rsidRPr="007C2D51">
              <w:rPr>
                <w:rFonts w:cs="Calibri"/>
                <w:color w:val="000000"/>
              </w:rPr>
              <w:t>17%</w:t>
            </w:r>
          </w:p>
        </w:tc>
        <w:tc>
          <w:tcPr>
            <w:tcW w:w="387" w:type="pct"/>
            <w:noWrap/>
            <w:vAlign w:val="bottom"/>
          </w:tcPr>
          <w:p w:rsidR="0037079D" w:rsidRPr="007C2D51" w:rsidRDefault="0037079D" w:rsidP="0037079D">
            <w:pPr>
              <w:jc w:val="right"/>
              <w:cnfStyle w:val="000000000000"/>
            </w:pPr>
            <w:r w:rsidRPr="007C2D51">
              <w:t>100%</w:t>
            </w:r>
          </w:p>
        </w:tc>
      </w:tr>
      <w:tr w:rsidR="0037079D" w:rsidRPr="007C2D51" w:rsidTr="00E218F6">
        <w:trPr>
          <w:cnfStyle w:val="000000100000"/>
          <w:trHeight w:val="300"/>
        </w:trPr>
        <w:tc>
          <w:tcPr>
            <w:cnfStyle w:val="001000000000"/>
            <w:tcW w:w="1929" w:type="pct"/>
            <w:tcBorders>
              <w:top w:val="none" w:sz="0" w:space="0" w:color="auto"/>
              <w:left w:val="none" w:sz="0" w:space="0" w:color="auto"/>
              <w:bottom w:val="none" w:sz="0" w:space="0" w:color="auto"/>
            </w:tcBorders>
            <w:noWrap/>
            <w:vAlign w:val="bottom"/>
          </w:tcPr>
          <w:p w:rsidR="0037079D" w:rsidRPr="007C2D51" w:rsidRDefault="0037079D" w:rsidP="0037079D">
            <w:r w:rsidRPr="007C2D51">
              <w:t>Other capital projects</w:t>
            </w:r>
          </w:p>
        </w:tc>
        <w:tc>
          <w:tcPr>
            <w:tcW w:w="354" w:type="pct"/>
            <w:tcBorders>
              <w:top w:val="none" w:sz="0" w:space="0" w:color="auto"/>
              <w:bottom w:val="none" w:sz="0" w:space="0" w:color="auto"/>
            </w:tcBorders>
            <w:vAlign w:val="bottom"/>
          </w:tcPr>
          <w:p w:rsidR="0037079D" w:rsidRPr="007C2D51" w:rsidRDefault="0037079D" w:rsidP="0037079D">
            <w:pPr>
              <w:jc w:val="right"/>
              <w:cnfStyle w:val="000000100000"/>
              <w:rPr>
                <w:rFonts w:cs="Calibri"/>
                <w:color w:val="000000"/>
              </w:rPr>
            </w:pPr>
            <w:r w:rsidRPr="007C2D51">
              <w:rPr>
                <w:rFonts w:cs="Calibri"/>
                <w:color w:val="000000"/>
              </w:rPr>
              <w:t>3</w:t>
            </w:r>
          </w:p>
        </w:tc>
        <w:tc>
          <w:tcPr>
            <w:tcW w:w="822" w:type="pct"/>
            <w:tcBorders>
              <w:top w:val="none" w:sz="0" w:space="0" w:color="auto"/>
              <w:bottom w:val="none" w:sz="0" w:space="0" w:color="auto"/>
            </w:tcBorders>
            <w:noWrap/>
            <w:vAlign w:val="bottom"/>
          </w:tcPr>
          <w:p w:rsidR="0037079D" w:rsidRPr="007C2D51" w:rsidRDefault="0037079D">
            <w:pPr>
              <w:jc w:val="right"/>
              <w:cnfStyle w:val="000000100000"/>
              <w:rPr>
                <w:rFonts w:cs="Calibri"/>
                <w:color w:val="000000"/>
              </w:rPr>
            </w:pPr>
            <w:r w:rsidRPr="007C2D51">
              <w:rPr>
                <w:rFonts w:cs="Calibri"/>
                <w:color w:val="000000"/>
              </w:rPr>
              <w:t>33%</w:t>
            </w:r>
          </w:p>
        </w:tc>
        <w:tc>
          <w:tcPr>
            <w:tcW w:w="796" w:type="pct"/>
            <w:tcBorders>
              <w:top w:val="none" w:sz="0" w:space="0" w:color="auto"/>
              <w:bottom w:val="none" w:sz="0" w:space="0" w:color="auto"/>
            </w:tcBorders>
            <w:noWrap/>
            <w:vAlign w:val="bottom"/>
          </w:tcPr>
          <w:p w:rsidR="0037079D" w:rsidRPr="007C2D51" w:rsidRDefault="0037079D">
            <w:pPr>
              <w:jc w:val="right"/>
              <w:cnfStyle w:val="000000100000"/>
              <w:rPr>
                <w:rFonts w:cs="Calibri"/>
                <w:color w:val="000000"/>
              </w:rPr>
            </w:pPr>
            <w:r w:rsidRPr="007C2D51">
              <w:rPr>
                <w:rFonts w:cs="Calibri"/>
                <w:color w:val="000000"/>
              </w:rPr>
              <w:t>33%</w:t>
            </w:r>
          </w:p>
        </w:tc>
        <w:tc>
          <w:tcPr>
            <w:tcW w:w="712" w:type="pct"/>
            <w:tcBorders>
              <w:top w:val="none" w:sz="0" w:space="0" w:color="auto"/>
              <w:bottom w:val="none" w:sz="0" w:space="0" w:color="auto"/>
            </w:tcBorders>
            <w:noWrap/>
            <w:vAlign w:val="bottom"/>
          </w:tcPr>
          <w:p w:rsidR="0037079D" w:rsidRPr="007C2D51" w:rsidRDefault="0037079D">
            <w:pPr>
              <w:jc w:val="right"/>
              <w:cnfStyle w:val="000000100000"/>
              <w:rPr>
                <w:rFonts w:cs="Calibri"/>
                <w:color w:val="000000"/>
              </w:rPr>
            </w:pPr>
            <w:r w:rsidRPr="007C2D51">
              <w:rPr>
                <w:rFonts w:cs="Calibri"/>
                <w:color w:val="000000"/>
              </w:rPr>
              <w:t>33%</w:t>
            </w:r>
          </w:p>
        </w:tc>
        <w:tc>
          <w:tcPr>
            <w:tcW w:w="387" w:type="pct"/>
            <w:tcBorders>
              <w:top w:val="none" w:sz="0" w:space="0" w:color="auto"/>
              <w:bottom w:val="none" w:sz="0" w:space="0" w:color="auto"/>
              <w:right w:val="none" w:sz="0" w:space="0" w:color="auto"/>
            </w:tcBorders>
            <w:noWrap/>
            <w:vAlign w:val="bottom"/>
          </w:tcPr>
          <w:p w:rsidR="0037079D" w:rsidRPr="007C2D51" w:rsidRDefault="0037079D" w:rsidP="0037079D">
            <w:pPr>
              <w:jc w:val="right"/>
              <w:cnfStyle w:val="000000100000"/>
            </w:pPr>
            <w:r w:rsidRPr="007C2D51">
              <w:t>100%</w:t>
            </w:r>
          </w:p>
        </w:tc>
      </w:tr>
      <w:tr w:rsidR="0037079D" w:rsidRPr="007C2D51" w:rsidTr="00E218F6">
        <w:trPr>
          <w:trHeight w:val="300"/>
        </w:trPr>
        <w:tc>
          <w:tcPr>
            <w:cnfStyle w:val="001000000000"/>
            <w:tcW w:w="1929" w:type="pct"/>
            <w:noWrap/>
            <w:vAlign w:val="bottom"/>
          </w:tcPr>
          <w:p w:rsidR="0037079D" w:rsidRPr="007C2D51" w:rsidRDefault="0037079D" w:rsidP="0037079D">
            <w:r w:rsidRPr="007C2D51">
              <w:t>Car-sharing</w:t>
            </w:r>
          </w:p>
        </w:tc>
        <w:tc>
          <w:tcPr>
            <w:tcW w:w="354" w:type="pct"/>
            <w:vAlign w:val="bottom"/>
          </w:tcPr>
          <w:p w:rsidR="0037079D" w:rsidRPr="007C2D51" w:rsidRDefault="0037079D" w:rsidP="0037079D">
            <w:pPr>
              <w:jc w:val="right"/>
              <w:cnfStyle w:val="000000000000"/>
              <w:rPr>
                <w:rFonts w:cs="Calibri"/>
                <w:color w:val="000000"/>
              </w:rPr>
            </w:pPr>
            <w:r w:rsidRPr="007C2D51">
              <w:rPr>
                <w:rFonts w:cs="Calibri"/>
                <w:color w:val="000000"/>
              </w:rPr>
              <w:t>1</w:t>
            </w:r>
          </w:p>
        </w:tc>
        <w:tc>
          <w:tcPr>
            <w:tcW w:w="822" w:type="pct"/>
            <w:noWrap/>
            <w:vAlign w:val="bottom"/>
          </w:tcPr>
          <w:p w:rsidR="0037079D" w:rsidRPr="007C2D51" w:rsidRDefault="0037079D">
            <w:pPr>
              <w:jc w:val="right"/>
              <w:cnfStyle w:val="000000000000"/>
              <w:rPr>
                <w:rFonts w:cs="Calibri"/>
                <w:color w:val="000000"/>
              </w:rPr>
            </w:pPr>
            <w:r w:rsidRPr="007C2D51">
              <w:rPr>
                <w:rFonts w:cs="Calibri"/>
                <w:color w:val="000000"/>
              </w:rPr>
              <w:t>75%</w:t>
            </w:r>
          </w:p>
        </w:tc>
        <w:tc>
          <w:tcPr>
            <w:tcW w:w="796" w:type="pct"/>
            <w:noWrap/>
            <w:vAlign w:val="bottom"/>
          </w:tcPr>
          <w:p w:rsidR="0037079D" w:rsidRPr="007C2D51" w:rsidRDefault="0037079D">
            <w:pPr>
              <w:jc w:val="right"/>
              <w:cnfStyle w:val="000000000000"/>
              <w:rPr>
                <w:rFonts w:cs="Calibri"/>
                <w:color w:val="000000"/>
              </w:rPr>
            </w:pPr>
            <w:r w:rsidRPr="007C2D51">
              <w:rPr>
                <w:rFonts w:cs="Calibri"/>
                <w:color w:val="000000"/>
              </w:rPr>
              <w:t>25%</w:t>
            </w:r>
          </w:p>
        </w:tc>
        <w:tc>
          <w:tcPr>
            <w:tcW w:w="712" w:type="pct"/>
            <w:noWrap/>
            <w:vAlign w:val="bottom"/>
          </w:tcPr>
          <w:p w:rsidR="0037079D" w:rsidRPr="007C2D51" w:rsidRDefault="0037079D">
            <w:pPr>
              <w:jc w:val="right"/>
              <w:cnfStyle w:val="000000000000"/>
              <w:rPr>
                <w:rFonts w:cs="Calibri"/>
                <w:color w:val="000000"/>
              </w:rPr>
            </w:pPr>
            <w:r w:rsidRPr="007C2D51">
              <w:rPr>
                <w:rFonts w:cs="Calibri"/>
                <w:color w:val="000000"/>
              </w:rPr>
              <w:t>0%</w:t>
            </w:r>
          </w:p>
        </w:tc>
        <w:tc>
          <w:tcPr>
            <w:tcW w:w="387" w:type="pct"/>
            <w:noWrap/>
            <w:vAlign w:val="bottom"/>
          </w:tcPr>
          <w:p w:rsidR="0037079D" w:rsidRPr="007C2D51" w:rsidRDefault="0037079D" w:rsidP="0037079D">
            <w:pPr>
              <w:jc w:val="right"/>
              <w:cnfStyle w:val="000000000000"/>
            </w:pPr>
            <w:r w:rsidRPr="007C2D51">
              <w:t>100%</w:t>
            </w:r>
          </w:p>
        </w:tc>
      </w:tr>
      <w:tr w:rsidR="0037079D" w:rsidRPr="007C2D51" w:rsidTr="00E218F6">
        <w:trPr>
          <w:cnfStyle w:val="000000100000"/>
          <w:trHeight w:val="300"/>
        </w:trPr>
        <w:tc>
          <w:tcPr>
            <w:cnfStyle w:val="001000000000"/>
            <w:tcW w:w="1929" w:type="pct"/>
            <w:tcBorders>
              <w:top w:val="none" w:sz="0" w:space="0" w:color="auto"/>
              <w:left w:val="none" w:sz="0" w:space="0" w:color="auto"/>
              <w:bottom w:val="none" w:sz="0" w:space="0" w:color="auto"/>
            </w:tcBorders>
            <w:shd w:val="clear" w:color="auto" w:fill="475A8D" w:themeFill="accent6"/>
            <w:noWrap/>
            <w:vAlign w:val="bottom"/>
          </w:tcPr>
          <w:p w:rsidR="0037079D" w:rsidRPr="007C2D51" w:rsidRDefault="0037079D" w:rsidP="0037079D">
            <w:pPr>
              <w:rPr>
                <w:color w:val="FFFFFF" w:themeColor="background1"/>
              </w:rPr>
            </w:pPr>
            <w:r w:rsidRPr="007C2D51">
              <w:rPr>
                <w:color w:val="FFFFFF" w:themeColor="background1"/>
              </w:rPr>
              <w:t>Planning Projects</w:t>
            </w:r>
          </w:p>
        </w:tc>
        <w:tc>
          <w:tcPr>
            <w:tcW w:w="354" w:type="pct"/>
            <w:tcBorders>
              <w:top w:val="none" w:sz="0" w:space="0" w:color="auto"/>
              <w:bottom w:val="none" w:sz="0" w:space="0" w:color="auto"/>
            </w:tcBorders>
            <w:shd w:val="clear" w:color="auto" w:fill="475A8D" w:themeFill="accent6"/>
            <w:vAlign w:val="bottom"/>
          </w:tcPr>
          <w:p w:rsidR="0037079D" w:rsidRPr="007C2D51" w:rsidRDefault="0037079D" w:rsidP="0037079D">
            <w:pPr>
              <w:jc w:val="right"/>
              <w:cnfStyle w:val="000000100000"/>
              <w:rPr>
                <w:rFonts w:cs="Calibri"/>
                <w:b/>
                <w:color w:val="FFFFFF" w:themeColor="background1"/>
              </w:rPr>
            </w:pPr>
            <w:r w:rsidRPr="007C2D51">
              <w:rPr>
                <w:rFonts w:cs="Calibri"/>
                <w:b/>
                <w:color w:val="FFFFFF" w:themeColor="background1"/>
              </w:rPr>
              <w:t>11</w:t>
            </w:r>
          </w:p>
        </w:tc>
        <w:tc>
          <w:tcPr>
            <w:tcW w:w="822" w:type="pct"/>
            <w:tcBorders>
              <w:top w:val="none" w:sz="0" w:space="0" w:color="auto"/>
              <w:bottom w:val="none" w:sz="0" w:space="0" w:color="auto"/>
            </w:tcBorders>
            <w:shd w:val="clear" w:color="auto" w:fill="475A8D" w:themeFill="accent6"/>
            <w:noWrap/>
            <w:vAlign w:val="bottom"/>
          </w:tcPr>
          <w:p w:rsidR="0037079D" w:rsidRPr="007C2D51" w:rsidRDefault="0037079D">
            <w:pPr>
              <w:jc w:val="right"/>
              <w:cnfStyle w:val="000000100000"/>
              <w:rPr>
                <w:rFonts w:cs="Calibri"/>
                <w:b/>
                <w:bCs/>
                <w:color w:val="FFFFFF" w:themeColor="background1"/>
              </w:rPr>
            </w:pPr>
            <w:r w:rsidRPr="007C2D51">
              <w:rPr>
                <w:rFonts w:cs="Calibri"/>
                <w:b/>
                <w:bCs/>
                <w:color w:val="FFFFFF" w:themeColor="background1"/>
              </w:rPr>
              <w:t>45%</w:t>
            </w:r>
          </w:p>
        </w:tc>
        <w:tc>
          <w:tcPr>
            <w:tcW w:w="796" w:type="pct"/>
            <w:tcBorders>
              <w:top w:val="none" w:sz="0" w:space="0" w:color="auto"/>
              <w:bottom w:val="none" w:sz="0" w:space="0" w:color="auto"/>
            </w:tcBorders>
            <w:shd w:val="clear" w:color="auto" w:fill="475A8D" w:themeFill="accent6"/>
            <w:noWrap/>
            <w:vAlign w:val="bottom"/>
          </w:tcPr>
          <w:p w:rsidR="0037079D" w:rsidRPr="007C2D51" w:rsidRDefault="0037079D">
            <w:pPr>
              <w:jc w:val="right"/>
              <w:cnfStyle w:val="000000100000"/>
              <w:rPr>
                <w:rFonts w:cs="Calibri"/>
                <w:b/>
                <w:bCs/>
                <w:color w:val="FFFFFF" w:themeColor="background1"/>
              </w:rPr>
            </w:pPr>
            <w:r w:rsidRPr="007C2D51">
              <w:rPr>
                <w:rFonts w:cs="Calibri"/>
                <w:b/>
                <w:bCs/>
                <w:color w:val="FFFFFF" w:themeColor="background1"/>
              </w:rPr>
              <w:t>18%</w:t>
            </w:r>
          </w:p>
        </w:tc>
        <w:tc>
          <w:tcPr>
            <w:tcW w:w="712" w:type="pct"/>
            <w:tcBorders>
              <w:top w:val="none" w:sz="0" w:space="0" w:color="auto"/>
              <w:bottom w:val="none" w:sz="0" w:space="0" w:color="auto"/>
            </w:tcBorders>
            <w:shd w:val="clear" w:color="auto" w:fill="475A8D" w:themeFill="accent6"/>
            <w:noWrap/>
            <w:vAlign w:val="bottom"/>
          </w:tcPr>
          <w:p w:rsidR="0037079D" w:rsidRPr="007C2D51" w:rsidRDefault="0037079D">
            <w:pPr>
              <w:jc w:val="right"/>
              <w:cnfStyle w:val="000000100000"/>
              <w:rPr>
                <w:rFonts w:cs="Calibri"/>
                <w:b/>
                <w:bCs/>
                <w:color w:val="FFFFFF" w:themeColor="background1"/>
              </w:rPr>
            </w:pPr>
            <w:r w:rsidRPr="007C2D51">
              <w:rPr>
                <w:rFonts w:cs="Calibri"/>
                <w:b/>
                <w:bCs/>
                <w:color w:val="FFFFFF" w:themeColor="background1"/>
              </w:rPr>
              <w:t>36%</w:t>
            </w:r>
          </w:p>
        </w:tc>
        <w:tc>
          <w:tcPr>
            <w:tcW w:w="387" w:type="pct"/>
            <w:tcBorders>
              <w:top w:val="none" w:sz="0" w:space="0" w:color="auto"/>
              <w:bottom w:val="none" w:sz="0" w:space="0" w:color="auto"/>
              <w:right w:val="none" w:sz="0" w:space="0" w:color="auto"/>
            </w:tcBorders>
            <w:shd w:val="clear" w:color="auto" w:fill="475A8D" w:themeFill="accent6"/>
            <w:noWrap/>
            <w:vAlign w:val="bottom"/>
          </w:tcPr>
          <w:p w:rsidR="0037079D" w:rsidRPr="007C2D51" w:rsidRDefault="0037079D" w:rsidP="0037079D">
            <w:pPr>
              <w:jc w:val="right"/>
              <w:cnfStyle w:val="000000100000"/>
              <w:rPr>
                <w:b/>
                <w:color w:val="FFFFFF" w:themeColor="background1"/>
              </w:rPr>
            </w:pPr>
            <w:r w:rsidRPr="007C2D51">
              <w:rPr>
                <w:b/>
                <w:color w:val="FFFFFF" w:themeColor="background1"/>
              </w:rPr>
              <w:t>100%</w:t>
            </w:r>
          </w:p>
        </w:tc>
      </w:tr>
      <w:tr w:rsidR="0037079D" w:rsidRPr="007C2D51" w:rsidTr="00E218F6">
        <w:trPr>
          <w:trHeight w:val="300"/>
        </w:trPr>
        <w:tc>
          <w:tcPr>
            <w:cnfStyle w:val="001000000000"/>
            <w:tcW w:w="1929" w:type="pct"/>
            <w:shd w:val="clear" w:color="auto" w:fill="auto"/>
            <w:noWrap/>
            <w:vAlign w:val="bottom"/>
          </w:tcPr>
          <w:p w:rsidR="0037079D" w:rsidRPr="007C2D51" w:rsidRDefault="0037079D" w:rsidP="0037079D">
            <w:r w:rsidRPr="007C2D51">
              <w:t>Feasibility studies</w:t>
            </w:r>
          </w:p>
        </w:tc>
        <w:tc>
          <w:tcPr>
            <w:tcW w:w="354" w:type="pct"/>
            <w:shd w:val="clear" w:color="auto" w:fill="auto"/>
            <w:vAlign w:val="bottom"/>
          </w:tcPr>
          <w:p w:rsidR="0037079D" w:rsidRPr="007C2D51" w:rsidRDefault="0037079D" w:rsidP="0037079D">
            <w:pPr>
              <w:jc w:val="right"/>
              <w:cnfStyle w:val="000000000000"/>
              <w:rPr>
                <w:rFonts w:cs="Calibri"/>
                <w:color w:val="000000"/>
              </w:rPr>
            </w:pPr>
            <w:r w:rsidRPr="007C2D51">
              <w:rPr>
                <w:rFonts w:cs="Calibri"/>
                <w:color w:val="000000"/>
              </w:rPr>
              <w:t>11</w:t>
            </w:r>
          </w:p>
        </w:tc>
        <w:tc>
          <w:tcPr>
            <w:tcW w:w="822" w:type="pct"/>
            <w:shd w:val="clear" w:color="auto" w:fill="auto"/>
            <w:noWrap/>
            <w:vAlign w:val="bottom"/>
          </w:tcPr>
          <w:p w:rsidR="0037079D" w:rsidRPr="007C2D51" w:rsidRDefault="0037079D">
            <w:pPr>
              <w:jc w:val="right"/>
              <w:cnfStyle w:val="000000000000"/>
              <w:rPr>
                <w:rFonts w:cs="Calibri"/>
                <w:color w:val="000000"/>
              </w:rPr>
            </w:pPr>
            <w:r w:rsidRPr="007C2D51">
              <w:rPr>
                <w:rFonts w:cs="Calibri"/>
                <w:color w:val="000000"/>
              </w:rPr>
              <w:t>45%</w:t>
            </w:r>
          </w:p>
        </w:tc>
        <w:tc>
          <w:tcPr>
            <w:tcW w:w="796" w:type="pct"/>
            <w:shd w:val="clear" w:color="auto" w:fill="auto"/>
            <w:noWrap/>
            <w:vAlign w:val="bottom"/>
          </w:tcPr>
          <w:p w:rsidR="0037079D" w:rsidRPr="007C2D51" w:rsidRDefault="0037079D">
            <w:pPr>
              <w:jc w:val="right"/>
              <w:cnfStyle w:val="000000000000"/>
              <w:rPr>
                <w:rFonts w:cs="Calibri"/>
                <w:color w:val="000000"/>
              </w:rPr>
            </w:pPr>
            <w:r w:rsidRPr="007C2D51">
              <w:rPr>
                <w:rFonts w:cs="Calibri"/>
                <w:color w:val="000000"/>
              </w:rPr>
              <w:t>18%</w:t>
            </w:r>
          </w:p>
        </w:tc>
        <w:tc>
          <w:tcPr>
            <w:tcW w:w="712" w:type="pct"/>
            <w:shd w:val="clear" w:color="auto" w:fill="auto"/>
            <w:noWrap/>
            <w:vAlign w:val="bottom"/>
          </w:tcPr>
          <w:p w:rsidR="0037079D" w:rsidRPr="007C2D51" w:rsidRDefault="0037079D">
            <w:pPr>
              <w:jc w:val="right"/>
              <w:cnfStyle w:val="000000000000"/>
              <w:rPr>
                <w:rFonts w:cs="Calibri"/>
                <w:color w:val="000000"/>
              </w:rPr>
            </w:pPr>
            <w:r w:rsidRPr="007C2D51">
              <w:rPr>
                <w:rFonts w:cs="Calibri"/>
                <w:color w:val="000000"/>
              </w:rPr>
              <w:t>36%</w:t>
            </w:r>
          </w:p>
        </w:tc>
        <w:tc>
          <w:tcPr>
            <w:tcW w:w="387" w:type="pct"/>
            <w:shd w:val="clear" w:color="auto" w:fill="auto"/>
            <w:noWrap/>
            <w:vAlign w:val="bottom"/>
          </w:tcPr>
          <w:p w:rsidR="0037079D" w:rsidRPr="007C2D51" w:rsidRDefault="0037079D" w:rsidP="0037079D">
            <w:pPr>
              <w:jc w:val="right"/>
              <w:cnfStyle w:val="000000000000"/>
            </w:pPr>
            <w:r w:rsidRPr="007C2D51">
              <w:t>100%</w:t>
            </w:r>
          </w:p>
        </w:tc>
      </w:tr>
      <w:tr w:rsidR="0037079D" w:rsidRPr="007C2D51" w:rsidTr="00E218F6">
        <w:trPr>
          <w:cnfStyle w:val="000000100000"/>
          <w:trHeight w:val="300"/>
        </w:trPr>
        <w:tc>
          <w:tcPr>
            <w:cnfStyle w:val="001000000000"/>
            <w:tcW w:w="1929" w:type="pct"/>
            <w:tcBorders>
              <w:top w:val="none" w:sz="0" w:space="0" w:color="auto"/>
              <w:left w:val="none" w:sz="0" w:space="0" w:color="auto"/>
              <w:bottom w:val="none" w:sz="0" w:space="0" w:color="auto"/>
            </w:tcBorders>
            <w:shd w:val="clear" w:color="auto" w:fill="475A8D" w:themeFill="accent6"/>
            <w:noWrap/>
            <w:vAlign w:val="bottom"/>
          </w:tcPr>
          <w:p w:rsidR="0037079D" w:rsidRPr="007C2D51" w:rsidRDefault="0037079D" w:rsidP="0037079D">
            <w:pPr>
              <w:rPr>
                <w:color w:val="FFFFFF" w:themeColor="background1"/>
              </w:rPr>
            </w:pPr>
            <w:r w:rsidRPr="007C2D51">
              <w:rPr>
                <w:color w:val="FFFFFF" w:themeColor="background1"/>
              </w:rPr>
              <w:t>Total</w:t>
            </w:r>
          </w:p>
        </w:tc>
        <w:tc>
          <w:tcPr>
            <w:tcW w:w="354" w:type="pct"/>
            <w:tcBorders>
              <w:top w:val="none" w:sz="0" w:space="0" w:color="auto"/>
              <w:bottom w:val="none" w:sz="0" w:space="0" w:color="auto"/>
            </w:tcBorders>
            <w:shd w:val="clear" w:color="auto" w:fill="475A8D" w:themeFill="accent6"/>
            <w:vAlign w:val="bottom"/>
          </w:tcPr>
          <w:p w:rsidR="0037079D" w:rsidRPr="007C2D51" w:rsidRDefault="0037079D" w:rsidP="0037079D">
            <w:pPr>
              <w:jc w:val="right"/>
              <w:cnfStyle w:val="000000100000"/>
              <w:rPr>
                <w:rFonts w:cs="Calibri"/>
                <w:b/>
                <w:bCs/>
                <w:color w:val="FFFFFF" w:themeColor="background1"/>
              </w:rPr>
            </w:pPr>
            <w:r w:rsidRPr="007C2D51">
              <w:rPr>
                <w:rFonts w:cs="Calibri"/>
                <w:b/>
                <w:bCs/>
                <w:color w:val="FFFFFF" w:themeColor="background1"/>
              </w:rPr>
              <w:t>1027</w:t>
            </w:r>
          </w:p>
        </w:tc>
        <w:tc>
          <w:tcPr>
            <w:tcW w:w="822" w:type="pct"/>
            <w:tcBorders>
              <w:top w:val="none" w:sz="0" w:space="0" w:color="auto"/>
              <w:bottom w:val="none" w:sz="0" w:space="0" w:color="auto"/>
            </w:tcBorders>
            <w:shd w:val="clear" w:color="auto" w:fill="475A8D" w:themeFill="accent6"/>
            <w:noWrap/>
            <w:vAlign w:val="bottom"/>
          </w:tcPr>
          <w:p w:rsidR="0037079D" w:rsidRPr="007C2D51" w:rsidRDefault="0037079D">
            <w:pPr>
              <w:jc w:val="right"/>
              <w:cnfStyle w:val="000000100000"/>
              <w:rPr>
                <w:rFonts w:cs="Calibri"/>
                <w:b/>
                <w:bCs/>
                <w:color w:val="FFFFFF" w:themeColor="background1"/>
              </w:rPr>
            </w:pPr>
            <w:r w:rsidRPr="007C2D51">
              <w:rPr>
                <w:rFonts w:cs="Calibri"/>
                <w:b/>
                <w:bCs/>
                <w:color w:val="FFFFFF" w:themeColor="background1"/>
              </w:rPr>
              <w:t>47%</w:t>
            </w:r>
          </w:p>
        </w:tc>
        <w:tc>
          <w:tcPr>
            <w:tcW w:w="796" w:type="pct"/>
            <w:tcBorders>
              <w:top w:val="none" w:sz="0" w:space="0" w:color="auto"/>
              <w:bottom w:val="none" w:sz="0" w:space="0" w:color="auto"/>
            </w:tcBorders>
            <w:shd w:val="clear" w:color="auto" w:fill="475A8D" w:themeFill="accent6"/>
            <w:noWrap/>
            <w:vAlign w:val="bottom"/>
          </w:tcPr>
          <w:p w:rsidR="0037079D" w:rsidRPr="007C2D51" w:rsidRDefault="0037079D">
            <w:pPr>
              <w:jc w:val="right"/>
              <w:cnfStyle w:val="000000100000"/>
              <w:rPr>
                <w:rFonts w:cs="Calibri"/>
                <w:b/>
                <w:bCs/>
                <w:color w:val="FFFFFF" w:themeColor="background1"/>
              </w:rPr>
            </w:pPr>
            <w:r w:rsidRPr="007C2D51">
              <w:rPr>
                <w:rFonts w:cs="Calibri"/>
                <w:b/>
                <w:bCs/>
                <w:color w:val="FFFFFF" w:themeColor="background1"/>
              </w:rPr>
              <w:t>23%</w:t>
            </w:r>
          </w:p>
        </w:tc>
        <w:tc>
          <w:tcPr>
            <w:tcW w:w="712" w:type="pct"/>
            <w:tcBorders>
              <w:top w:val="none" w:sz="0" w:space="0" w:color="auto"/>
              <w:bottom w:val="none" w:sz="0" w:space="0" w:color="auto"/>
            </w:tcBorders>
            <w:shd w:val="clear" w:color="auto" w:fill="475A8D" w:themeFill="accent6"/>
            <w:noWrap/>
            <w:vAlign w:val="bottom"/>
          </w:tcPr>
          <w:p w:rsidR="0037079D" w:rsidRPr="007C2D51" w:rsidRDefault="0037079D">
            <w:pPr>
              <w:jc w:val="right"/>
              <w:cnfStyle w:val="000000100000"/>
              <w:rPr>
                <w:rFonts w:cs="Calibri"/>
                <w:b/>
                <w:bCs/>
                <w:color w:val="FFFFFF" w:themeColor="background1"/>
              </w:rPr>
            </w:pPr>
            <w:r w:rsidRPr="007C2D51">
              <w:rPr>
                <w:rFonts w:cs="Calibri"/>
                <w:b/>
                <w:bCs/>
                <w:color w:val="FFFFFF" w:themeColor="background1"/>
              </w:rPr>
              <w:t>30%</w:t>
            </w:r>
          </w:p>
        </w:tc>
        <w:tc>
          <w:tcPr>
            <w:tcW w:w="387" w:type="pct"/>
            <w:tcBorders>
              <w:top w:val="none" w:sz="0" w:space="0" w:color="auto"/>
              <w:bottom w:val="none" w:sz="0" w:space="0" w:color="auto"/>
              <w:right w:val="none" w:sz="0" w:space="0" w:color="auto"/>
            </w:tcBorders>
            <w:shd w:val="clear" w:color="auto" w:fill="475A8D" w:themeFill="accent6"/>
            <w:noWrap/>
            <w:vAlign w:val="bottom"/>
          </w:tcPr>
          <w:p w:rsidR="0037079D" w:rsidRPr="007C2D51" w:rsidRDefault="0037079D" w:rsidP="0037079D">
            <w:pPr>
              <w:jc w:val="right"/>
              <w:cnfStyle w:val="000000100000"/>
              <w:rPr>
                <w:b/>
                <w:color w:val="FFFFFF" w:themeColor="background1"/>
              </w:rPr>
            </w:pPr>
            <w:r w:rsidRPr="007C2D51">
              <w:rPr>
                <w:b/>
                <w:color w:val="FFFFFF" w:themeColor="background1"/>
              </w:rPr>
              <w:t>100%</w:t>
            </w:r>
          </w:p>
        </w:tc>
      </w:tr>
    </w:tbl>
    <w:p w:rsidR="004C0FA7" w:rsidRPr="007C2D51" w:rsidRDefault="004C0FA7" w:rsidP="00A921AA"/>
    <w:p w:rsidR="00264722" w:rsidRPr="007C2D51" w:rsidRDefault="00264722">
      <w:r w:rsidRPr="007C2D51">
        <w:br w:type="page"/>
      </w:r>
    </w:p>
    <w:p w:rsidR="009058A1" w:rsidRPr="007C2D51" w:rsidRDefault="00574C82" w:rsidP="00DD3473">
      <w:pPr>
        <w:pStyle w:val="NoSpacing"/>
      </w:pPr>
      <w:bookmarkStart w:id="81" w:name="OLE_LINK3"/>
      <w:bookmarkStart w:id="82" w:name="OLE_LINK4"/>
      <w:r w:rsidRPr="007C2D51">
        <w:rPr>
          <w:noProof/>
          <w:lang w:eastAsia="en-US"/>
        </w:rPr>
        <w:lastRenderedPageBreak/>
        <w:drawing>
          <wp:anchor distT="0" distB="0" distL="114300" distR="114300" simplePos="0" relativeHeight="251728896" behindDoc="0" locked="0" layoutInCell="1" allowOverlap="1">
            <wp:simplePos x="0" y="0"/>
            <wp:positionH relativeFrom="margin">
              <wp:align>center</wp:align>
            </wp:positionH>
            <wp:positionV relativeFrom="paragraph">
              <wp:posOffset>0</wp:posOffset>
            </wp:positionV>
            <wp:extent cx="6038850" cy="6962775"/>
            <wp:effectExtent l="0" t="0" r="0" b="0"/>
            <wp:wrapTopAndBottom/>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p>
    <w:p w:rsidR="00C16469" w:rsidRPr="007C2D51" w:rsidRDefault="008C13AC" w:rsidP="00C16469">
      <w:pPr>
        <w:pStyle w:val="Caption"/>
      </w:pPr>
      <w:bookmarkStart w:id="83" w:name="_Toc304967487"/>
      <w:r w:rsidRPr="007C2D51">
        <w:t xml:space="preserve">Figure </w:t>
      </w:r>
      <w:fldSimple w:instr=" STYLEREF 1 \s ">
        <w:r w:rsidR="00F35ACC">
          <w:rPr>
            <w:noProof/>
          </w:rPr>
          <w:t>3</w:t>
        </w:r>
      </w:fldSimple>
      <w:r w:rsidR="0009713B" w:rsidRPr="007C2D51">
        <w:noBreakHyphen/>
      </w:r>
      <w:fldSimple w:instr=" SEQ Figure \* ARABIC \s 1 ">
        <w:r w:rsidR="00F35ACC">
          <w:rPr>
            <w:noProof/>
          </w:rPr>
          <w:t>4</w:t>
        </w:r>
      </w:fldSimple>
      <w:r w:rsidRPr="007C2D51">
        <w:br/>
      </w:r>
      <w:r w:rsidR="009058A1" w:rsidRPr="007C2D51">
        <w:t xml:space="preserve">JARC Services by Type and Size of Urbanized </w:t>
      </w:r>
      <w:r w:rsidR="000118B0" w:rsidRPr="007C2D51">
        <w:t xml:space="preserve">Area </w:t>
      </w:r>
      <w:r w:rsidR="00C16469" w:rsidRPr="007C2D51">
        <w:br/>
        <w:t>(Percentage by Row)</w:t>
      </w:r>
      <w:bookmarkEnd w:id="83"/>
    </w:p>
    <w:p w:rsidR="009058A1" w:rsidRPr="007C2D51" w:rsidRDefault="009058A1">
      <w:pPr>
        <w:rPr>
          <w:rFonts w:asciiTheme="majorHAnsi" w:eastAsia="Times New Roman" w:hAnsiTheme="majorHAnsi" w:cs="Times New Roman"/>
          <w:b/>
          <w:sz w:val="22"/>
          <w:szCs w:val="24"/>
          <w:lang w:eastAsia="en-US"/>
        </w:rPr>
      </w:pPr>
      <w:r w:rsidRPr="007C2D51">
        <w:br w:type="page"/>
      </w:r>
    </w:p>
    <w:p w:rsidR="00E12E06" w:rsidRPr="007C2D51" w:rsidRDefault="008C13AC" w:rsidP="00E12E06">
      <w:pPr>
        <w:pStyle w:val="Caption"/>
      </w:pPr>
      <w:bookmarkStart w:id="84" w:name="_Toc304967471"/>
      <w:r w:rsidRPr="007C2D51">
        <w:lastRenderedPageBreak/>
        <w:t xml:space="preserve">Table </w:t>
      </w:r>
      <w:r w:rsidR="00022E2F" w:rsidRPr="007C2D51">
        <w:fldChar w:fldCharType="begin"/>
      </w:r>
      <w:r w:rsidR="00FB3E36" w:rsidRPr="007C2D51">
        <w:instrText xml:space="preserve"> STYLEREF 1 \s </w:instrText>
      </w:r>
      <w:r w:rsidR="00022E2F" w:rsidRPr="007C2D51">
        <w:fldChar w:fldCharType="separate"/>
      </w:r>
      <w:r w:rsidR="00F35ACC">
        <w:rPr>
          <w:noProof/>
        </w:rPr>
        <w:t>3</w:t>
      </w:r>
      <w:r w:rsidR="00022E2F" w:rsidRPr="007C2D51">
        <w:fldChar w:fldCharType="end"/>
      </w:r>
      <w:r w:rsidR="00FB3E36" w:rsidRPr="007C2D51">
        <w:noBreakHyphen/>
      </w:r>
      <w:r w:rsidR="00022E2F" w:rsidRPr="007C2D51">
        <w:fldChar w:fldCharType="begin"/>
      </w:r>
      <w:r w:rsidR="00FB3E36" w:rsidRPr="007C2D51">
        <w:instrText xml:space="preserve"> SEQ Table \* ARABIC \s 1 </w:instrText>
      </w:r>
      <w:r w:rsidR="00022E2F" w:rsidRPr="007C2D51">
        <w:fldChar w:fldCharType="separate"/>
      </w:r>
      <w:r w:rsidR="00F35ACC">
        <w:rPr>
          <w:noProof/>
        </w:rPr>
        <w:t>5</w:t>
      </w:r>
      <w:r w:rsidR="00022E2F" w:rsidRPr="007C2D51">
        <w:fldChar w:fldCharType="end"/>
      </w:r>
      <w:r w:rsidRPr="007C2D51">
        <w:br/>
      </w:r>
      <w:r w:rsidR="001644DC" w:rsidRPr="007C2D51">
        <w:t xml:space="preserve">JARC Services by Type and Size of Urbanized </w:t>
      </w:r>
      <w:r w:rsidR="008844B6" w:rsidRPr="007C2D51">
        <w:t xml:space="preserve">Area </w:t>
      </w:r>
      <w:r w:rsidR="00E12E06" w:rsidRPr="007C2D51">
        <w:br/>
        <w:t>(Percentage by Column)</w:t>
      </w:r>
      <w:bookmarkEnd w:id="84"/>
    </w:p>
    <w:tbl>
      <w:tblPr>
        <w:tblStyle w:val="LightList-Accent6"/>
        <w:tblpPr w:leftFromText="180" w:rightFromText="180" w:vertAnchor="text" w:horzAnchor="margin" w:tblpXSpec="center" w:tblpY="23"/>
        <w:tblW w:w="9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16"/>
        <w:gridCol w:w="664"/>
        <w:gridCol w:w="1408"/>
        <w:gridCol w:w="1530"/>
        <w:gridCol w:w="1270"/>
        <w:gridCol w:w="885"/>
      </w:tblGrid>
      <w:tr w:rsidR="0084545E" w:rsidRPr="007C2D51" w:rsidTr="00F15767">
        <w:trPr>
          <w:cnfStyle w:val="100000000000"/>
          <w:trHeight w:val="300"/>
        </w:trPr>
        <w:tc>
          <w:tcPr>
            <w:cnfStyle w:val="001000000000"/>
            <w:tcW w:w="1929" w:type="pct"/>
            <w:noWrap/>
            <w:vAlign w:val="bottom"/>
          </w:tcPr>
          <w:p w:rsidR="0084545E" w:rsidRPr="007C2D51" w:rsidRDefault="0084545E" w:rsidP="001A78A8">
            <w:bookmarkStart w:id="85" w:name="_Toc148317938"/>
            <w:bookmarkEnd w:id="81"/>
            <w:bookmarkEnd w:id="82"/>
            <w:r w:rsidRPr="007C2D51">
              <w:t>Service Type</w:t>
            </w:r>
          </w:p>
        </w:tc>
        <w:tc>
          <w:tcPr>
            <w:tcW w:w="354" w:type="pct"/>
            <w:vAlign w:val="bottom"/>
          </w:tcPr>
          <w:p w:rsidR="0084545E" w:rsidRPr="007C2D51" w:rsidRDefault="0084545E" w:rsidP="001A78A8">
            <w:pPr>
              <w:jc w:val="center"/>
              <w:cnfStyle w:val="100000000000"/>
            </w:pPr>
            <w:r w:rsidRPr="007C2D51">
              <w:t>#</w:t>
            </w:r>
          </w:p>
        </w:tc>
        <w:tc>
          <w:tcPr>
            <w:tcW w:w="751" w:type="pct"/>
            <w:noWrap/>
            <w:vAlign w:val="bottom"/>
          </w:tcPr>
          <w:p w:rsidR="0084545E" w:rsidRPr="007C2D51" w:rsidRDefault="0084545E" w:rsidP="001A78A8">
            <w:pPr>
              <w:jc w:val="center"/>
              <w:cnfStyle w:val="100000000000"/>
            </w:pPr>
            <w:r w:rsidRPr="007C2D51">
              <w:t>Large Urban</w:t>
            </w:r>
          </w:p>
        </w:tc>
        <w:tc>
          <w:tcPr>
            <w:tcW w:w="816" w:type="pct"/>
            <w:noWrap/>
            <w:vAlign w:val="bottom"/>
          </w:tcPr>
          <w:p w:rsidR="0084545E" w:rsidRPr="007C2D51" w:rsidRDefault="0084545E" w:rsidP="001A78A8">
            <w:pPr>
              <w:jc w:val="center"/>
              <w:cnfStyle w:val="100000000000"/>
            </w:pPr>
            <w:r w:rsidRPr="007C2D51">
              <w:t>Small Urban</w:t>
            </w:r>
          </w:p>
        </w:tc>
        <w:tc>
          <w:tcPr>
            <w:tcW w:w="677" w:type="pct"/>
            <w:noWrap/>
            <w:vAlign w:val="bottom"/>
          </w:tcPr>
          <w:p w:rsidR="0084545E" w:rsidRPr="007C2D51" w:rsidRDefault="0084545E" w:rsidP="001A78A8">
            <w:pPr>
              <w:jc w:val="center"/>
              <w:cnfStyle w:val="100000000000"/>
            </w:pPr>
            <w:r w:rsidRPr="007C2D51">
              <w:t>Non Urban</w:t>
            </w:r>
          </w:p>
        </w:tc>
        <w:tc>
          <w:tcPr>
            <w:tcW w:w="472" w:type="pct"/>
            <w:noWrap/>
            <w:vAlign w:val="bottom"/>
          </w:tcPr>
          <w:p w:rsidR="0084545E" w:rsidRPr="007C2D51" w:rsidRDefault="0084545E" w:rsidP="001A78A8">
            <w:pPr>
              <w:jc w:val="center"/>
              <w:cnfStyle w:val="100000000000"/>
            </w:pPr>
            <w:r w:rsidRPr="007C2D51">
              <w:t>Total</w:t>
            </w:r>
          </w:p>
        </w:tc>
      </w:tr>
      <w:tr w:rsidR="0084545E" w:rsidRPr="007C2D51" w:rsidTr="00F15767">
        <w:trPr>
          <w:cnfStyle w:val="000000100000"/>
          <w:trHeight w:val="300"/>
        </w:trPr>
        <w:tc>
          <w:tcPr>
            <w:cnfStyle w:val="001000000000"/>
            <w:tcW w:w="1929" w:type="pct"/>
            <w:tcBorders>
              <w:top w:val="none" w:sz="0" w:space="0" w:color="auto"/>
              <w:left w:val="none" w:sz="0" w:space="0" w:color="auto"/>
              <w:bottom w:val="none" w:sz="0" w:space="0" w:color="auto"/>
            </w:tcBorders>
            <w:shd w:val="clear" w:color="auto" w:fill="475A8D" w:themeFill="accent6"/>
            <w:noWrap/>
            <w:vAlign w:val="bottom"/>
          </w:tcPr>
          <w:p w:rsidR="0084545E" w:rsidRPr="007C2D51" w:rsidRDefault="0084545E" w:rsidP="001A78A8">
            <w:pPr>
              <w:rPr>
                <w:b w:val="0"/>
                <w:bCs w:val="0"/>
                <w:color w:val="FFFFFF" w:themeColor="background1"/>
              </w:rPr>
            </w:pPr>
            <w:r w:rsidRPr="007C2D51">
              <w:rPr>
                <w:color w:val="FFFFFF" w:themeColor="background1"/>
              </w:rPr>
              <w:t>Trip-Based Services</w:t>
            </w:r>
          </w:p>
        </w:tc>
        <w:tc>
          <w:tcPr>
            <w:tcW w:w="354" w:type="pct"/>
            <w:tcBorders>
              <w:top w:val="none" w:sz="0" w:space="0" w:color="auto"/>
              <w:bottom w:val="none" w:sz="0" w:space="0" w:color="auto"/>
            </w:tcBorders>
            <w:shd w:val="clear" w:color="auto" w:fill="475A8D" w:themeFill="accent6"/>
            <w:vAlign w:val="bottom"/>
          </w:tcPr>
          <w:p w:rsidR="0084545E" w:rsidRPr="007C2D51" w:rsidRDefault="0084545E" w:rsidP="001A78A8">
            <w:pPr>
              <w:jc w:val="right"/>
              <w:cnfStyle w:val="000000100000"/>
              <w:rPr>
                <w:rFonts w:cs="Calibri"/>
                <w:b/>
                <w:bCs/>
                <w:color w:val="FFFFFF" w:themeColor="background1"/>
              </w:rPr>
            </w:pPr>
            <w:r w:rsidRPr="007C2D51">
              <w:rPr>
                <w:rFonts w:cs="Calibri"/>
                <w:b/>
                <w:bCs/>
                <w:color w:val="FFFFFF" w:themeColor="background1"/>
              </w:rPr>
              <w:t>813</w:t>
            </w:r>
          </w:p>
        </w:tc>
        <w:tc>
          <w:tcPr>
            <w:tcW w:w="751" w:type="pct"/>
            <w:tcBorders>
              <w:top w:val="none" w:sz="0" w:space="0" w:color="auto"/>
              <w:bottom w:val="none" w:sz="0" w:space="0" w:color="auto"/>
            </w:tcBorders>
            <w:shd w:val="clear" w:color="auto" w:fill="475A8D" w:themeFill="accent6"/>
            <w:noWrap/>
            <w:vAlign w:val="bottom"/>
          </w:tcPr>
          <w:p w:rsidR="0084545E" w:rsidRPr="007C2D51" w:rsidRDefault="0084545E">
            <w:pPr>
              <w:jc w:val="right"/>
              <w:cnfStyle w:val="000000100000"/>
              <w:rPr>
                <w:rFonts w:cs="Calibri"/>
                <w:b/>
                <w:bCs/>
                <w:color w:val="FFFFFF" w:themeColor="background1"/>
              </w:rPr>
            </w:pPr>
            <w:r w:rsidRPr="007C2D51">
              <w:rPr>
                <w:rFonts w:cs="Calibri"/>
                <w:b/>
                <w:bCs/>
                <w:color w:val="FFFFFF" w:themeColor="background1"/>
              </w:rPr>
              <w:t>79%</w:t>
            </w:r>
          </w:p>
        </w:tc>
        <w:tc>
          <w:tcPr>
            <w:tcW w:w="816" w:type="pct"/>
            <w:tcBorders>
              <w:top w:val="none" w:sz="0" w:space="0" w:color="auto"/>
              <w:bottom w:val="none" w:sz="0" w:space="0" w:color="auto"/>
            </w:tcBorders>
            <w:shd w:val="clear" w:color="auto" w:fill="475A8D" w:themeFill="accent6"/>
            <w:noWrap/>
            <w:vAlign w:val="bottom"/>
          </w:tcPr>
          <w:p w:rsidR="0084545E" w:rsidRPr="007C2D51" w:rsidRDefault="0084545E">
            <w:pPr>
              <w:jc w:val="right"/>
              <w:cnfStyle w:val="000000100000"/>
              <w:rPr>
                <w:rFonts w:cs="Calibri"/>
                <w:b/>
                <w:bCs/>
                <w:color w:val="FFFFFF" w:themeColor="background1"/>
              </w:rPr>
            </w:pPr>
            <w:r w:rsidRPr="007C2D51">
              <w:rPr>
                <w:rFonts w:cs="Calibri"/>
                <w:b/>
                <w:bCs/>
                <w:color w:val="FFFFFF" w:themeColor="background1"/>
              </w:rPr>
              <w:t>81%</w:t>
            </w:r>
          </w:p>
        </w:tc>
        <w:tc>
          <w:tcPr>
            <w:tcW w:w="677" w:type="pct"/>
            <w:tcBorders>
              <w:top w:val="none" w:sz="0" w:space="0" w:color="auto"/>
              <w:bottom w:val="none" w:sz="0" w:space="0" w:color="auto"/>
            </w:tcBorders>
            <w:shd w:val="clear" w:color="auto" w:fill="475A8D" w:themeFill="accent6"/>
            <w:noWrap/>
            <w:vAlign w:val="bottom"/>
          </w:tcPr>
          <w:p w:rsidR="0084545E" w:rsidRPr="007C2D51" w:rsidRDefault="0084545E">
            <w:pPr>
              <w:jc w:val="right"/>
              <w:cnfStyle w:val="000000100000"/>
              <w:rPr>
                <w:rFonts w:cs="Calibri"/>
                <w:b/>
                <w:bCs/>
                <w:color w:val="FFFFFF" w:themeColor="background1"/>
              </w:rPr>
            </w:pPr>
            <w:r w:rsidRPr="007C2D51">
              <w:rPr>
                <w:rFonts w:cs="Calibri"/>
                <w:b/>
                <w:bCs/>
                <w:color w:val="FFFFFF" w:themeColor="background1"/>
              </w:rPr>
              <w:t>78%</w:t>
            </w:r>
          </w:p>
        </w:tc>
        <w:tc>
          <w:tcPr>
            <w:tcW w:w="472" w:type="pct"/>
            <w:tcBorders>
              <w:top w:val="none" w:sz="0" w:space="0" w:color="auto"/>
              <w:bottom w:val="none" w:sz="0" w:space="0" w:color="auto"/>
              <w:right w:val="none" w:sz="0" w:space="0" w:color="auto"/>
            </w:tcBorders>
            <w:shd w:val="clear" w:color="auto" w:fill="475A8D" w:themeFill="accent6"/>
            <w:noWrap/>
            <w:vAlign w:val="bottom"/>
          </w:tcPr>
          <w:p w:rsidR="0084545E" w:rsidRPr="007C2D51" w:rsidRDefault="0084545E">
            <w:pPr>
              <w:jc w:val="right"/>
              <w:cnfStyle w:val="000000100000"/>
              <w:rPr>
                <w:rFonts w:cs="Calibri"/>
                <w:b/>
                <w:bCs/>
                <w:color w:val="FFFFFF" w:themeColor="background1"/>
              </w:rPr>
            </w:pPr>
            <w:r w:rsidRPr="007C2D51">
              <w:rPr>
                <w:rFonts w:cs="Calibri"/>
                <w:b/>
                <w:bCs/>
                <w:color w:val="FFFFFF" w:themeColor="background1"/>
              </w:rPr>
              <w:t>79%</w:t>
            </w:r>
          </w:p>
        </w:tc>
      </w:tr>
      <w:tr w:rsidR="0084545E" w:rsidRPr="007C2D51" w:rsidTr="00F15767">
        <w:trPr>
          <w:trHeight w:val="300"/>
        </w:trPr>
        <w:tc>
          <w:tcPr>
            <w:cnfStyle w:val="001000000000"/>
            <w:tcW w:w="1929" w:type="pct"/>
            <w:noWrap/>
            <w:vAlign w:val="bottom"/>
          </w:tcPr>
          <w:p w:rsidR="0084545E" w:rsidRPr="007C2D51" w:rsidRDefault="0084545E" w:rsidP="001A78A8">
            <w:r w:rsidRPr="007C2D51">
              <w:t>Fixed route</w:t>
            </w:r>
          </w:p>
        </w:tc>
        <w:tc>
          <w:tcPr>
            <w:tcW w:w="354" w:type="pct"/>
            <w:vAlign w:val="bottom"/>
          </w:tcPr>
          <w:p w:rsidR="0084545E" w:rsidRPr="007C2D51" w:rsidRDefault="0084545E" w:rsidP="001A78A8">
            <w:pPr>
              <w:jc w:val="right"/>
              <w:cnfStyle w:val="000000000000"/>
              <w:rPr>
                <w:rFonts w:cs="Calibri"/>
                <w:color w:val="000000"/>
              </w:rPr>
            </w:pPr>
            <w:r w:rsidRPr="007C2D51">
              <w:rPr>
                <w:rFonts w:cs="Calibri"/>
                <w:color w:val="000000"/>
              </w:rPr>
              <w:t>397</w:t>
            </w:r>
          </w:p>
        </w:tc>
        <w:tc>
          <w:tcPr>
            <w:tcW w:w="751" w:type="pct"/>
            <w:noWrap/>
            <w:vAlign w:val="bottom"/>
          </w:tcPr>
          <w:p w:rsidR="0084545E" w:rsidRPr="007C2D51" w:rsidRDefault="0084545E">
            <w:pPr>
              <w:jc w:val="right"/>
              <w:cnfStyle w:val="000000000000"/>
              <w:rPr>
                <w:rFonts w:cs="Calibri"/>
                <w:color w:val="000000"/>
              </w:rPr>
            </w:pPr>
            <w:r w:rsidRPr="007C2D51">
              <w:rPr>
                <w:rFonts w:cs="Calibri"/>
                <w:color w:val="000000"/>
              </w:rPr>
              <w:t>48%</w:t>
            </w:r>
          </w:p>
        </w:tc>
        <w:tc>
          <w:tcPr>
            <w:tcW w:w="816" w:type="pct"/>
            <w:noWrap/>
            <w:vAlign w:val="bottom"/>
          </w:tcPr>
          <w:p w:rsidR="0084545E" w:rsidRPr="007C2D51" w:rsidRDefault="0084545E">
            <w:pPr>
              <w:jc w:val="right"/>
              <w:cnfStyle w:val="000000000000"/>
              <w:rPr>
                <w:rFonts w:cs="Calibri"/>
                <w:color w:val="000000"/>
              </w:rPr>
            </w:pPr>
            <w:r w:rsidRPr="007C2D51">
              <w:rPr>
                <w:rFonts w:cs="Calibri"/>
                <w:color w:val="000000"/>
              </w:rPr>
              <w:t>42%</w:t>
            </w:r>
          </w:p>
        </w:tc>
        <w:tc>
          <w:tcPr>
            <w:tcW w:w="677" w:type="pct"/>
            <w:noWrap/>
            <w:vAlign w:val="bottom"/>
          </w:tcPr>
          <w:p w:rsidR="0084545E" w:rsidRPr="007C2D51" w:rsidRDefault="0084545E">
            <w:pPr>
              <w:jc w:val="right"/>
              <w:cnfStyle w:val="000000000000"/>
              <w:rPr>
                <w:rFonts w:cs="Calibri"/>
                <w:color w:val="000000"/>
              </w:rPr>
            </w:pPr>
            <w:r w:rsidRPr="007C2D51">
              <w:rPr>
                <w:rFonts w:cs="Calibri"/>
                <w:color w:val="000000"/>
              </w:rPr>
              <w:t>21%</w:t>
            </w:r>
          </w:p>
        </w:tc>
        <w:tc>
          <w:tcPr>
            <w:tcW w:w="472" w:type="pct"/>
            <w:noWrap/>
            <w:vAlign w:val="bottom"/>
          </w:tcPr>
          <w:p w:rsidR="0084545E" w:rsidRPr="007C2D51" w:rsidRDefault="0084545E">
            <w:pPr>
              <w:jc w:val="right"/>
              <w:cnfStyle w:val="000000000000"/>
              <w:rPr>
                <w:rFonts w:cs="Calibri"/>
                <w:color w:val="000000"/>
              </w:rPr>
            </w:pPr>
            <w:r w:rsidRPr="007C2D51">
              <w:rPr>
                <w:rFonts w:cs="Calibri"/>
                <w:color w:val="000000"/>
              </w:rPr>
              <w:t>39%</w:t>
            </w:r>
          </w:p>
        </w:tc>
      </w:tr>
      <w:tr w:rsidR="0084545E" w:rsidRPr="007C2D51" w:rsidTr="00F15767">
        <w:trPr>
          <w:cnfStyle w:val="000000100000"/>
          <w:trHeight w:val="300"/>
        </w:trPr>
        <w:tc>
          <w:tcPr>
            <w:cnfStyle w:val="001000000000"/>
            <w:tcW w:w="1929" w:type="pct"/>
            <w:tcBorders>
              <w:top w:val="none" w:sz="0" w:space="0" w:color="auto"/>
              <w:left w:val="none" w:sz="0" w:space="0" w:color="auto"/>
              <w:bottom w:val="none" w:sz="0" w:space="0" w:color="auto"/>
            </w:tcBorders>
            <w:noWrap/>
            <w:vAlign w:val="bottom"/>
          </w:tcPr>
          <w:p w:rsidR="0084545E" w:rsidRPr="007C2D51" w:rsidRDefault="0084545E" w:rsidP="001A78A8">
            <w:r w:rsidRPr="007C2D51">
              <w:t>Demand response</w:t>
            </w:r>
          </w:p>
        </w:tc>
        <w:tc>
          <w:tcPr>
            <w:tcW w:w="354" w:type="pct"/>
            <w:tcBorders>
              <w:top w:val="none" w:sz="0" w:space="0" w:color="auto"/>
              <w:bottom w:val="none" w:sz="0" w:space="0" w:color="auto"/>
            </w:tcBorders>
            <w:vAlign w:val="bottom"/>
          </w:tcPr>
          <w:p w:rsidR="0084545E" w:rsidRPr="007C2D51" w:rsidRDefault="0084545E" w:rsidP="001A78A8">
            <w:pPr>
              <w:jc w:val="right"/>
              <w:cnfStyle w:val="000000100000"/>
              <w:rPr>
                <w:rFonts w:cs="Calibri"/>
                <w:color w:val="000000"/>
              </w:rPr>
            </w:pPr>
            <w:r w:rsidRPr="007C2D51">
              <w:rPr>
                <w:rFonts w:cs="Calibri"/>
                <w:color w:val="000000"/>
              </w:rPr>
              <w:t>237</w:t>
            </w:r>
          </w:p>
        </w:tc>
        <w:tc>
          <w:tcPr>
            <w:tcW w:w="751" w:type="pct"/>
            <w:tcBorders>
              <w:top w:val="none" w:sz="0" w:space="0" w:color="auto"/>
              <w:bottom w:val="none" w:sz="0" w:space="0" w:color="auto"/>
            </w:tcBorders>
            <w:noWrap/>
            <w:vAlign w:val="bottom"/>
          </w:tcPr>
          <w:p w:rsidR="0084545E" w:rsidRPr="007C2D51" w:rsidRDefault="0084545E">
            <w:pPr>
              <w:jc w:val="right"/>
              <w:cnfStyle w:val="000000100000"/>
              <w:rPr>
                <w:rFonts w:cs="Calibri"/>
                <w:color w:val="000000"/>
              </w:rPr>
            </w:pPr>
            <w:r w:rsidRPr="007C2D51">
              <w:rPr>
                <w:rFonts w:cs="Calibri"/>
                <w:color w:val="000000"/>
              </w:rPr>
              <w:t>13%</w:t>
            </w:r>
          </w:p>
        </w:tc>
        <w:tc>
          <w:tcPr>
            <w:tcW w:w="816" w:type="pct"/>
            <w:tcBorders>
              <w:top w:val="none" w:sz="0" w:space="0" w:color="auto"/>
              <w:bottom w:val="none" w:sz="0" w:space="0" w:color="auto"/>
            </w:tcBorders>
            <w:noWrap/>
            <w:vAlign w:val="bottom"/>
          </w:tcPr>
          <w:p w:rsidR="0084545E" w:rsidRPr="007C2D51" w:rsidRDefault="0084545E">
            <w:pPr>
              <w:jc w:val="right"/>
              <w:cnfStyle w:val="000000100000"/>
              <w:rPr>
                <w:rFonts w:cs="Calibri"/>
                <w:color w:val="000000"/>
              </w:rPr>
            </w:pPr>
            <w:r w:rsidRPr="007C2D51">
              <w:rPr>
                <w:rFonts w:cs="Calibri"/>
                <w:color w:val="000000"/>
              </w:rPr>
              <w:t>21%</w:t>
            </w:r>
          </w:p>
        </w:tc>
        <w:tc>
          <w:tcPr>
            <w:tcW w:w="677" w:type="pct"/>
            <w:tcBorders>
              <w:top w:val="none" w:sz="0" w:space="0" w:color="auto"/>
              <w:bottom w:val="none" w:sz="0" w:space="0" w:color="auto"/>
            </w:tcBorders>
            <w:noWrap/>
            <w:vAlign w:val="bottom"/>
          </w:tcPr>
          <w:p w:rsidR="0084545E" w:rsidRPr="007C2D51" w:rsidRDefault="0084545E">
            <w:pPr>
              <w:jc w:val="right"/>
              <w:cnfStyle w:val="000000100000"/>
              <w:rPr>
                <w:rFonts w:cs="Calibri"/>
                <w:color w:val="000000"/>
              </w:rPr>
            </w:pPr>
            <w:r w:rsidRPr="007C2D51">
              <w:rPr>
                <w:rFonts w:cs="Calibri"/>
                <w:color w:val="000000"/>
              </w:rPr>
              <w:t>40%</w:t>
            </w:r>
          </w:p>
        </w:tc>
        <w:tc>
          <w:tcPr>
            <w:tcW w:w="472" w:type="pct"/>
            <w:tcBorders>
              <w:top w:val="none" w:sz="0" w:space="0" w:color="auto"/>
              <w:bottom w:val="none" w:sz="0" w:space="0" w:color="auto"/>
              <w:right w:val="none" w:sz="0" w:space="0" w:color="auto"/>
            </w:tcBorders>
            <w:noWrap/>
            <w:vAlign w:val="bottom"/>
          </w:tcPr>
          <w:p w:rsidR="0084545E" w:rsidRPr="007C2D51" w:rsidRDefault="0084545E">
            <w:pPr>
              <w:jc w:val="right"/>
              <w:cnfStyle w:val="000000100000"/>
              <w:rPr>
                <w:rFonts w:cs="Calibri"/>
                <w:color w:val="000000"/>
              </w:rPr>
            </w:pPr>
            <w:r w:rsidRPr="007C2D51">
              <w:rPr>
                <w:rFonts w:cs="Calibri"/>
                <w:color w:val="000000"/>
              </w:rPr>
              <w:t>23%</w:t>
            </w:r>
          </w:p>
        </w:tc>
      </w:tr>
      <w:tr w:rsidR="0084545E" w:rsidRPr="007C2D51" w:rsidTr="00F15767">
        <w:trPr>
          <w:trHeight w:val="300"/>
        </w:trPr>
        <w:tc>
          <w:tcPr>
            <w:cnfStyle w:val="001000000000"/>
            <w:tcW w:w="1929" w:type="pct"/>
            <w:noWrap/>
            <w:vAlign w:val="bottom"/>
          </w:tcPr>
          <w:p w:rsidR="0084545E" w:rsidRPr="007C2D51" w:rsidRDefault="0084545E" w:rsidP="001A78A8">
            <w:r w:rsidRPr="007C2D51">
              <w:t>Flexible routing</w:t>
            </w:r>
          </w:p>
        </w:tc>
        <w:tc>
          <w:tcPr>
            <w:tcW w:w="354" w:type="pct"/>
            <w:vAlign w:val="bottom"/>
          </w:tcPr>
          <w:p w:rsidR="0084545E" w:rsidRPr="007C2D51" w:rsidRDefault="0084545E" w:rsidP="001A78A8">
            <w:pPr>
              <w:jc w:val="right"/>
              <w:cnfStyle w:val="000000000000"/>
              <w:rPr>
                <w:rFonts w:cs="Calibri"/>
                <w:color w:val="000000"/>
              </w:rPr>
            </w:pPr>
            <w:r w:rsidRPr="007C2D51">
              <w:rPr>
                <w:rFonts w:cs="Calibri"/>
                <w:color w:val="000000"/>
              </w:rPr>
              <w:t>61</w:t>
            </w:r>
          </w:p>
        </w:tc>
        <w:tc>
          <w:tcPr>
            <w:tcW w:w="751" w:type="pct"/>
            <w:noWrap/>
            <w:vAlign w:val="bottom"/>
          </w:tcPr>
          <w:p w:rsidR="0084545E" w:rsidRPr="007C2D51" w:rsidRDefault="0084545E">
            <w:pPr>
              <w:jc w:val="right"/>
              <w:cnfStyle w:val="000000000000"/>
              <w:rPr>
                <w:rFonts w:cs="Calibri"/>
                <w:color w:val="000000"/>
              </w:rPr>
            </w:pPr>
            <w:r w:rsidRPr="007C2D51">
              <w:rPr>
                <w:rFonts w:cs="Calibri"/>
                <w:color w:val="000000"/>
              </w:rPr>
              <w:t>4%</w:t>
            </w:r>
          </w:p>
        </w:tc>
        <w:tc>
          <w:tcPr>
            <w:tcW w:w="816" w:type="pct"/>
            <w:noWrap/>
            <w:vAlign w:val="bottom"/>
          </w:tcPr>
          <w:p w:rsidR="0084545E" w:rsidRPr="007C2D51" w:rsidRDefault="0084545E">
            <w:pPr>
              <w:jc w:val="right"/>
              <w:cnfStyle w:val="000000000000"/>
              <w:rPr>
                <w:rFonts w:cs="Calibri"/>
                <w:color w:val="000000"/>
              </w:rPr>
            </w:pPr>
            <w:r w:rsidRPr="007C2D51">
              <w:rPr>
                <w:rFonts w:cs="Calibri"/>
                <w:color w:val="000000"/>
              </w:rPr>
              <w:t>7%</w:t>
            </w:r>
          </w:p>
        </w:tc>
        <w:tc>
          <w:tcPr>
            <w:tcW w:w="677" w:type="pct"/>
            <w:noWrap/>
            <w:vAlign w:val="bottom"/>
          </w:tcPr>
          <w:p w:rsidR="0084545E" w:rsidRPr="007C2D51" w:rsidRDefault="0084545E">
            <w:pPr>
              <w:jc w:val="right"/>
              <w:cnfStyle w:val="000000000000"/>
              <w:rPr>
                <w:rFonts w:cs="Calibri"/>
                <w:color w:val="000000"/>
              </w:rPr>
            </w:pPr>
            <w:r w:rsidRPr="007C2D51">
              <w:rPr>
                <w:rFonts w:cs="Calibri"/>
                <w:color w:val="000000"/>
              </w:rPr>
              <w:t>8%</w:t>
            </w:r>
          </w:p>
        </w:tc>
        <w:tc>
          <w:tcPr>
            <w:tcW w:w="472" w:type="pct"/>
            <w:noWrap/>
            <w:vAlign w:val="bottom"/>
          </w:tcPr>
          <w:p w:rsidR="0084545E" w:rsidRPr="007C2D51" w:rsidRDefault="0084545E">
            <w:pPr>
              <w:jc w:val="right"/>
              <w:cnfStyle w:val="000000000000"/>
              <w:rPr>
                <w:rFonts w:cs="Calibri"/>
                <w:color w:val="000000"/>
              </w:rPr>
            </w:pPr>
            <w:r w:rsidRPr="007C2D51">
              <w:rPr>
                <w:rFonts w:cs="Calibri"/>
                <w:color w:val="000000"/>
              </w:rPr>
              <w:t>6%</w:t>
            </w:r>
          </w:p>
        </w:tc>
      </w:tr>
      <w:tr w:rsidR="0084545E" w:rsidRPr="007C2D51" w:rsidTr="00F15767">
        <w:trPr>
          <w:cnfStyle w:val="000000100000"/>
          <w:trHeight w:val="300"/>
        </w:trPr>
        <w:tc>
          <w:tcPr>
            <w:cnfStyle w:val="001000000000"/>
            <w:tcW w:w="1929" w:type="pct"/>
            <w:tcBorders>
              <w:top w:val="none" w:sz="0" w:space="0" w:color="auto"/>
              <w:left w:val="none" w:sz="0" w:space="0" w:color="auto"/>
              <w:bottom w:val="none" w:sz="0" w:space="0" w:color="auto"/>
            </w:tcBorders>
            <w:noWrap/>
            <w:vAlign w:val="bottom"/>
          </w:tcPr>
          <w:p w:rsidR="0084545E" w:rsidRPr="007C2D51" w:rsidRDefault="0084545E" w:rsidP="001A78A8">
            <w:r w:rsidRPr="007C2D51">
              <w:t>Shuttle/Feeder</w:t>
            </w:r>
          </w:p>
        </w:tc>
        <w:tc>
          <w:tcPr>
            <w:tcW w:w="354" w:type="pct"/>
            <w:tcBorders>
              <w:top w:val="none" w:sz="0" w:space="0" w:color="auto"/>
              <w:bottom w:val="none" w:sz="0" w:space="0" w:color="auto"/>
            </w:tcBorders>
            <w:vAlign w:val="bottom"/>
          </w:tcPr>
          <w:p w:rsidR="0084545E" w:rsidRPr="007C2D51" w:rsidRDefault="0084545E" w:rsidP="001A78A8">
            <w:pPr>
              <w:jc w:val="right"/>
              <w:cnfStyle w:val="000000100000"/>
              <w:rPr>
                <w:rFonts w:cs="Calibri"/>
                <w:color w:val="000000"/>
              </w:rPr>
            </w:pPr>
            <w:r w:rsidRPr="007C2D51">
              <w:rPr>
                <w:rFonts w:cs="Calibri"/>
                <w:color w:val="000000"/>
              </w:rPr>
              <w:t>52</w:t>
            </w:r>
          </w:p>
        </w:tc>
        <w:tc>
          <w:tcPr>
            <w:tcW w:w="751" w:type="pct"/>
            <w:tcBorders>
              <w:top w:val="none" w:sz="0" w:space="0" w:color="auto"/>
              <w:bottom w:val="none" w:sz="0" w:space="0" w:color="auto"/>
            </w:tcBorders>
            <w:noWrap/>
            <w:vAlign w:val="bottom"/>
          </w:tcPr>
          <w:p w:rsidR="0084545E" w:rsidRPr="007C2D51" w:rsidRDefault="0084545E">
            <w:pPr>
              <w:jc w:val="right"/>
              <w:cnfStyle w:val="000000100000"/>
              <w:rPr>
                <w:rFonts w:cs="Calibri"/>
                <w:color w:val="000000"/>
              </w:rPr>
            </w:pPr>
            <w:r w:rsidRPr="007C2D51">
              <w:rPr>
                <w:rFonts w:cs="Calibri"/>
                <w:color w:val="000000"/>
              </w:rPr>
              <w:t>6%</w:t>
            </w:r>
          </w:p>
        </w:tc>
        <w:tc>
          <w:tcPr>
            <w:tcW w:w="816" w:type="pct"/>
            <w:tcBorders>
              <w:top w:val="none" w:sz="0" w:space="0" w:color="auto"/>
              <w:bottom w:val="none" w:sz="0" w:space="0" w:color="auto"/>
            </w:tcBorders>
            <w:noWrap/>
            <w:vAlign w:val="bottom"/>
          </w:tcPr>
          <w:p w:rsidR="0084545E" w:rsidRPr="007C2D51" w:rsidRDefault="0084545E">
            <w:pPr>
              <w:jc w:val="right"/>
              <w:cnfStyle w:val="000000100000"/>
              <w:rPr>
                <w:rFonts w:cs="Calibri"/>
                <w:color w:val="000000"/>
              </w:rPr>
            </w:pPr>
            <w:r w:rsidRPr="007C2D51">
              <w:rPr>
                <w:rFonts w:cs="Calibri"/>
                <w:color w:val="000000"/>
              </w:rPr>
              <w:t>5%</w:t>
            </w:r>
          </w:p>
        </w:tc>
        <w:tc>
          <w:tcPr>
            <w:tcW w:w="677" w:type="pct"/>
            <w:tcBorders>
              <w:top w:val="none" w:sz="0" w:space="0" w:color="auto"/>
              <w:bottom w:val="none" w:sz="0" w:space="0" w:color="auto"/>
            </w:tcBorders>
            <w:noWrap/>
            <w:vAlign w:val="bottom"/>
          </w:tcPr>
          <w:p w:rsidR="0084545E" w:rsidRPr="007C2D51" w:rsidRDefault="0084545E">
            <w:pPr>
              <w:jc w:val="right"/>
              <w:cnfStyle w:val="000000100000"/>
              <w:rPr>
                <w:rFonts w:cs="Calibri"/>
                <w:color w:val="000000"/>
              </w:rPr>
            </w:pPr>
            <w:r w:rsidRPr="007C2D51">
              <w:rPr>
                <w:rFonts w:cs="Calibri"/>
                <w:color w:val="000000"/>
              </w:rPr>
              <w:t>3%</w:t>
            </w:r>
          </w:p>
        </w:tc>
        <w:tc>
          <w:tcPr>
            <w:tcW w:w="472" w:type="pct"/>
            <w:tcBorders>
              <w:top w:val="none" w:sz="0" w:space="0" w:color="auto"/>
              <w:bottom w:val="none" w:sz="0" w:space="0" w:color="auto"/>
              <w:right w:val="none" w:sz="0" w:space="0" w:color="auto"/>
            </w:tcBorders>
            <w:noWrap/>
            <w:vAlign w:val="bottom"/>
          </w:tcPr>
          <w:p w:rsidR="0084545E" w:rsidRPr="007C2D51" w:rsidRDefault="0084545E">
            <w:pPr>
              <w:jc w:val="right"/>
              <w:cnfStyle w:val="000000100000"/>
              <w:rPr>
                <w:rFonts w:cs="Calibri"/>
                <w:color w:val="000000"/>
              </w:rPr>
            </w:pPr>
            <w:r w:rsidRPr="007C2D51">
              <w:rPr>
                <w:rFonts w:cs="Calibri"/>
                <w:color w:val="000000"/>
              </w:rPr>
              <w:t>5%</w:t>
            </w:r>
          </w:p>
        </w:tc>
      </w:tr>
      <w:tr w:rsidR="0084545E" w:rsidRPr="007C2D51" w:rsidTr="00F15767">
        <w:trPr>
          <w:trHeight w:val="300"/>
        </w:trPr>
        <w:tc>
          <w:tcPr>
            <w:cnfStyle w:val="001000000000"/>
            <w:tcW w:w="1929" w:type="pct"/>
            <w:noWrap/>
            <w:vAlign w:val="bottom"/>
          </w:tcPr>
          <w:p w:rsidR="0084545E" w:rsidRPr="007C2D51" w:rsidRDefault="0084545E" w:rsidP="001A78A8">
            <w:r w:rsidRPr="007C2D51">
              <w:t>User-side subsidy</w:t>
            </w:r>
          </w:p>
        </w:tc>
        <w:tc>
          <w:tcPr>
            <w:tcW w:w="354" w:type="pct"/>
            <w:vAlign w:val="bottom"/>
          </w:tcPr>
          <w:p w:rsidR="0084545E" w:rsidRPr="007C2D51" w:rsidRDefault="0084545E" w:rsidP="001A78A8">
            <w:pPr>
              <w:jc w:val="right"/>
              <w:cnfStyle w:val="000000000000"/>
              <w:rPr>
                <w:rFonts w:cs="Calibri"/>
                <w:color w:val="000000"/>
              </w:rPr>
            </w:pPr>
            <w:r w:rsidRPr="007C2D51">
              <w:rPr>
                <w:rFonts w:cs="Calibri"/>
                <w:color w:val="000000"/>
              </w:rPr>
              <w:t>38</w:t>
            </w:r>
          </w:p>
        </w:tc>
        <w:tc>
          <w:tcPr>
            <w:tcW w:w="751" w:type="pct"/>
            <w:noWrap/>
            <w:vAlign w:val="bottom"/>
          </w:tcPr>
          <w:p w:rsidR="0084545E" w:rsidRPr="007C2D51" w:rsidRDefault="0084545E">
            <w:pPr>
              <w:jc w:val="right"/>
              <w:cnfStyle w:val="000000000000"/>
              <w:rPr>
                <w:rFonts w:cs="Calibri"/>
                <w:color w:val="000000"/>
              </w:rPr>
            </w:pPr>
            <w:r w:rsidRPr="007C2D51">
              <w:rPr>
                <w:rFonts w:cs="Calibri"/>
                <w:color w:val="000000"/>
              </w:rPr>
              <w:t>3%</w:t>
            </w:r>
          </w:p>
        </w:tc>
        <w:tc>
          <w:tcPr>
            <w:tcW w:w="816" w:type="pct"/>
            <w:noWrap/>
            <w:vAlign w:val="bottom"/>
          </w:tcPr>
          <w:p w:rsidR="0084545E" w:rsidRPr="007C2D51" w:rsidRDefault="0084545E">
            <w:pPr>
              <w:jc w:val="right"/>
              <w:cnfStyle w:val="000000000000"/>
              <w:rPr>
                <w:rFonts w:cs="Calibri"/>
                <w:color w:val="000000"/>
              </w:rPr>
            </w:pPr>
            <w:r w:rsidRPr="007C2D51">
              <w:rPr>
                <w:rFonts w:cs="Calibri"/>
                <w:color w:val="000000"/>
              </w:rPr>
              <w:t>3%</w:t>
            </w:r>
          </w:p>
        </w:tc>
        <w:tc>
          <w:tcPr>
            <w:tcW w:w="677" w:type="pct"/>
            <w:noWrap/>
            <w:vAlign w:val="bottom"/>
          </w:tcPr>
          <w:p w:rsidR="0084545E" w:rsidRPr="007C2D51" w:rsidRDefault="0084545E">
            <w:pPr>
              <w:jc w:val="right"/>
              <w:cnfStyle w:val="000000000000"/>
              <w:rPr>
                <w:rFonts w:cs="Calibri"/>
                <w:color w:val="000000"/>
              </w:rPr>
            </w:pPr>
            <w:r w:rsidRPr="007C2D51">
              <w:rPr>
                <w:rFonts w:cs="Calibri"/>
                <w:color w:val="000000"/>
              </w:rPr>
              <w:t>3%</w:t>
            </w:r>
          </w:p>
        </w:tc>
        <w:tc>
          <w:tcPr>
            <w:tcW w:w="472" w:type="pct"/>
            <w:noWrap/>
            <w:vAlign w:val="bottom"/>
          </w:tcPr>
          <w:p w:rsidR="0084545E" w:rsidRPr="007C2D51" w:rsidRDefault="0084545E">
            <w:pPr>
              <w:jc w:val="right"/>
              <w:cnfStyle w:val="000000000000"/>
              <w:rPr>
                <w:rFonts w:cs="Calibri"/>
                <w:color w:val="000000"/>
              </w:rPr>
            </w:pPr>
            <w:r w:rsidRPr="007C2D51">
              <w:rPr>
                <w:rFonts w:cs="Calibri"/>
                <w:color w:val="000000"/>
              </w:rPr>
              <w:t>3%</w:t>
            </w:r>
          </w:p>
        </w:tc>
      </w:tr>
      <w:tr w:rsidR="0084545E" w:rsidRPr="007C2D51" w:rsidTr="00F15767">
        <w:trPr>
          <w:cnfStyle w:val="000000100000"/>
          <w:trHeight w:val="300"/>
        </w:trPr>
        <w:tc>
          <w:tcPr>
            <w:cnfStyle w:val="001000000000"/>
            <w:tcW w:w="1929" w:type="pct"/>
            <w:tcBorders>
              <w:top w:val="none" w:sz="0" w:space="0" w:color="auto"/>
              <w:left w:val="none" w:sz="0" w:space="0" w:color="auto"/>
              <w:bottom w:val="none" w:sz="0" w:space="0" w:color="auto"/>
            </w:tcBorders>
            <w:noWrap/>
            <w:vAlign w:val="bottom"/>
          </w:tcPr>
          <w:p w:rsidR="0084545E" w:rsidRPr="007C2D51" w:rsidRDefault="0084545E" w:rsidP="001A78A8">
            <w:r w:rsidRPr="007C2D51">
              <w:t>Vanpool</w:t>
            </w:r>
          </w:p>
        </w:tc>
        <w:tc>
          <w:tcPr>
            <w:tcW w:w="354" w:type="pct"/>
            <w:tcBorders>
              <w:top w:val="none" w:sz="0" w:space="0" w:color="auto"/>
              <w:bottom w:val="none" w:sz="0" w:space="0" w:color="auto"/>
            </w:tcBorders>
            <w:vAlign w:val="bottom"/>
          </w:tcPr>
          <w:p w:rsidR="0084545E" w:rsidRPr="007C2D51" w:rsidRDefault="0084545E" w:rsidP="001A78A8">
            <w:pPr>
              <w:jc w:val="right"/>
              <w:cnfStyle w:val="000000100000"/>
              <w:rPr>
                <w:rFonts w:cs="Calibri"/>
                <w:color w:val="000000"/>
              </w:rPr>
            </w:pPr>
            <w:r w:rsidRPr="007C2D51">
              <w:rPr>
                <w:rFonts w:cs="Calibri"/>
                <w:color w:val="000000"/>
              </w:rPr>
              <w:t>28</w:t>
            </w:r>
          </w:p>
        </w:tc>
        <w:tc>
          <w:tcPr>
            <w:tcW w:w="751" w:type="pct"/>
            <w:tcBorders>
              <w:top w:val="none" w:sz="0" w:space="0" w:color="auto"/>
              <w:bottom w:val="none" w:sz="0" w:space="0" w:color="auto"/>
            </w:tcBorders>
            <w:noWrap/>
            <w:vAlign w:val="bottom"/>
          </w:tcPr>
          <w:p w:rsidR="0084545E" w:rsidRPr="007C2D51" w:rsidRDefault="0084545E">
            <w:pPr>
              <w:jc w:val="right"/>
              <w:cnfStyle w:val="000000100000"/>
              <w:rPr>
                <w:rFonts w:cs="Calibri"/>
                <w:color w:val="000000"/>
              </w:rPr>
            </w:pPr>
            <w:r w:rsidRPr="007C2D51">
              <w:rPr>
                <w:rFonts w:cs="Calibri"/>
                <w:color w:val="000000"/>
              </w:rPr>
              <w:t>4%</w:t>
            </w:r>
          </w:p>
        </w:tc>
        <w:tc>
          <w:tcPr>
            <w:tcW w:w="816" w:type="pct"/>
            <w:tcBorders>
              <w:top w:val="none" w:sz="0" w:space="0" w:color="auto"/>
              <w:bottom w:val="none" w:sz="0" w:space="0" w:color="auto"/>
            </w:tcBorders>
            <w:noWrap/>
            <w:vAlign w:val="bottom"/>
          </w:tcPr>
          <w:p w:rsidR="0084545E" w:rsidRPr="007C2D51" w:rsidRDefault="0084545E">
            <w:pPr>
              <w:jc w:val="right"/>
              <w:cnfStyle w:val="000000100000"/>
              <w:rPr>
                <w:rFonts w:cs="Calibri"/>
                <w:color w:val="000000"/>
              </w:rPr>
            </w:pPr>
            <w:r w:rsidRPr="007C2D51">
              <w:rPr>
                <w:rFonts w:cs="Calibri"/>
                <w:color w:val="000000"/>
              </w:rPr>
              <w:t>4%</w:t>
            </w:r>
          </w:p>
        </w:tc>
        <w:tc>
          <w:tcPr>
            <w:tcW w:w="677" w:type="pct"/>
            <w:tcBorders>
              <w:top w:val="none" w:sz="0" w:space="0" w:color="auto"/>
              <w:bottom w:val="none" w:sz="0" w:space="0" w:color="auto"/>
            </w:tcBorders>
            <w:noWrap/>
            <w:vAlign w:val="bottom"/>
          </w:tcPr>
          <w:p w:rsidR="0084545E" w:rsidRPr="007C2D51" w:rsidRDefault="0084545E">
            <w:pPr>
              <w:jc w:val="right"/>
              <w:cnfStyle w:val="000000100000"/>
              <w:rPr>
                <w:rFonts w:cs="Calibri"/>
                <w:color w:val="000000"/>
              </w:rPr>
            </w:pPr>
            <w:r w:rsidRPr="007C2D51">
              <w:rPr>
                <w:rFonts w:cs="Calibri"/>
                <w:color w:val="000000"/>
              </w:rPr>
              <w:t>3%</w:t>
            </w:r>
          </w:p>
        </w:tc>
        <w:tc>
          <w:tcPr>
            <w:tcW w:w="472" w:type="pct"/>
            <w:tcBorders>
              <w:top w:val="none" w:sz="0" w:space="0" w:color="auto"/>
              <w:bottom w:val="none" w:sz="0" w:space="0" w:color="auto"/>
              <w:right w:val="none" w:sz="0" w:space="0" w:color="auto"/>
            </w:tcBorders>
            <w:noWrap/>
            <w:vAlign w:val="bottom"/>
          </w:tcPr>
          <w:p w:rsidR="0084545E" w:rsidRPr="007C2D51" w:rsidRDefault="0084545E">
            <w:pPr>
              <w:jc w:val="right"/>
              <w:cnfStyle w:val="000000100000"/>
              <w:rPr>
                <w:rFonts w:cs="Calibri"/>
                <w:color w:val="000000"/>
              </w:rPr>
            </w:pPr>
            <w:r w:rsidRPr="007C2D51">
              <w:rPr>
                <w:rFonts w:cs="Calibri"/>
                <w:color w:val="000000"/>
              </w:rPr>
              <w:t>4%</w:t>
            </w:r>
          </w:p>
        </w:tc>
      </w:tr>
      <w:tr w:rsidR="0084545E" w:rsidRPr="007C2D51" w:rsidTr="00F15767">
        <w:trPr>
          <w:trHeight w:val="300"/>
        </w:trPr>
        <w:tc>
          <w:tcPr>
            <w:cnfStyle w:val="001000000000"/>
            <w:tcW w:w="1929" w:type="pct"/>
            <w:shd w:val="clear" w:color="auto" w:fill="475A8D" w:themeFill="accent6"/>
            <w:noWrap/>
            <w:vAlign w:val="bottom"/>
          </w:tcPr>
          <w:p w:rsidR="0084545E" w:rsidRPr="007C2D51" w:rsidRDefault="0084545E" w:rsidP="001A78A8">
            <w:pPr>
              <w:rPr>
                <w:color w:val="FFFFFF" w:themeColor="background1"/>
              </w:rPr>
            </w:pPr>
            <w:r w:rsidRPr="007C2D51">
              <w:rPr>
                <w:color w:val="FFFFFF" w:themeColor="background1"/>
              </w:rPr>
              <w:t>Information-Based Services</w:t>
            </w:r>
          </w:p>
        </w:tc>
        <w:tc>
          <w:tcPr>
            <w:tcW w:w="354" w:type="pct"/>
            <w:shd w:val="clear" w:color="auto" w:fill="475A8D" w:themeFill="accent6"/>
            <w:vAlign w:val="bottom"/>
          </w:tcPr>
          <w:p w:rsidR="0084545E" w:rsidRPr="007C2D51" w:rsidRDefault="0084545E" w:rsidP="001A78A8">
            <w:pPr>
              <w:jc w:val="right"/>
              <w:cnfStyle w:val="000000000000"/>
              <w:rPr>
                <w:rFonts w:cs="Calibri"/>
                <w:b/>
                <w:bCs/>
                <w:color w:val="FFFFFF" w:themeColor="background1"/>
              </w:rPr>
            </w:pPr>
            <w:r w:rsidRPr="007C2D51">
              <w:rPr>
                <w:rFonts w:cs="Calibri"/>
                <w:b/>
                <w:bCs/>
                <w:color w:val="FFFFFF" w:themeColor="background1"/>
              </w:rPr>
              <w:t>120</w:t>
            </w:r>
          </w:p>
        </w:tc>
        <w:tc>
          <w:tcPr>
            <w:tcW w:w="751" w:type="pct"/>
            <w:shd w:val="clear" w:color="auto" w:fill="475A8D" w:themeFill="accent6"/>
            <w:noWrap/>
            <w:vAlign w:val="bottom"/>
          </w:tcPr>
          <w:p w:rsidR="0084545E" w:rsidRPr="007C2D51" w:rsidRDefault="0084545E">
            <w:pPr>
              <w:jc w:val="right"/>
              <w:cnfStyle w:val="000000000000"/>
              <w:rPr>
                <w:rFonts w:cs="Calibri"/>
                <w:b/>
                <w:bCs/>
                <w:color w:val="FFFFFF" w:themeColor="background1"/>
              </w:rPr>
            </w:pPr>
            <w:r w:rsidRPr="007C2D51">
              <w:rPr>
                <w:rFonts w:cs="Calibri"/>
                <w:b/>
                <w:bCs/>
                <w:color w:val="FFFFFF" w:themeColor="background1"/>
              </w:rPr>
              <w:t>12%</w:t>
            </w:r>
          </w:p>
        </w:tc>
        <w:tc>
          <w:tcPr>
            <w:tcW w:w="816" w:type="pct"/>
            <w:shd w:val="clear" w:color="auto" w:fill="475A8D" w:themeFill="accent6"/>
            <w:noWrap/>
            <w:vAlign w:val="bottom"/>
          </w:tcPr>
          <w:p w:rsidR="0084545E" w:rsidRPr="007C2D51" w:rsidRDefault="0084545E">
            <w:pPr>
              <w:jc w:val="right"/>
              <w:cnfStyle w:val="000000000000"/>
              <w:rPr>
                <w:rFonts w:cs="Calibri"/>
                <w:b/>
                <w:bCs/>
                <w:color w:val="FFFFFF" w:themeColor="background1"/>
              </w:rPr>
            </w:pPr>
            <w:r w:rsidRPr="007C2D51">
              <w:rPr>
                <w:rFonts w:cs="Calibri"/>
                <w:b/>
                <w:bCs/>
                <w:color w:val="FFFFFF" w:themeColor="background1"/>
              </w:rPr>
              <w:t>11%</w:t>
            </w:r>
          </w:p>
        </w:tc>
        <w:tc>
          <w:tcPr>
            <w:tcW w:w="677" w:type="pct"/>
            <w:shd w:val="clear" w:color="auto" w:fill="475A8D" w:themeFill="accent6"/>
            <w:noWrap/>
            <w:vAlign w:val="bottom"/>
          </w:tcPr>
          <w:p w:rsidR="0084545E" w:rsidRPr="007C2D51" w:rsidRDefault="0084545E">
            <w:pPr>
              <w:jc w:val="right"/>
              <w:cnfStyle w:val="000000000000"/>
              <w:rPr>
                <w:rFonts w:cs="Calibri"/>
                <w:b/>
                <w:bCs/>
                <w:color w:val="FFFFFF" w:themeColor="background1"/>
              </w:rPr>
            </w:pPr>
            <w:r w:rsidRPr="007C2D51">
              <w:rPr>
                <w:rFonts w:cs="Calibri"/>
                <w:b/>
                <w:bCs/>
                <w:color w:val="FFFFFF" w:themeColor="background1"/>
              </w:rPr>
              <w:t>11%</w:t>
            </w:r>
          </w:p>
        </w:tc>
        <w:tc>
          <w:tcPr>
            <w:tcW w:w="472" w:type="pct"/>
            <w:shd w:val="clear" w:color="auto" w:fill="475A8D" w:themeFill="accent6"/>
            <w:noWrap/>
            <w:vAlign w:val="bottom"/>
          </w:tcPr>
          <w:p w:rsidR="0084545E" w:rsidRPr="007C2D51" w:rsidRDefault="0084545E">
            <w:pPr>
              <w:jc w:val="right"/>
              <w:cnfStyle w:val="000000000000"/>
              <w:rPr>
                <w:rFonts w:cs="Calibri"/>
                <w:b/>
                <w:bCs/>
                <w:color w:val="FFFFFF" w:themeColor="background1"/>
              </w:rPr>
            </w:pPr>
            <w:r w:rsidRPr="007C2D51">
              <w:rPr>
                <w:rFonts w:cs="Calibri"/>
                <w:b/>
                <w:bCs/>
                <w:color w:val="FFFFFF" w:themeColor="background1"/>
              </w:rPr>
              <w:t>12%</w:t>
            </w:r>
          </w:p>
        </w:tc>
      </w:tr>
      <w:tr w:rsidR="0084545E" w:rsidRPr="007C2D51" w:rsidTr="00F15767">
        <w:trPr>
          <w:cnfStyle w:val="000000100000"/>
          <w:trHeight w:val="300"/>
        </w:trPr>
        <w:tc>
          <w:tcPr>
            <w:cnfStyle w:val="001000000000"/>
            <w:tcW w:w="1929" w:type="pct"/>
            <w:tcBorders>
              <w:top w:val="none" w:sz="0" w:space="0" w:color="auto"/>
              <w:left w:val="none" w:sz="0" w:space="0" w:color="auto"/>
              <w:bottom w:val="none" w:sz="0" w:space="0" w:color="auto"/>
            </w:tcBorders>
            <w:noWrap/>
            <w:vAlign w:val="bottom"/>
          </w:tcPr>
          <w:p w:rsidR="0084545E" w:rsidRPr="007C2D51" w:rsidRDefault="0084545E" w:rsidP="001A78A8">
            <w:r w:rsidRPr="007C2D51">
              <w:t>Mobility manager</w:t>
            </w:r>
          </w:p>
        </w:tc>
        <w:tc>
          <w:tcPr>
            <w:tcW w:w="354" w:type="pct"/>
            <w:tcBorders>
              <w:top w:val="none" w:sz="0" w:space="0" w:color="auto"/>
              <w:bottom w:val="none" w:sz="0" w:space="0" w:color="auto"/>
            </w:tcBorders>
            <w:vAlign w:val="bottom"/>
          </w:tcPr>
          <w:p w:rsidR="0084545E" w:rsidRPr="007C2D51" w:rsidRDefault="0084545E" w:rsidP="001A78A8">
            <w:pPr>
              <w:jc w:val="right"/>
              <w:cnfStyle w:val="000000100000"/>
              <w:rPr>
                <w:rFonts w:cs="Calibri"/>
                <w:color w:val="000000"/>
              </w:rPr>
            </w:pPr>
            <w:r w:rsidRPr="007C2D51">
              <w:rPr>
                <w:rFonts w:cs="Calibri"/>
                <w:color w:val="000000"/>
              </w:rPr>
              <w:t>65</w:t>
            </w:r>
          </w:p>
        </w:tc>
        <w:tc>
          <w:tcPr>
            <w:tcW w:w="751" w:type="pct"/>
            <w:tcBorders>
              <w:top w:val="none" w:sz="0" w:space="0" w:color="auto"/>
              <w:bottom w:val="none" w:sz="0" w:space="0" w:color="auto"/>
            </w:tcBorders>
            <w:noWrap/>
            <w:vAlign w:val="bottom"/>
          </w:tcPr>
          <w:p w:rsidR="0084545E" w:rsidRPr="007C2D51" w:rsidRDefault="0084545E">
            <w:pPr>
              <w:jc w:val="right"/>
              <w:cnfStyle w:val="000000100000"/>
              <w:rPr>
                <w:rFonts w:cs="Calibri"/>
                <w:color w:val="000000"/>
              </w:rPr>
            </w:pPr>
            <w:r w:rsidRPr="007C2D51">
              <w:rPr>
                <w:rFonts w:cs="Calibri"/>
                <w:color w:val="000000"/>
              </w:rPr>
              <w:t>5%</w:t>
            </w:r>
          </w:p>
        </w:tc>
        <w:tc>
          <w:tcPr>
            <w:tcW w:w="816" w:type="pct"/>
            <w:tcBorders>
              <w:top w:val="none" w:sz="0" w:space="0" w:color="auto"/>
              <w:bottom w:val="none" w:sz="0" w:space="0" w:color="auto"/>
            </w:tcBorders>
            <w:noWrap/>
            <w:vAlign w:val="bottom"/>
          </w:tcPr>
          <w:p w:rsidR="0084545E" w:rsidRPr="007C2D51" w:rsidRDefault="0084545E">
            <w:pPr>
              <w:jc w:val="right"/>
              <w:cnfStyle w:val="000000100000"/>
              <w:rPr>
                <w:rFonts w:cs="Calibri"/>
                <w:color w:val="000000"/>
              </w:rPr>
            </w:pPr>
            <w:r w:rsidRPr="007C2D51">
              <w:rPr>
                <w:rFonts w:cs="Calibri"/>
                <w:color w:val="000000"/>
              </w:rPr>
              <w:t>7%</w:t>
            </w:r>
          </w:p>
        </w:tc>
        <w:tc>
          <w:tcPr>
            <w:tcW w:w="677" w:type="pct"/>
            <w:tcBorders>
              <w:top w:val="none" w:sz="0" w:space="0" w:color="auto"/>
              <w:bottom w:val="none" w:sz="0" w:space="0" w:color="auto"/>
            </w:tcBorders>
            <w:noWrap/>
            <w:vAlign w:val="bottom"/>
          </w:tcPr>
          <w:p w:rsidR="0084545E" w:rsidRPr="007C2D51" w:rsidRDefault="0084545E">
            <w:pPr>
              <w:jc w:val="right"/>
              <w:cnfStyle w:val="000000100000"/>
              <w:rPr>
                <w:rFonts w:cs="Calibri"/>
                <w:color w:val="000000"/>
              </w:rPr>
            </w:pPr>
            <w:r w:rsidRPr="007C2D51">
              <w:rPr>
                <w:rFonts w:cs="Calibri"/>
                <w:color w:val="000000"/>
              </w:rPr>
              <w:t>7%</w:t>
            </w:r>
          </w:p>
        </w:tc>
        <w:tc>
          <w:tcPr>
            <w:tcW w:w="472" w:type="pct"/>
            <w:tcBorders>
              <w:top w:val="none" w:sz="0" w:space="0" w:color="auto"/>
              <w:bottom w:val="none" w:sz="0" w:space="0" w:color="auto"/>
              <w:right w:val="none" w:sz="0" w:space="0" w:color="auto"/>
            </w:tcBorders>
            <w:noWrap/>
            <w:vAlign w:val="bottom"/>
          </w:tcPr>
          <w:p w:rsidR="0084545E" w:rsidRPr="007C2D51" w:rsidRDefault="0084545E">
            <w:pPr>
              <w:jc w:val="right"/>
              <w:cnfStyle w:val="000000100000"/>
              <w:rPr>
                <w:rFonts w:cs="Calibri"/>
                <w:color w:val="000000"/>
              </w:rPr>
            </w:pPr>
            <w:r w:rsidRPr="007C2D51">
              <w:rPr>
                <w:rFonts w:cs="Calibri"/>
                <w:color w:val="000000"/>
              </w:rPr>
              <w:t>6%</w:t>
            </w:r>
          </w:p>
        </w:tc>
      </w:tr>
      <w:tr w:rsidR="0084545E" w:rsidRPr="007C2D51" w:rsidTr="00F15767">
        <w:trPr>
          <w:trHeight w:val="300"/>
        </w:trPr>
        <w:tc>
          <w:tcPr>
            <w:cnfStyle w:val="001000000000"/>
            <w:tcW w:w="1929" w:type="pct"/>
            <w:noWrap/>
            <w:vAlign w:val="bottom"/>
          </w:tcPr>
          <w:p w:rsidR="0084545E" w:rsidRPr="007C2D51" w:rsidRDefault="0084545E" w:rsidP="001A78A8">
            <w:r w:rsidRPr="007C2D51">
              <w:t>One-on-one transit training</w:t>
            </w:r>
          </w:p>
        </w:tc>
        <w:tc>
          <w:tcPr>
            <w:tcW w:w="354" w:type="pct"/>
            <w:vAlign w:val="bottom"/>
          </w:tcPr>
          <w:p w:rsidR="0084545E" w:rsidRPr="007C2D51" w:rsidRDefault="0084545E" w:rsidP="001A78A8">
            <w:pPr>
              <w:jc w:val="right"/>
              <w:cnfStyle w:val="000000000000"/>
              <w:rPr>
                <w:rFonts w:cs="Calibri"/>
                <w:color w:val="000000"/>
              </w:rPr>
            </w:pPr>
            <w:r w:rsidRPr="007C2D51">
              <w:rPr>
                <w:rFonts w:cs="Calibri"/>
                <w:color w:val="000000"/>
              </w:rPr>
              <w:t>15</w:t>
            </w:r>
          </w:p>
        </w:tc>
        <w:tc>
          <w:tcPr>
            <w:tcW w:w="751" w:type="pct"/>
            <w:noWrap/>
            <w:vAlign w:val="bottom"/>
          </w:tcPr>
          <w:p w:rsidR="0084545E" w:rsidRPr="007C2D51" w:rsidRDefault="0084545E">
            <w:pPr>
              <w:jc w:val="right"/>
              <w:cnfStyle w:val="000000000000"/>
              <w:rPr>
                <w:rFonts w:cs="Calibri"/>
                <w:color w:val="000000"/>
              </w:rPr>
            </w:pPr>
            <w:r w:rsidRPr="007C2D51">
              <w:rPr>
                <w:rFonts w:cs="Calibri"/>
                <w:color w:val="000000"/>
              </w:rPr>
              <w:t>2%</w:t>
            </w:r>
          </w:p>
        </w:tc>
        <w:tc>
          <w:tcPr>
            <w:tcW w:w="816" w:type="pct"/>
            <w:noWrap/>
            <w:vAlign w:val="bottom"/>
          </w:tcPr>
          <w:p w:rsidR="0084545E" w:rsidRPr="007C2D51" w:rsidRDefault="0084545E">
            <w:pPr>
              <w:jc w:val="right"/>
              <w:cnfStyle w:val="000000000000"/>
              <w:rPr>
                <w:rFonts w:cs="Calibri"/>
                <w:color w:val="000000"/>
              </w:rPr>
            </w:pPr>
            <w:r w:rsidRPr="007C2D51">
              <w:rPr>
                <w:rFonts w:cs="Calibri"/>
                <w:color w:val="000000"/>
              </w:rPr>
              <w:t>1%</w:t>
            </w:r>
          </w:p>
        </w:tc>
        <w:tc>
          <w:tcPr>
            <w:tcW w:w="677" w:type="pct"/>
            <w:noWrap/>
            <w:vAlign w:val="bottom"/>
          </w:tcPr>
          <w:p w:rsidR="0084545E" w:rsidRPr="007C2D51" w:rsidRDefault="0084545E">
            <w:pPr>
              <w:jc w:val="right"/>
              <w:cnfStyle w:val="000000000000"/>
              <w:rPr>
                <w:rFonts w:cs="Calibri"/>
                <w:color w:val="000000"/>
              </w:rPr>
            </w:pPr>
            <w:r w:rsidRPr="007C2D51">
              <w:rPr>
                <w:rFonts w:cs="Calibri"/>
                <w:color w:val="000000"/>
              </w:rPr>
              <w:t>0%</w:t>
            </w:r>
          </w:p>
        </w:tc>
        <w:tc>
          <w:tcPr>
            <w:tcW w:w="472" w:type="pct"/>
            <w:noWrap/>
            <w:vAlign w:val="bottom"/>
          </w:tcPr>
          <w:p w:rsidR="0084545E" w:rsidRPr="007C2D51" w:rsidRDefault="0084545E">
            <w:pPr>
              <w:jc w:val="right"/>
              <w:cnfStyle w:val="000000000000"/>
              <w:rPr>
                <w:rFonts w:cs="Calibri"/>
                <w:color w:val="000000"/>
              </w:rPr>
            </w:pPr>
            <w:r w:rsidRPr="007C2D51">
              <w:rPr>
                <w:rFonts w:cs="Calibri"/>
                <w:color w:val="000000"/>
              </w:rPr>
              <w:t>1%</w:t>
            </w:r>
          </w:p>
        </w:tc>
      </w:tr>
      <w:tr w:rsidR="0084545E" w:rsidRPr="007C2D51" w:rsidTr="00F15767">
        <w:trPr>
          <w:cnfStyle w:val="000000100000"/>
          <w:trHeight w:val="300"/>
        </w:trPr>
        <w:tc>
          <w:tcPr>
            <w:cnfStyle w:val="001000000000"/>
            <w:tcW w:w="1929" w:type="pct"/>
            <w:tcBorders>
              <w:top w:val="none" w:sz="0" w:space="0" w:color="auto"/>
              <w:left w:val="none" w:sz="0" w:space="0" w:color="auto"/>
              <w:bottom w:val="none" w:sz="0" w:space="0" w:color="auto"/>
            </w:tcBorders>
            <w:noWrap/>
            <w:vAlign w:val="bottom"/>
          </w:tcPr>
          <w:p w:rsidR="0084545E" w:rsidRPr="007C2D51" w:rsidRDefault="0084545E" w:rsidP="001A78A8">
            <w:r w:rsidRPr="007C2D51">
              <w:t>Materials and marketing</w:t>
            </w:r>
          </w:p>
        </w:tc>
        <w:tc>
          <w:tcPr>
            <w:tcW w:w="354" w:type="pct"/>
            <w:tcBorders>
              <w:top w:val="none" w:sz="0" w:space="0" w:color="auto"/>
              <w:bottom w:val="none" w:sz="0" w:space="0" w:color="auto"/>
            </w:tcBorders>
            <w:vAlign w:val="bottom"/>
          </w:tcPr>
          <w:p w:rsidR="0084545E" w:rsidRPr="007C2D51" w:rsidRDefault="0084545E" w:rsidP="001A78A8">
            <w:pPr>
              <w:jc w:val="right"/>
              <w:cnfStyle w:val="000000100000"/>
              <w:rPr>
                <w:rFonts w:cs="Calibri"/>
                <w:color w:val="000000"/>
              </w:rPr>
            </w:pPr>
            <w:r w:rsidRPr="007C2D51">
              <w:rPr>
                <w:rFonts w:cs="Calibri"/>
                <w:color w:val="000000"/>
              </w:rPr>
              <w:t>13</w:t>
            </w:r>
          </w:p>
        </w:tc>
        <w:tc>
          <w:tcPr>
            <w:tcW w:w="751" w:type="pct"/>
            <w:tcBorders>
              <w:top w:val="none" w:sz="0" w:space="0" w:color="auto"/>
              <w:bottom w:val="none" w:sz="0" w:space="0" w:color="auto"/>
            </w:tcBorders>
            <w:noWrap/>
            <w:vAlign w:val="bottom"/>
          </w:tcPr>
          <w:p w:rsidR="0084545E" w:rsidRPr="007C2D51" w:rsidRDefault="0084545E">
            <w:pPr>
              <w:jc w:val="right"/>
              <w:cnfStyle w:val="000000100000"/>
              <w:rPr>
                <w:rFonts w:cs="Calibri"/>
                <w:color w:val="000000"/>
              </w:rPr>
            </w:pPr>
            <w:r w:rsidRPr="007C2D51">
              <w:rPr>
                <w:rFonts w:cs="Calibri"/>
                <w:color w:val="000000"/>
              </w:rPr>
              <w:t>1%</w:t>
            </w:r>
          </w:p>
        </w:tc>
        <w:tc>
          <w:tcPr>
            <w:tcW w:w="816" w:type="pct"/>
            <w:tcBorders>
              <w:top w:val="none" w:sz="0" w:space="0" w:color="auto"/>
              <w:bottom w:val="none" w:sz="0" w:space="0" w:color="auto"/>
            </w:tcBorders>
            <w:noWrap/>
            <w:vAlign w:val="bottom"/>
          </w:tcPr>
          <w:p w:rsidR="0084545E" w:rsidRPr="007C2D51" w:rsidRDefault="0084545E">
            <w:pPr>
              <w:jc w:val="right"/>
              <w:cnfStyle w:val="000000100000"/>
              <w:rPr>
                <w:rFonts w:cs="Calibri"/>
                <w:color w:val="000000"/>
              </w:rPr>
            </w:pPr>
            <w:r w:rsidRPr="007C2D51">
              <w:rPr>
                <w:rFonts w:cs="Calibri"/>
                <w:color w:val="000000"/>
              </w:rPr>
              <w:t>1%</w:t>
            </w:r>
          </w:p>
        </w:tc>
        <w:tc>
          <w:tcPr>
            <w:tcW w:w="677" w:type="pct"/>
            <w:tcBorders>
              <w:top w:val="none" w:sz="0" w:space="0" w:color="auto"/>
              <w:bottom w:val="none" w:sz="0" w:space="0" w:color="auto"/>
            </w:tcBorders>
            <w:noWrap/>
            <w:vAlign w:val="bottom"/>
          </w:tcPr>
          <w:p w:rsidR="0084545E" w:rsidRPr="007C2D51" w:rsidRDefault="0084545E">
            <w:pPr>
              <w:jc w:val="right"/>
              <w:cnfStyle w:val="000000100000"/>
              <w:rPr>
                <w:rFonts w:cs="Calibri"/>
                <w:color w:val="000000"/>
              </w:rPr>
            </w:pPr>
            <w:r w:rsidRPr="007C2D51">
              <w:rPr>
                <w:rFonts w:cs="Calibri"/>
                <w:color w:val="000000"/>
              </w:rPr>
              <w:t>2%</w:t>
            </w:r>
          </w:p>
        </w:tc>
        <w:tc>
          <w:tcPr>
            <w:tcW w:w="472" w:type="pct"/>
            <w:tcBorders>
              <w:top w:val="none" w:sz="0" w:space="0" w:color="auto"/>
              <w:bottom w:val="none" w:sz="0" w:space="0" w:color="auto"/>
              <w:right w:val="none" w:sz="0" w:space="0" w:color="auto"/>
            </w:tcBorders>
            <w:noWrap/>
            <w:vAlign w:val="bottom"/>
          </w:tcPr>
          <w:p w:rsidR="0084545E" w:rsidRPr="007C2D51" w:rsidRDefault="0084545E">
            <w:pPr>
              <w:jc w:val="right"/>
              <w:cnfStyle w:val="000000100000"/>
              <w:rPr>
                <w:rFonts w:cs="Calibri"/>
                <w:color w:val="000000"/>
              </w:rPr>
            </w:pPr>
            <w:r w:rsidRPr="007C2D51">
              <w:rPr>
                <w:rFonts w:cs="Calibri"/>
                <w:color w:val="000000"/>
              </w:rPr>
              <w:t>1%</w:t>
            </w:r>
          </w:p>
        </w:tc>
      </w:tr>
      <w:tr w:rsidR="0084545E" w:rsidRPr="007C2D51" w:rsidTr="00F15767">
        <w:trPr>
          <w:trHeight w:val="300"/>
        </w:trPr>
        <w:tc>
          <w:tcPr>
            <w:cnfStyle w:val="001000000000"/>
            <w:tcW w:w="1929" w:type="pct"/>
            <w:noWrap/>
            <w:vAlign w:val="bottom"/>
          </w:tcPr>
          <w:p w:rsidR="0084545E" w:rsidRPr="007C2D51" w:rsidRDefault="0084545E" w:rsidP="001A78A8">
            <w:r w:rsidRPr="007C2D51">
              <w:t>Transportation resource training</w:t>
            </w:r>
          </w:p>
        </w:tc>
        <w:tc>
          <w:tcPr>
            <w:tcW w:w="354" w:type="pct"/>
            <w:vAlign w:val="bottom"/>
          </w:tcPr>
          <w:p w:rsidR="0084545E" w:rsidRPr="007C2D51" w:rsidRDefault="0084545E" w:rsidP="001A78A8">
            <w:pPr>
              <w:jc w:val="right"/>
              <w:cnfStyle w:val="000000000000"/>
              <w:rPr>
                <w:rFonts w:cs="Calibri"/>
                <w:color w:val="000000"/>
              </w:rPr>
            </w:pPr>
            <w:r w:rsidRPr="007C2D51">
              <w:rPr>
                <w:rFonts w:cs="Calibri"/>
                <w:color w:val="000000"/>
              </w:rPr>
              <w:t>10</w:t>
            </w:r>
          </w:p>
        </w:tc>
        <w:tc>
          <w:tcPr>
            <w:tcW w:w="751" w:type="pct"/>
            <w:noWrap/>
            <w:vAlign w:val="bottom"/>
          </w:tcPr>
          <w:p w:rsidR="0084545E" w:rsidRPr="007C2D51" w:rsidRDefault="0084545E">
            <w:pPr>
              <w:jc w:val="right"/>
              <w:cnfStyle w:val="000000000000"/>
              <w:rPr>
                <w:rFonts w:cs="Calibri"/>
                <w:color w:val="000000"/>
              </w:rPr>
            </w:pPr>
            <w:r w:rsidRPr="007C2D51">
              <w:rPr>
                <w:rFonts w:cs="Calibri"/>
                <w:color w:val="000000"/>
              </w:rPr>
              <w:t>1%</w:t>
            </w:r>
          </w:p>
        </w:tc>
        <w:tc>
          <w:tcPr>
            <w:tcW w:w="816" w:type="pct"/>
            <w:noWrap/>
            <w:vAlign w:val="bottom"/>
          </w:tcPr>
          <w:p w:rsidR="0084545E" w:rsidRPr="007C2D51" w:rsidRDefault="0084545E">
            <w:pPr>
              <w:jc w:val="right"/>
              <w:cnfStyle w:val="000000000000"/>
              <w:rPr>
                <w:rFonts w:cs="Calibri"/>
                <w:color w:val="000000"/>
              </w:rPr>
            </w:pPr>
            <w:r w:rsidRPr="007C2D51">
              <w:rPr>
                <w:rFonts w:cs="Calibri"/>
                <w:color w:val="000000"/>
              </w:rPr>
              <w:t>1%</w:t>
            </w:r>
          </w:p>
        </w:tc>
        <w:tc>
          <w:tcPr>
            <w:tcW w:w="677" w:type="pct"/>
            <w:noWrap/>
            <w:vAlign w:val="bottom"/>
          </w:tcPr>
          <w:p w:rsidR="0084545E" w:rsidRPr="007C2D51" w:rsidRDefault="0084545E">
            <w:pPr>
              <w:jc w:val="right"/>
              <w:cnfStyle w:val="000000000000"/>
              <w:rPr>
                <w:rFonts w:cs="Calibri"/>
                <w:color w:val="000000"/>
              </w:rPr>
            </w:pPr>
            <w:r w:rsidRPr="007C2D51">
              <w:rPr>
                <w:rFonts w:cs="Calibri"/>
                <w:color w:val="000000"/>
              </w:rPr>
              <w:t>0%</w:t>
            </w:r>
          </w:p>
        </w:tc>
        <w:tc>
          <w:tcPr>
            <w:tcW w:w="472" w:type="pct"/>
            <w:noWrap/>
            <w:vAlign w:val="bottom"/>
          </w:tcPr>
          <w:p w:rsidR="0084545E" w:rsidRPr="007C2D51" w:rsidRDefault="0084545E">
            <w:pPr>
              <w:jc w:val="right"/>
              <w:cnfStyle w:val="000000000000"/>
              <w:rPr>
                <w:rFonts w:cs="Calibri"/>
                <w:color w:val="000000"/>
              </w:rPr>
            </w:pPr>
            <w:r w:rsidRPr="007C2D51">
              <w:rPr>
                <w:rFonts w:cs="Calibri"/>
                <w:color w:val="000000"/>
              </w:rPr>
              <w:t>1%</w:t>
            </w:r>
          </w:p>
        </w:tc>
      </w:tr>
      <w:tr w:rsidR="0084545E" w:rsidRPr="007C2D51" w:rsidTr="00F15767">
        <w:trPr>
          <w:cnfStyle w:val="000000100000"/>
          <w:trHeight w:val="300"/>
        </w:trPr>
        <w:tc>
          <w:tcPr>
            <w:cnfStyle w:val="001000000000"/>
            <w:tcW w:w="1929" w:type="pct"/>
            <w:tcBorders>
              <w:top w:val="none" w:sz="0" w:space="0" w:color="auto"/>
              <w:left w:val="none" w:sz="0" w:space="0" w:color="auto"/>
              <w:bottom w:val="none" w:sz="0" w:space="0" w:color="auto"/>
            </w:tcBorders>
            <w:noWrap/>
            <w:vAlign w:val="bottom"/>
          </w:tcPr>
          <w:p w:rsidR="0084545E" w:rsidRPr="007C2D51" w:rsidRDefault="0084545E" w:rsidP="001A78A8">
            <w:r w:rsidRPr="007C2D51">
              <w:t>One-stop center</w:t>
            </w:r>
          </w:p>
        </w:tc>
        <w:tc>
          <w:tcPr>
            <w:tcW w:w="354" w:type="pct"/>
            <w:tcBorders>
              <w:top w:val="none" w:sz="0" w:space="0" w:color="auto"/>
              <w:bottom w:val="none" w:sz="0" w:space="0" w:color="auto"/>
            </w:tcBorders>
            <w:vAlign w:val="bottom"/>
          </w:tcPr>
          <w:p w:rsidR="0084545E" w:rsidRPr="007C2D51" w:rsidRDefault="0084545E" w:rsidP="001A78A8">
            <w:pPr>
              <w:jc w:val="right"/>
              <w:cnfStyle w:val="000000100000"/>
              <w:rPr>
                <w:rFonts w:cs="Calibri"/>
                <w:color w:val="000000"/>
              </w:rPr>
            </w:pPr>
            <w:r w:rsidRPr="007C2D51">
              <w:rPr>
                <w:rFonts w:cs="Calibri"/>
                <w:color w:val="000000"/>
              </w:rPr>
              <w:t>9</w:t>
            </w:r>
          </w:p>
        </w:tc>
        <w:tc>
          <w:tcPr>
            <w:tcW w:w="751" w:type="pct"/>
            <w:tcBorders>
              <w:top w:val="none" w:sz="0" w:space="0" w:color="auto"/>
              <w:bottom w:val="none" w:sz="0" w:space="0" w:color="auto"/>
            </w:tcBorders>
            <w:noWrap/>
            <w:vAlign w:val="bottom"/>
          </w:tcPr>
          <w:p w:rsidR="0084545E" w:rsidRPr="007C2D51" w:rsidRDefault="0084545E">
            <w:pPr>
              <w:jc w:val="right"/>
              <w:cnfStyle w:val="000000100000"/>
              <w:rPr>
                <w:rFonts w:cs="Calibri"/>
                <w:color w:val="000000"/>
              </w:rPr>
            </w:pPr>
            <w:r w:rsidRPr="007C2D51">
              <w:rPr>
                <w:rFonts w:cs="Calibri"/>
                <w:color w:val="000000"/>
              </w:rPr>
              <w:t>1%</w:t>
            </w:r>
          </w:p>
        </w:tc>
        <w:tc>
          <w:tcPr>
            <w:tcW w:w="816" w:type="pct"/>
            <w:tcBorders>
              <w:top w:val="none" w:sz="0" w:space="0" w:color="auto"/>
              <w:bottom w:val="none" w:sz="0" w:space="0" w:color="auto"/>
            </w:tcBorders>
            <w:noWrap/>
            <w:vAlign w:val="bottom"/>
          </w:tcPr>
          <w:p w:rsidR="0084545E" w:rsidRPr="007C2D51" w:rsidRDefault="0084545E">
            <w:pPr>
              <w:jc w:val="right"/>
              <w:cnfStyle w:val="000000100000"/>
              <w:rPr>
                <w:rFonts w:cs="Calibri"/>
                <w:color w:val="000000"/>
              </w:rPr>
            </w:pPr>
            <w:r w:rsidRPr="007C2D51">
              <w:rPr>
                <w:rFonts w:cs="Calibri"/>
                <w:color w:val="000000"/>
              </w:rPr>
              <w:t>1%</w:t>
            </w:r>
          </w:p>
        </w:tc>
        <w:tc>
          <w:tcPr>
            <w:tcW w:w="677" w:type="pct"/>
            <w:tcBorders>
              <w:top w:val="none" w:sz="0" w:space="0" w:color="auto"/>
              <w:bottom w:val="none" w:sz="0" w:space="0" w:color="auto"/>
            </w:tcBorders>
            <w:noWrap/>
            <w:vAlign w:val="bottom"/>
          </w:tcPr>
          <w:p w:rsidR="0084545E" w:rsidRPr="007C2D51" w:rsidRDefault="0084545E">
            <w:pPr>
              <w:jc w:val="right"/>
              <w:cnfStyle w:val="000000100000"/>
              <w:rPr>
                <w:rFonts w:cs="Calibri"/>
                <w:color w:val="000000"/>
              </w:rPr>
            </w:pPr>
            <w:r w:rsidRPr="007C2D51">
              <w:rPr>
                <w:rFonts w:cs="Calibri"/>
                <w:color w:val="000000"/>
              </w:rPr>
              <w:t>1%</w:t>
            </w:r>
          </w:p>
        </w:tc>
        <w:tc>
          <w:tcPr>
            <w:tcW w:w="472" w:type="pct"/>
            <w:tcBorders>
              <w:top w:val="none" w:sz="0" w:space="0" w:color="auto"/>
              <w:bottom w:val="none" w:sz="0" w:space="0" w:color="auto"/>
              <w:right w:val="none" w:sz="0" w:space="0" w:color="auto"/>
            </w:tcBorders>
            <w:noWrap/>
            <w:vAlign w:val="bottom"/>
          </w:tcPr>
          <w:p w:rsidR="0084545E" w:rsidRPr="007C2D51" w:rsidRDefault="0084545E">
            <w:pPr>
              <w:jc w:val="right"/>
              <w:cnfStyle w:val="000000100000"/>
              <w:rPr>
                <w:rFonts w:cs="Calibri"/>
                <w:color w:val="000000"/>
              </w:rPr>
            </w:pPr>
            <w:r w:rsidRPr="007C2D51">
              <w:rPr>
                <w:rFonts w:cs="Calibri"/>
                <w:color w:val="000000"/>
              </w:rPr>
              <w:t>1%</w:t>
            </w:r>
          </w:p>
        </w:tc>
      </w:tr>
      <w:tr w:rsidR="0084545E" w:rsidRPr="007C2D51" w:rsidTr="00F15767">
        <w:trPr>
          <w:trHeight w:val="300"/>
        </w:trPr>
        <w:tc>
          <w:tcPr>
            <w:cnfStyle w:val="001000000000"/>
            <w:tcW w:w="1929" w:type="pct"/>
            <w:noWrap/>
            <w:vAlign w:val="bottom"/>
          </w:tcPr>
          <w:p w:rsidR="0084545E" w:rsidRPr="007C2D51" w:rsidRDefault="0084545E" w:rsidP="001A78A8">
            <w:r w:rsidRPr="007C2D51">
              <w:t>Trip/itinerary planning</w:t>
            </w:r>
          </w:p>
        </w:tc>
        <w:tc>
          <w:tcPr>
            <w:tcW w:w="354" w:type="pct"/>
            <w:vAlign w:val="bottom"/>
          </w:tcPr>
          <w:p w:rsidR="0084545E" w:rsidRPr="007C2D51" w:rsidRDefault="0084545E" w:rsidP="001A78A8">
            <w:pPr>
              <w:jc w:val="right"/>
              <w:cnfStyle w:val="000000000000"/>
              <w:rPr>
                <w:rFonts w:cs="Calibri"/>
                <w:color w:val="000000"/>
              </w:rPr>
            </w:pPr>
            <w:r w:rsidRPr="007C2D51">
              <w:rPr>
                <w:rFonts w:cs="Calibri"/>
                <w:color w:val="000000"/>
              </w:rPr>
              <w:t>5</w:t>
            </w:r>
          </w:p>
        </w:tc>
        <w:tc>
          <w:tcPr>
            <w:tcW w:w="751" w:type="pct"/>
            <w:noWrap/>
            <w:vAlign w:val="bottom"/>
          </w:tcPr>
          <w:p w:rsidR="0084545E" w:rsidRPr="007C2D51" w:rsidRDefault="0084545E">
            <w:pPr>
              <w:jc w:val="right"/>
              <w:cnfStyle w:val="000000000000"/>
              <w:rPr>
                <w:rFonts w:cs="Calibri"/>
                <w:color w:val="000000"/>
              </w:rPr>
            </w:pPr>
            <w:r w:rsidRPr="007C2D51">
              <w:rPr>
                <w:rFonts w:cs="Calibri"/>
                <w:color w:val="000000"/>
              </w:rPr>
              <w:t>1%</w:t>
            </w:r>
          </w:p>
        </w:tc>
        <w:tc>
          <w:tcPr>
            <w:tcW w:w="816" w:type="pct"/>
            <w:noWrap/>
            <w:vAlign w:val="bottom"/>
          </w:tcPr>
          <w:p w:rsidR="0084545E" w:rsidRPr="007C2D51" w:rsidRDefault="0084545E">
            <w:pPr>
              <w:jc w:val="right"/>
              <w:cnfStyle w:val="000000000000"/>
              <w:rPr>
                <w:rFonts w:cs="Calibri"/>
                <w:color w:val="000000"/>
              </w:rPr>
            </w:pPr>
            <w:r w:rsidRPr="007C2D51">
              <w:rPr>
                <w:rFonts w:cs="Calibri"/>
                <w:color w:val="000000"/>
              </w:rPr>
              <w:t>0%</w:t>
            </w:r>
          </w:p>
        </w:tc>
        <w:tc>
          <w:tcPr>
            <w:tcW w:w="677" w:type="pct"/>
            <w:noWrap/>
            <w:vAlign w:val="bottom"/>
          </w:tcPr>
          <w:p w:rsidR="0084545E" w:rsidRPr="007C2D51" w:rsidRDefault="0084545E">
            <w:pPr>
              <w:jc w:val="right"/>
              <w:cnfStyle w:val="000000000000"/>
              <w:rPr>
                <w:rFonts w:cs="Calibri"/>
                <w:color w:val="000000"/>
              </w:rPr>
            </w:pPr>
            <w:r w:rsidRPr="007C2D51">
              <w:rPr>
                <w:rFonts w:cs="Calibri"/>
                <w:color w:val="000000"/>
              </w:rPr>
              <w:t>0%</w:t>
            </w:r>
          </w:p>
        </w:tc>
        <w:tc>
          <w:tcPr>
            <w:tcW w:w="472" w:type="pct"/>
            <w:noWrap/>
            <w:vAlign w:val="bottom"/>
          </w:tcPr>
          <w:p w:rsidR="0084545E" w:rsidRPr="007C2D51" w:rsidRDefault="0084545E">
            <w:pPr>
              <w:jc w:val="right"/>
              <w:cnfStyle w:val="000000000000"/>
              <w:rPr>
                <w:rFonts w:cs="Calibri"/>
                <w:color w:val="000000"/>
              </w:rPr>
            </w:pPr>
            <w:r w:rsidRPr="007C2D51">
              <w:rPr>
                <w:rFonts w:cs="Calibri"/>
                <w:color w:val="000000"/>
              </w:rPr>
              <w:t>0%</w:t>
            </w:r>
          </w:p>
        </w:tc>
      </w:tr>
      <w:tr w:rsidR="0084545E" w:rsidRPr="007C2D51" w:rsidTr="00F15767">
        <w:trPr>
          <w:cnfStyle w:val="000000100000"/>
          <w:trHeight w:val="300"/>
        </w:trPr>
        <w:tc>
          <w:tcPr>
            <w:cnfStyle w:val="001000000000"/>
            <w:tcW w:w="1929" w:type="pct"/>
            <w:tcBorders>
              <w:top w:val="none" w:sz="0" w:space="0" w:color="auto"/>
              <w:left w:val="none" w:sz="0" w:space="0" w:color="auto"/>
              <w:bottom w:val="none" w:sz="0" w:space="0" w:color="auto"/>
            </w:tcBorders>
            <w:noWrap/>
            <w:vAlign w:val="bottom"/>
          </w:tcPr>
          <w:p w:rsidR="0084545E" w:rsidRPr="007C2D51" w:rsidRDefault="0084545E" w:rsidP="001A78A8">
            <w:r w:rsidRPr="007C2D51">
              <w:t>Internet-based information</w:t>
            </w:r>
          </w:p>
        </w:tc>
        <w:tc>
          <w:tcPr>
            <w:tcW w:w="354" w:type="pct"/>
            <w:tcBorders>
              <w:top w:val="none" w:sz="0" w:space="0" w:color="auto"/>
              <w:bottom w:val="none" w:sz="0" w:space="0" w:color="auto"/>
            </w:tcBorders>
            <w:vAlign w:val="bottom"/>
          </w:tcPr>
          <w:p w:rsidR="0084545E" w:rsidRPr="007C2D51" w:rsidRDefault="0084545E" w:rsidP="001A78A8">
            <w:pPr>
              <w:jc w:val="right"/>
              <w:cnfStyle w:val="000000100000"/>
              <w:rPr>
                <w:rFonts w:cs="Calibri"/>
                <w:color w:val="000000"/>
              </w:rPr>
            </w:pPr>
            <w:r w:rsidRPr="007C2D51">
              <w:rPr>
                <w:rFonts w:cs="Calibri"/>
                <w:color w:val="000000"/>
              </w:rPr>
              <w:t>3</w:t>
            </w:r>
          </w:p>
        </w:tc>
        <w:tc>
          <w:tcPr>
            <w:tcW w:w="751" w:type="pct"/>
            <w:tcBorders>
              <w:top w:val="none" w:sz="0" w:space="0" w:color="auto"/>
              <w:bottom w:val="none" w:sz="0" w:space="0" w:color="auto"/>
            </w:tcBorders>
            <w:noWrap/>
            <w:vAlign w:val="bottom"/>
          </w:tcPr>
          <w:p w:rsidR="0084545E" w:rsidRPr="007C2D51" w:rsidRDefault="0084545E">
            <w:pPr>
              <w:jc w:val="right"/>
              <w:cnfStyle w:val="000000100000"/>
              <w:rPr>
                <w:rFonts w:cs="Calibri"/>
                <w:color w:val="000000"/>
              </w:rPr>
            </w:pPr>
            <w:r w:rsidRPr="007C2D51">
              <w:rPr>
                <w:rFonts w:cs="Calibri"/>
                <w:color w:val="000000"/>
              </w:rPr>
              <w:t>0%</w:t>
            </w:r>
          </w:p>
        </w:tc>
        <w:tc>
          <w:tcPr>
            <w:tcW w:w="816" w:type="pct"/>
            <w:tcBorders>
              <w:top w:val="none" w:sz="0" w:space="0" w:color="auto"/>
              <w:bottom w:val="none" w:sz="0" w:space="0" w:color="auto"/>
            </w:tcBorders>
            <w:noWrap/>
            <w:vAlign w:val="bottom"/>
          </w:tcPr>
          <w:p w:rsidR="0084545E" w:rsidRPr="007C2D51" w:rsidRDefault="0084545E">
            <w:pPr>
              <w:jc w:val="right"/>
              <w:cnfStyle w:val="000000100000"/>
              <w:rPr>
                <w:rFonts w:cs="Calibri"/>
                <w:color w:val="000000"/>
              </w:rPr>
            </w:pPr>
            <w:r w:rsidRPr="007C2D51">
              <w:rPr>
                <w:rFonts w:cs="Calibri"/>
                <w:color w:val="000000"/>
              </w:rPr>
              <w:t>0%</w:t>
            </w:r>
          </w:p>
        </w:tc>
        <w:tc>
          <w:tcPr>
            <w:tcW w:w="677" w:type="pct"/>
            <w:tcBorders>
              <w:top w:val="none" w:sz="0" w:space="0" w:color="auto"/>
              <w:bottom w:val="none" w:sz="0" w:space="0" w:color="auto"/>
            </w:tcBorders>
            <w:noWrap/>
            <w:vAlign w:val="bottom"/>
          </w:tcPr>
          <w:p w:rsidR="0084545E" w:rsidRPr="007C2D51" w:rsidRDefault="0084545E">
            <w:pPr>
              <w:jc w:val="right"/>
              <w:cnfStyle w:val="000000100000"/>
              <w:rPr>
                <w:rFonts w:cs="Calibri"/>
                <w:color w:val="000000"/>
              </w:rPr>
            </w:pPr>
            <w:r w:rsidRPr="007C2D51">
              <w:rPr>
                <w:rFonts w:cs="Calibri"/>
                <w:color w:val="000000"/>
              </w:rPr>
              <w:t>0%</w:t>
            </w:r>
          </w:p>
        </w:tc>
        <w:tc>
          <w:tcPr>
            <w:tcW w:w="472" w:type="pct"/>
            <w:tcBorders>
              <w:top w:val="none" w:sz="0" w:space="0" w:color="auto"/>
              <w:bottom w:val="none" w:sz="0" w:space="0" w:color="auto"/>
              <w:right w:val="none" w:sz="0" w:space="0" w:color="auto"/>
            </w:tcBorders>
            <w:noWrap/>
            <w:vAlign w:val="bottom"/>
          </w:tcPr>
          <w:p w:rsidR="0084545E" w:rsidRPr="007C2D51" w:rsidRDefault="0084545E">
            <w:pPr>
              <w:jc w:val="right"/>
              <w:cnfStyle w:val="000000100000"/>
              <w:rPr>
                <w:rFonts w:cs="Calibri"/>
                <w:color w:val="000000"/>
              </w:rPr>
            </w:pPr>
            <w:r w:rsidRPr="007C2D51">
              <w:rPr>
                <w:rFonts w:cs="Calibri"/>
                <w:color w:val="000000"/>
              </w:rPr>
              <w:t>0%</w:t>
            </w:r>
          </w:p>
        </w:tc>
      </w:tr>
      <w:tr w:rsidR="0084545E" w:rsidRPr="007C2D51" w:rsidTr="00F15767">
        <w:trPr>
          <w:trHeight w:val="300"/>
        </w:trPr>
        <w:tc>
          <w:tcPr>
            <w:cnfStyle w:val="001000000000"/>
            <w:tcW w:w="1929" w:type="pct"/>
            <w:shd w:val="clear" w:color="auto" w:fill="475A8D" w:themeFill="accent6"/>
            <w:noWrap/>
            <w:vAlign w:val="bottom"/>
          </w:tcPr>
          <w:p w:rsidR="0084545E" w:rsidRPr="007C2D51" w:rsidRDefault="0084545E" w:rsidP="001A78A8">
            <w:pPr>
              <w:rPr>
                <w:color w:val="FFFFFF" w:themeColor="background1"/>
              </w:rPr>
            </w:pPr>
            <w:r w:rsidRPr="007C2D51">
              <w:rPr>
                <w:color w:val="FFFFFF" w:themeColor="background1"/>
              </w:rPr>
              <w:t>Capital Investment Projects</w:t>
            </w:r>
          </w:p>
        </w:tc>
        <w:tc>
          <w:tcPr>
            <w:tcW w:w="354" w:type="pct"/>
            <w:shd w:val="clear" w:color="auto" w:fill="475A8D" w:themeFill="accent6"/>
            <w:vAlign w:val="bottom"/>
          </w:tcPr>
          <w:p w:rsidR="0084545E" w:rsidRPr="007C2D51" w:rsidRDefault="0084545E" w:rsidP="001A78A8">
            <w:pPr>
              <w:jc w:val="right"/>
              <w:cnfStyle w:val="000000000000"/>
              <w:rPr>
                <w:rFonts w:cs="Calibri"/>
                <w:b/>
                <w:bCs/>
                <w:color w:val="FFFFFF" w:themeColor="background1"/>
              </w:rPr>
            </w:pPr>
            <w:r w:rsidRPr="007C2D51">
              <w:rPr>
                <w:rFonts w:cs="Calibri"/>
                <w:b/>
                <w:bCs/>
                <w:color w:val="FFFFFF" w:themeColor="background1"/>
              </w:rPr>
              <w:t>83</w:t>
            </w:r>
          </w:p>
        </w:tc>
        <w:tc>
          <w:tcPr>
            <w:tcW w:w="751" w:type="pct"/>
            <w:shd w:val="clear" w:color="auto" w:fill="475A8D" w:themeFill="accent6"/>
            <w:noWrap/>
            <w:vAlign w:val="bottom"/>
          </w:tcPr>
          <w:p w:rsidR="0084545E" w:rsidRPr="007C2D51" w:rsidRDefault="0084545E">
            <w:pPr>
              <w:jc w:val="right"/>
              <w:cnfStyle w:val="000000000000"/>
              <w:rPr>
                <w:rFonts w:cs="Calibri"/>
                <w:b/>
                <w:bCs/>
                <w:color w:val="FFFFFF" w:themeColor="background1"/>
              </w:rPr>
            </w:pPr>
            <w:r w:rsidRPr="007C2D51">
              <w:rPr>
                <w:rFonts w:cs="Calibri"/>
                <w:b/>
                <w:bCs/>
                <w:color w:val="FFFFFF" w:themeColor="background1"/>
              </w:rPr>
              <w:t>8%</w:t>
            </w:r>
          </w:p>
        </w:tc>
        <w:tc>
          <w:tcPr>
            <w:tcW w:w="816" w:type="pct"/>
            <w:shd w:val="clear" w:color="auto" w:fill="475A8D" w:themeFill="accent6"/>
            <w:noWrap/>
            <w:vAlign w:val="bottom"/>
          </w:tcPr>
          <w:p w:rsidR="0084545E" w:rsidRPr="007C2D51" w:rsidRDefault="0084545E">
            <w:pPr>
              <w:jc w:val="right"/>
              <w:cnfStyle w:val="000000000000"/>
              <w:rPr>
                <w:rFonts w:cs="Calibri"/>
                <w:b/>
                <w:bCs/>
                <w:color w:val="FFFFFF" w:themeColor="background1"/>
              </w:rPr>
            </w:pPr>
            <w:r w:rsidRPr="007C2D51">
              <w:rPr>
                <w:rFonts w:cs="Calibri"/>
                <w:b/>
                <w:bCs/>
                <w:color w:val="FFFFFF" w:themeColor="background1"/>
              </w:rPr>
              <w:t>7%</w:t>
            </w:r>
          </w:p>
        </w:tc>
        <w:tc>
          <w:tcPr>
            <w:tcW w:w="677" w:type="pct"/>
            <w:shd w:val="clear" w:color="auto" w:fill="475A8D" w:themeFill="accent6"/>
            <w:noWrap/>
            <w:vAlign w:val="bottom"/>
          </w:tcPr>
          <w:p w:rsidR="0084545E" w:rsidRPr="007C2D51" w:rsidRDefault="0084545E">
            <w:pPr>
              <w:jc w:val="right"/>
              <w:cnfStyle w:val="000000000000"/>
              <w:rPr>
                <w:rFonts w:cs="Calibri"/>
                <w:b/>
                <w:bCs/>
                <w:color w:val="FFFFFF" w:themeColor="background1"/>
              </w:rPr>
            </w:pPr>
            <w:r w:rsidRPr="007C2D51">
              <w:rPr>
                <w:rFonts w:cs="Calibri"/>
                <w:b/>
                <w:bCs/>
                <w:color w:val="FFFFFF" w:themeColor="background1"/>
              </w:rPr>
              <w:t>10%</w:t>
            </w:r>
          </w:p>
        </w:tc>
        <w:tc>
          <w:tcPr>
            <w:tcW w:w="472" w:type="pct"/>
            <w:shd w:val="clear" w:color="auto" w:fill="475A8D" w:themeFill="accent6"/>
            <w:noWrap/>
            <w:vAlign w:val="bottom"/>
          </w:tcPr>
          <w:p w:rsidR="0084545E" w:rsidRPr="007C2D51" w:rsidRDefault="0084545E">
            <w:pPr>
              <w:jc w:val="right"/>
              <w:cnfStyle w:val="000000000000"/>
              <w:rPr>
                <w:rFonts w:cs="Calibri"/>
                <w:b/>
                <w:bCs/>
                <w:color w:val="FFFFFF" w:themeColor="background1"/>
              </w:rPr>
            </w:pPr>
            <w:r w:rsidRPr="007C2D51">
              <w:rPr>
                <w:rFonts w:cs="Calibri"/>
                <w:b/>
                <w:bCs/>
                <w:color w:val="FFFFFF" w:themeColor="background1"/>
              </w:rPr>
              <w:t>8%</w:t>
            </w:r>
          </w:p>
        </w:tc>
      </w:tr>
      <w:tr w:rsidR="0084545E" w:rsidRPr="007C2D51" w:rsidTr="00F15767">
        <w:trPr>
          <w:cnfStyle w:val="000000100000"/>
          <w:trHeight w:val="300"/>
        </w:trPr>
        <w:tc>
          <w:tcPr>
            <w:cnfStyle w:val="001000000000"/>
            <w:tcW w:w="1929" w:type="pct"/>
            <w:tcBorders>
              <w:top w:val="none" w:sz="0" w:space="0" w:color="auto"/>
              <w:left w:val="none" w:sz="0" w:space="0" w:color="auto"/>
              <w:bottom w:val="none" w:sz="0" w:space="0" w:color="auto"/>
            </w:tcBorders>
            <w:noWrap/>
            <w:vAlign w:val="bottom"/>
          </w:tcPr>
          <w:p w:rsidR="0084545E" w:rsidRPr="007C2D51" w:rsidRDefault="0084545E" w:rsidP="001A78A8">
            <w:r w:rsidRPr="007C2D51">
              <w:t>Vehicle for agency</w:t>
            </w:r>
          </w:p>
        </w:tc>
        <w:tc>
          <w:tcPr>
            <w:tcW w:w="354" w:type="pct"/>
            <w:tcBorders>
              <w:top w:val="none" w:sz="0" w:space="0" w:color="auto"/>
              <w:bottom w:val="none" w:sz="0" w:space="0" w:color="auto"/>
            </w:tcBorders>
            <w:vAlign w:val="bottom"/>
          </w:tcPr>
          <w:p w:rsidR="0084545E" w:rsidRPr="007C2D51" w:rsidRDefault="0084545E" w:rsidP="001A78A8">
            <w:pPr>
              <w:jc w:val="right"/>
              <w:cnfStyle w:val="000000100000"/>
              <w:rPr>
                <w:rFonts w:cs="Calibri"/>
                <w:color w:val="000000"/>
              </w:rPr>
            </w:pPr>
            <w:r w:rsidRPr="007C2D51">
              <w:rPr>
                <w:rFonts w:cs="Calibri"/>
                <w:color w:val="000000"/>
              </w:rPr>
              <w:t>32</w:t>
            </w:r>
          </w:p>
        </w:tc>
        <w:tc>
          <w:tcPr>
            <w:tcW w:w="751" w:type="pct"/>
            <w:tcBorders>
              <w:top w:val="none" w:sz="0" w:space="0" w:color="auto"/>
              <w:bottom w:val="none" w:sz="0" w:space="0" w:color="auto"/>
            </w:tcBorders>
            <w:noWrap/>
            <w:vAlign w:val="bottom"/>
          </w:tcPr>
          <w:p w:rsidR="0084545E" w:rsidRPr="007C2D51" w:rsidRDefault="0084545E">
            <w:pPr>
              <w:jc w:val="right"/>
              <w:cnfStyle w:val="000000100000"/>
              <w:rPr>
                <w:rFonts w:cs="Calibri"/>
                <w:color w:val="000000"/>
              </w:rPr>
            </w:pPr>
            <w:r w:rsidRPr="007C2D51">
              <w:rPr>
                <w:rFonts w:cs="Calibri"/>
                <w:color w:val="000000"/>
              </w:rPr>
              <w:t>2%</w:t>
            </w:r>
          </w:p>
        </w:tc>
        <w:tc>
          <w:tcPr>
            <w:tcW w:w="816" w:type="pct"/>
            <w:tcBorders>
              <w:top w:val="none" w:sz="0" w:space="0" w:color="auto"/>
              <w:bottom w:val="none" w:sz="0" w:space="0" w:color="auto"/>
            </w:tcBorders>
            <w:noWrap/>
            <w:vAlign w:val="bottom"/>
          </w:tcPr>
          <w:p w:rsidR="0084545E" w:rsidRPr="007C2D51" w:rsidRDefault="0084545E">
            <w:pPr>
              <w:jc w:val="right"/>
              <w:cnfStyle w:val="000000100000"/>
              <w:rPr>
                <w:rFonts w:cs="Calibri"/>
                <w:color w:val="000000"/>
              </w:rPr>
            </w:pPr>
            <w:r w:rsidRPr="007C2D51">
              <w:rPr>
                <w:rFonts w:cs="Calibri"/>
                <w:color w:val="000000"/>
              </w:rPr>
              <w:t>2%</w:t>
            </w:r>
          </w:p>
        </w:tc>
        <w:tc>
          <w:tcPr>
            <w:tcW w:w="677" w:type="pct"/>
            <w:tcBorders>
              <w:top w:val="none" w:sz="0" w:space="0" w:color="auto"/>
              <w:bottom w:val="none" w:sz="0" w:space="0" w:color="auto"/>
            </w:tcBorders>
            <w:noWrap/>
            <w:vAlign w:val="bottom"/>
          </w:tcPr>
          <w:p w:rsidR="0084545E" w:rsidRPr="007C2D51" w:rsidRDefault="0084545E">
            <w:pPr>
              <w:jc w:val="right"/>
              <w:cnfStyle w:val="000000100000"/>
              <w:rPr>
                <w:rFonts w:cs="Calibri"/>
                <w:color w:val="000000"/>
              </w:rPr>
            </w:pPr>
            <w:r w:rsidRPr="007C2D51">
              <w:rPr>
                <w:rFonts w:cs="Calibri"/>
                <w:color w:val="000000"/>
              </w:rPr>
              <w:t>5%</w:t>
            </w:r>
          </w:p>
        </w:tc>
        <w:tc>
          <w:tcPr>
            <w:tcW w:w="472" w:type="pct"/>
            <w:tcBorders>
              <w:top w:val="none" w:sz="0" w:space="0" w:color="auto"/>
              <w:bottom w:val="none" w:sz="0" w:space="0" w:color="auto"/>
              <w:right w:val="none" w:sz="0" w:space="0" w:color="auto"/>
            </w:tcBorders>
            <w:noWrap/>
            <w:vAlign w:val="bottom"/>
          </w:tcPr>
          <w:p w:rsidR="0084545E" w:rsidRPr="007C2D51" w:rsidRDefault="0084545E">
            <w:pPr>
              <w:jc w:val="right"/>
              <w:cnfStyle w:val="000000100000"/>
              <w:rPr>
                <w:rFonts w:cs="Calibri"/>
                <w:color w:val="000000"/>
              </w:rPr>
            </w:pPr>
            <w:r w:rsidRPr="007C2D51">
              <w:rPr>
                <w:rFonts w:cs="Calibri"/>
                <w:color w:val="000000"/>
              </w:rPr>
              <w:t>3%</w:t>
            </w:r>
          </w:p>
        </w:tc>
      </w:tr>
      <w:tr w:rsidR="0084545E" w:rsidRPr="007C2D51" w:rsidTr="00F15767">
        <w:trPr>
          <w:trHeight w:val="300"/>
        </w:trPr>
        <w:tc>
          <w:tcPr>
            <w:cnfStyle w:val="001000000000"/>
            <w:tcW w:w="1929" w:type="pct"/>
            <w:noWrap/>
            <w:vAlign w:val="bottom"/>
          </w:tcPr>
          <w:p w:rsidR="0084545E" w:rsidRPr="007C2D51" w:rsidRDefault="0084545E" w:rsidP="001A78A8">
            <w:r w:rsidRPr="007C2D51">
              <w:t>Vehicle for individual</w:t>
            </w:r>
          </w:p>
        </w:tc>
        <w:tc>
          <w:tcPr>
            <w:tcW w:w="354" w:type="pct"/>
            <w:vAlign w:val="bottom"/>
          </w:tcPr>
          <w:p w:rsidR="0084545E" w:rsidRPr="007C2D51" w:rsidRDefault="0084545E" w:rsidP="001A78A8">
            <w:pPr>
              <w:jc w:val="right"/>
              <w:cnfStyle w:val="000000000000"/>
              <w:rPr>
                <w:rFonts w:cs="Calibri"/>
                <w:color w:val="000000"/>
              </w:rPr>
            </w:pPr>
            <w:r w:rsidRPr="007C2D51">
              <w:rPr>
                <w:rFonts w:cs="Calibri"/>
                <w:color w:val="000000"/>
              </w:rPr>
              <w:t>31</w:t>
            </w:r>
          </w:p>
        </w:tc>
        <w:tc>
          <w:tcPr>
            <w:tcW w:w="751" w:type="pct"/>
            <w:noWrap/>
            <w:vAlign w:val="bottom"/>
          </w:tcPr>
          <w:p w:rsidR="0084545E" w:rsidRPr="007C2D51" w:rsidRDefault="0084545E">
            <w:pPr>
              <w:jc w:val="right"/>
              <w:cnfStyle w:val="000000000000"/>
              <w:rPr>
                <w:rFonts w:cs="Calibri"/>
                <w:color w:val="000000"/>
              </w:rPr>
            </w:pPr>
            <w:r w:rsidRPr="007C2D51">
              <w:rPr>
                <w:rFonts w:cs="Calibri"/>
                <w:color w:val="000000"/>
              </w:rPr>
              <w:t>3%</w:t>
            </w:r>
          </w:p>
        </w:tc>
        <w:tc>
          <w:tcPr>
            <w:tcW w:w="816" w:type="pct"/>
            <w:noWrap/>
            <w:vAlign w:val="bottom"/>
          </w:tcPr>
          <w:p w:rsidR="0084545E" w:rsidRPr="007C2D51" w:rsidRDefault="0084545E">
            <w:pPr>
              <w:jc w:val="right"/>
              <w:cnfStyle w:val="000000000000"/>
              <w:rPr>
                <w:rFonts w:cs="Calibri"/>
                <w:color w:val="000000"/>
              </w:rPr>
            </w:pPr>
            <w:r w:rsidRPr="007C2D51">
              <w:rPr>
                <w:rFonts w:cs="Calibri"/>
                <w:color w:val="000000"/>
              </w:rPr>
              <w:t>3%</w:t>
            </w:r>
          </w:p>
        </w:tc>
        <w:tc>
          <w:tcPr>
            <w:tcW w:w="677" w:type="pct"/>
            <w:noWrap/>
            <w:vAlign w:val="bottom"/>
          </w:tcPr>
          <w:p w:rsidR="0084545E" w:rsidRPr="007C2D51" w:rsidRDefault="0084545E">
            <w:pPr>
              <w:jc w:val="right"/>
              <w:cnfStyle w:val="000000000000"/>
              <w:rPr>
                <w:rFonts w:cs="Calibri"/>
                <w:color w:val="000000"/>
              </w:rPr>
            </w:pPr>
            <w:r w:rsidRPr="007C2D51">
              <w:rPr>
                <w:rFonts w:cs="Calibri"/>
                <w:color w:val="000000"/>
              </w:rPr>
              <w:t>4%</w:t>
            </w:r>
          </w:p>
        </w:tc>
        <w:tc>
          <w:tcPr>
            <w:tcW w:w="472" w:type="pct"/>
            <w:noWrap/>
            <w:vAlign w:val="bottom"/>
          </w:tcPr>
          <w:p w:rsidR="0084545E" w:rsidRPr="007C2D51" w:rsidRDefault="0084545E">
            <w:pPr>
              <w:jc w:val="right"/>
              <w:cnfStyle w:val="000000000000"/>
              <w:rPr>
                <w:rFonts w:cs="Calibri"/>
                <w:color w:val="000000"/>
              </w:rPr>
            </w:pPr>
            <w:r w:rsidRPr="007C2D51">
              <w:rPr>
                <w:rFonts w:cs="Calibri"/>
                <w:color w:val="000000"/>
              </w:rPr>
              <w:t>3%</w:t>
            </w:r>
          </w:p>
        </w:tc>
      </w:tr>
      <w:tr w:rsidR="0084545E" w:rsidRPr="007C2D51" w:rsidTr="00F15767">
        <w:trPr>
          <w:cnfStyle w:val="000000100000"/>
          <w:trHeight w:val="300"/>
        </w:trPr>
        <w:tc>
          <w:tcPr>
            <w:cnfStyle w:val="001000000000"/>
            <w:tcW w:w="1929" w:type="pct"/>
            <w:tcBorders>
              <w:top w:val="none" w:sz="0" w:space="0" w:color="auto"/>
              <w:left w:val="none" w:sz="0" w:space="0" w:color="auto"/>
              <w:bottom w:val="none" w:sz="0" w:space="0" w:color="auto"/>
            </w:tcBorders>
            <w:noWrap/>
            <w:vAlign w:val="bottom"/>
          </w:tcPr>
          <w:p w:rsidR="0084545E" w:rsidRPr="007C2D51" w:rsidRDefault="0084545E" w:rsidP="001A78A8">
            <w:r w:rsidRPr="007C2D51">
              <w:t>ITS investments</w:t>
            </w:r>
          </w:p>
        </w:tc>
        <w:tc>
          <w:tcPr>
            <w:tcW w:w="354" w:type="pct"/>
            <w:tcBorders>
              <w:top w:val="none" w:sz="0" w:space="0" w:color="auto"/>
              <w:bottom w:val="none" w:sz="0" w:space="0" w:color="auto"/>
            </w:tcBorders>
            <w:vAlign w:val="bottom"/>
          </w:tcPr>
          <w:p w:rsidR="0084545E" w:rsidRPr="007C2D51" w:rsidRDefault="0084545E" w:rsidP="001A78A8">
            <w:pPr>
              <w:jc w:val="right"/>
              <w:cnfStyle w:val="000000100000"/>
              <w:rPr>
                <w:rFonts w:cs="Calibri"/>
                <w:color w:val="000000"/>
              </w:rPr>
            </w:pPr>
            <w:r w:rsidRPr="007C2D51">
              <w:rPr>
                <w:rFonts w:cs="Calibri"/>
                <w:color w:val="000000"/>
              </w:rPr>
              <w:t>12</w:t>
            </w:r>
          </w:p>
        </w:tc>
        <w:tc>
          <w:tcPr>
            <w:tcW w:w="751" w:type="pct"/>
            <w:tcBorders>
              <w:top w:val="none" w:sz="0" w:space="0" w:color="auto"/>
              <w:bottom w:val="none" w:sz="0" w:space="0" w:color="auto"/>
            </w:tcBorders>
            <w:noWrap/>
            <w:vAlign w:val="bottom"/>
          </w:tcPr>
          <w:p w:rsidR="0084545E" w:rsidRPr="007C2D51" w:rsidRDefault="0084545E">
            <w:pPr>
              <w:jc w:val="right"/>
              <w:cnfStyle w:val="000000100000"/>
              <w:rPr>
                <w:rFonts w:cs="Calibri"/>
                <w:color w:val="000000"/>
              </w:rPr>
            </w:pPr>
            <w:r w:rsidRPr="007C2D51">
              <w:rPr>
                <w:rFonts w:cs="Calibri"/>
                <w:color w:val="000000"/>
              </w:rPr>
              <w:t>0%</w:t>
            </w:r>
          </w:p>
        </w:tc>
        <w:tc>
          <w:tcPr>
            <w:tcW w:w="816" w:type="pct"/>
            <w:tcBorders>
              <w:top w:val="none" w:sz="0" w:space="0" w:color="auto"/>
              <w:bottom w:val="none" w:sz="0" w:space="0" w:color="auto"/>
            </w:tcBorders>
            <w:noWrap/>
            <w:vAlign w:val="bottom"/>
          </w:tcPr>
          <w:p w:rsidR="0084545E" w:rsidRPr="007C2D51" w:rsidRDefault="0084545E">
            <w:pPr>
              <w:jc w:val="right"/>
              <w:cnfStyle w:val="000000100000"/>
              <w:rPr>
                <w:rFonts w:cs="Calibri"/>
                <w:color w:val="000000"/>
              </w:rPr>
            </w:pPr>
            <w:r w:rsidRPr="007C2D51">
              <w:rPr>
                <w:rFonts w:cs="Calibri"/>
                <w:color w:val="000000"/>
              </w:rPr>
              <w:t>0%</w:t>
            </w:r>
          </w:p>
        </w:tc>
        <w:tc>
          <w:tcPr>
            <w:tcW w:w="677" w:type="pct"/>
            <w:tcBorders>
              <w:top w:val="none" w:sz="0" w:space="0" w:color="auto"/>
              <w:bottom w:val="none" w:sz="0" w:space="0" w:color="auto"/>
            </w:tcBorders>
            <w:noWrap/>
            <w:vAlign w:val="bottom"/>
          </w:tcPr>
          <w:p w:rsidR="0084545E" w:rsidRPr="007C2D51" w:rsidRDefault="0084545E">
            <w:pPr>
              <w:jc w:val="right"/>
              <w:cnfStyle w:val="000000100000"/>
              <w:rPr>
                <w:rFonts w:cs="Calibri"/>
                <w:color w:val="000000"/>
              </w:rPr>
            </w:pPr>
            <w:r w:rsidRPr="007C2D51">
              <w:rPr>
                <w:rFonts w:cs="Calibri"/>
                <w:color w:val="000000"/>
              </w:rPr>
              <w:t>0%</w:t>
            </w:r>
          </w:p>
        </w:tc>
        <w:tc>
          <w:tcPr>
            <w:tcW w:w="472" w:type="pct"/>
            <w:tcBorders>
              <w:top w:val="none" w:sz="0" w:space="0" w:color="auto"/>
              <w:bottom w:val="none" w:sz="0" w:space="0" w:color="auto"/>
              <w:right w:val="none" w:sz="0" w:space="0" w:color="auto"/>
            </w:tcBorders>
            <w:noWrap/>
            <w:vAlign w:val="bottom"/>
          </w:tcPr>
          <w:p w:rsidR="0084545E" w:rsidRPr="007C2D51" w:rsidRDefault="0084545E">
            <w:pPr>
              <w:jc w:val="right"/>
              <w:cnfStyle w:val="000000100000"/>
              <w:rPr>
                <w:rFonts w:cs="Calibri"/>
                <w:color w:val="000000"/>
              </w:rPr>
            </w:pPr>
            <w:r w:rsidRPr="007C2D51">
              <w:rPr>
                <w:rFonts w:cs="Calibri"/>
                <w:color w:val="000000"/>
              </w:rPr>
              <w:t>0%</w:t>
            </w:r>
          </w:p>
        </w:tc>
      </w:tr>
      <w:tr w:rsidR="0084545E" w:rsidRPr="007C2D51" w:rsidTr="00F15767">
        <w:trPr>
          <w:trHeight w:val="300"/>
        </w:trPr>
        <w:tc>
          <w:tcPr>
            <w:cnfStyle w:val="001000000000"/>
            <w:tcW w:w="1929" w:type="pct"/>
            <w:noWrap/>
            <w:vAlign w:val="bottom"/>
          </w:tcPr>
          <w:p w:rsidR="0084545E" w:rsidRPr="007C2D51" w:rsidRDefault="0084545E" w:rsidP="001A78A8">
            <w:r w:rsidRPr="007C2D51">
              <w:t>Vanpool vehicles</w:t>
            </w:r>
          </w:p>
        </w:tc>
        <w:tc>
          <w:tcPr>
            <w:tcW w:w="354" w:type="pct"/>
            <w:vAlign w:val="bottom"/>
          </w:tcPr>
          <w:p w:rsidR="0084545E" w:rsidRPr="007C2D51" w:rsidRDefault="0084545E" w:rsidP="001A78A8">
            <w:pPr>
              <w:jc w:val="right"/>
              <w:cnfStyle w:val="000000000000"/>
              <w:rPr>
                <w:rFonts w:cs="Calibri"/>
                <w:color w:val="000000"/>
              </w:rPr>
            </w:pPr>
            <w:r w:rsidRPr="007C2D51">
              <w:rPr>
                <w:rFonts w:cs="Calibri"/>
                <w:color w:val="000000"/>
              </w:rPr>
              <w:t>4</w:t>
            </w:r>
          </w:p>
        </w:tc>
        <w:tc>
          <w:tcPr>
            <w:tcW w:w="751" w:type="pct"/>
            <w:noWrap/>
            <w:vAlign w:val="bottom"/>
          </w:tcPr>
          <w:p w:rsidR="0084545E" w:rsidRPr="007C2D51" w:rsidRDefault="0084545E">
            <w:pPr>
              <w:jc w:val="right"/>
              <w:cnfStyle w:val="000000000000"/>
              <w:rPr>
                <w:rFonts w:cs="Calibri"/>
                <w:color w:val="000000"/>
              </w:rPr>
            </w:pPr>
            <w:r w:rsidRPr="007C2D51">
              <w:rPr>
                <w:rFonts w:cs="Calibri"/>
                <w:color w:val="000000"/>
              </w:rPr>
              <w:t>2%</w:t>
            </w:r>
          </w:p>
        </w:tc>
        <w:tc>
          <w:tcPr>
            <w:tcW w:w="816" w:type="pct"/>
            <w:noWrap/>
            <w:vAlign w:val="bottom"/>
          </w:tcPr>
          <w:p w:rsidR="0084545E" w:rsidRPr="007C2D51" w:rsidRDefault="0084545E">
            <w:pPr>
              <w:jc w:val="right"/>
              <w:cnfStyle w:val="000000000000"/>
              <w:rPr>
                <w:rFonts w:cs="Calibri"/>
                <w:color w:val="000000"/>
              </w:rPr>
            </w:pPr>
            <w:r w:rsidRPr="007C2D51">
              <w:rPr>
                <w:rFonts w:cs="Calibri"/>
                <w:color w:val="000000"/>
              </w:rPr>
              <w:t>1%</w:t>
            </w:r>
          </w:p>
        </w:tc>
        <w:tc>
          <w:tcPr>
            <w:tcW w:w="677" w:type="pct"/>
            <w:noWrap/>
            <w:vAlign w:val="bottom"/>
          </w:tcPr>
          <w:p w:rsidR="0084545E" w:rsidRPr="007C2D51" w:rsidRDefault="0084545E">
            <w:pPr>
              <w:jc w:val="right"/>
              <w:cnfStyle w:val="000000000000"/>
              <w:rPr>
                <w:rFonts w:cs="Calibri"/>
                <w:color w:val="000000"/>
              </w:rPr>
            </w:pPr>
            <w:r w:rsidRPr="007C2D51">
              <w:rPr>
                <w:rFonts w:cs="Calibri"/>
                <w:color w:val="000000"/>
              </w:rPr>
              <w:t>1%</w:t>
            </w:r>
          </w:p>
        </w:tc>
        <w:tc>
          <w:tcPr>
            <w:tcW w:w="472" w:type="pct"/>
            <w:noWrap/>
            <w:vAlign w:val="bottom"/>
          </w:tcPr>
          <w:p w:rsidR="0084545E" w:rsidRPr="007C2D51" w:rsidRDefault="0084545E">
            <w:pPr>
              <w:jc w:val="right"/>
              <w:cnfStyle w:val="000000000000"/>
              <w:rPr>
                <w:rFonts w:cs="Calibri"/>
                <w:color w:val="000000"/>
              </w:rPr>
            </w:pPr>
            <w:r w:rsidRPr="007C2D51">
              <w:rPr>
                <w:rFonts w:cs="Calibri"/>
                <w:color w:val="000000"/>
              </w:rPr>
              <w:t>1%</w:t>
            </w:r>
          </w:p>
        </w:tc>
      </w:tr>
      <w:tr w:rsidR="0084545E" w:rsidRPr="007C2D51" w:rsidTr="00F15767">
        <w:trPr>
          <w:cnfStyle w:val="000000100000"/>
          <w:trHeight w:val="300"/>
        </w:trPr>
        <w:tc>
          <w:tcPr>
            <w:cnfStyle w:val="001000000000"/>
            <w:tcW w:w="1929" w:type="pct"/>
            <w:tcBorders>
              <w:top w:val="none" w:sz="0" w:space="0" w:color="auto"/>
              <w:left w:val="none" w:sz="0" w:space="0" w:color="auto"/>
              <w:bottom w:val="none" w:sz="0" w:space="0" w:color="auto"/>
            </w:tcBorders>
            <w:noWrap/>
            <w:vAlign w:val="bottom"/>
          </w:tcPr>
          <w:p w:rsidR="0084545E" w:rsidRPr="007C2D51" w:rsidRDefault="0084545E" w:rsidP="001A78A8">
            <w:r w:rsidRPr="007C2D51">
              <w:t>Other capital projects</w:t>
            </w:r>
          </w:p>
        </w:tc>
        <w:tc>
          <w:tcPr>
            <w:tcW w:w="354" w:type="pct"/>
            <w:tcBorders>
              <w:top w:val="none" w:sz="0" w:space="0" w:color="auto"/>
              <w:bottom w:val="none" w:sz="0" w:space="0" w:color="auto"/>
            </w:tcBorders>
            <w:vAlign w:val="bottom"/>
          </w:tcPr>
          <w:p w:rsidR="0084545E" w:rsidRPr="007C2D51" w:rsidRDefault="0084545E" w:rsidP="001A78A8">
            <w:pPr>
              <w:jc w:val="right"/>
              <w:cnfStyle w:val="000000100000"/>
              <w:rPr>
                <w:rFonts w:cs="Calibri"/>
                <w:color w:val="000000"/>
              </w:rPr>
            </w:pPr>
            <w:r w:rsidRPr="007C2D51">
              <w:rPr>
                <w:rFonts w:cs="Calibri"/>
                <w:color w:val="000000"/>
              </w:rPr>
              <w:t>3</w:t>
            </w:r>
          </w:p>
        </w:tc>
        <w:tc>
          <w:tcPr>
            <w:tcW w:w="751" w:type="pct"/>
            <w:tcBorders>
              <w:top w:val="none" w:sz="0" w:space="0" w:color="auto"/>
              <w:bottom w:val="none" w:sz="0" w:space="0" w:color="auto"/>
            </w:tcBorders>
            <w:noWrap/>
            <w:vAlign w:val="bottom"/>
          </w:tcPr>
          <w:p w:rsidR="0084545E" w:rsidRPr="007C2D51" w:rsidRDefault="0084545E">
            <w:pPr>
              <w:jc w:val="right"/>
              <w:cnfStyle w:val="000000100000"/>
              <w:rPr>
                <w:rFonts w:cs="Calibri"/>
                <w:color w:val="000000"/>
              </w:rPr>
            </w:pPr>
            <w:r w:rsidRPr="007C2D51">
              <w:rPr>
                <w:rFonts w:cs="Calibri"/>
                <w:color w:val="000000"/>
              </w:rPr>
              <w:t>0%</w:t>
            </w:r>
          </w:p>
        </w:tc>
        <w:tc>
          <w:tcPr>
            <w:tcW w:w="816" w:type="pct"/>
            <w:tcBorders>
              <w:top w:val="none" w:sz="0" w:space="0" w:color="auto"/>
              <w:bottom w:val="none" w:sz="0" w:space="0" w:color="auto"/>
            </w:tcBorders>
            <w:noWrap/>
            <w:vAlign w:val="bottom"/>
          </w:tcPr>
          <w:p w:rsidR="0084545E" w:rsidRPr="007C2D51" w:rsidRDefault="0084545E">
            <w:pPr>
              <w:jc w:val="right"/>
              <w:cnfStyle w:val="000000100000"/>
              <w:rPr>
                <w:rFonts w:cs="Calibri"/>
                <w:color w:val="000000"/>
              </w:rPr>
            </w:pPr>
            <w:r w:rsidRPr="007C2D51">
              <w:rPr>
                <w:rFonts w:cs="Calibri"/>
                <w:color w:val="000000"/>
              </w:rPr>
              <w:t>0%</w:t>
            </w:r>
          </w:p>
        </w:tc>
        <w:tc>
          <w:tcPr>
            <w:tcW w:w="677" w:type="pct"/>
            <w:tcBorders>
              <w:top w:val="none" w:sz="0" w:space="0" w:color="auto"/>
              <w:bottom w:val="none" w:sz="0" w:space="0" w:color="auto"/>
            </w:tcBorders>
            <w:noWrap/>
            <w:vAlign w:val="bottom"/>
          </w:tcPr>
          <w:p w:rsidR="0084545E" w:rsidRPr="007C2D51" w:rsidRDefault="0084545E">
            <w:pPr>
              <w:jc w:val="right"/>
              <w:cnfStyle w:val="000000100000"/>
              <w:rPr>
                <w:rFonts w:cs="Calibri"/>
                <w:color w:val="000000"/>
              </w:rPr>
            </w:pPr>
            <w:r w:rsidRPr="007C2D51">
              <w:rPr>
                <w:rFonts w:cs="Calibri"/>
                <w:color w:val="000000"/>
              </w:rPr>
              <w:t>0%</w:t>
            </w:r>
          </w:p>
        </w:tc>
        <w:tc>
          <w:tcPr>
            <w:tcW w:w="472" w:type="pct"/>
            <w:tcBorders>
              <w:top w:val="none" w:sz="0" w:space="0" w:color="auto"/>
              <w:bottom w:val="none" w:sz="0" w:space="0" w:color="auto"/>
              <w:right w:val="none" w:sz="0" w:space="0" w:color="auto"/>
            </w:tcBorders>
            <w:noWrap/>
            <w:vAlign w:val="bottom"/>
          </w:tcPr>
          <w:p w:rsidR="0084545E" w:rsidRPr="007C2D51" w:rsidRDefault="0084545E">
            <w:pPr>
              <w:jc w:val="right"/>
              <w:cnfStyle w:val="000000100000"/>
              <w:rPr>
                <w:rFonts w:cs="Calibri"/>
                <w:color w:val="000000"/>
              </w:rPr>
            </w:pPr>
            <w:r w:rsidRPr="007C2D51">
              <w:rPr>
                <w:rFonts w:cs="Calibri"/>
                <w:color w:val="000000"/>
              </w:rPr>
              <w:t>0%</w:t>
            </w:r>
          </w:p>
        </w:tc>
      </w:tr>
      <w:tr w:rsidR="0084545E" w:rsidRPr="007C2D51" w:rsidTr="00F15767">
        <w:trPr>
          <w:trHeight w:val="300"/>
        </w:trPr>
        <w:tc>
          <w:tcPr>
            <w:cnfStyle w:val="001000000000"/>
            <w:tcW w:w="1929" w:type="pct"/>
            <w:noWrap/>
            <w:vAlign w:val="bottom"/>
          </w:tcPr>
          <w:p w:rsidR="0084545E" w:rsidRPr="007C2D51" w:rsidRDefault="0084545E" w:rsidP="001A78A8">
            <w:r w:rsidRPr="007C2D51">
              <w:t>Car-sharing</w:t>
            </w:r>
          </w:p>
        </w:tc>
        <w:tc>
          <w:tcPr>
            <w:tcW w:w="354" w:type="pct"/>
            <w:vAlign w:val="bottom"/>
          </w:tcPr>
          <w:p w:rsidR="0084545E" w:rsidRPr="007C2D51" w:rsidRDefault="0084545E" w:rsidP="001A78A8">
            <w:pPr>
              <w:jc w:val="right"/>
              <w:cnfStyle w:val="000000000000"/>
              <w:rPr>
                <w:rFonts w:cs="Calibri"/>
                <w:color w:val="000000"/>
              </w:rPr>
            </w:pPr>
            <w:r w:rsidRPr="007C2D51">
              <w:rPr>
                <w:rFonts w:cs="Calibri"/>
                <w:color w:val="000000"/>
              </w:rPr>
              <w:t>1</w:t>
            </w:r>
          </w:p>
        </w:tc>
        <w:tc>
          <w:tcPr>
            <w:tcW w:w="751" w:type="pct"/>
            <w:noWrap/>
            <w:vAlign w:val="bottom"/>
          </w:tcPr>
          <w:p w:rsidR="0084545E" w:rsidRPr="007C2D51" w:rsidRDefault="0084545E">
            <w:pPr>
              <w:jc w:val="right"/>
              <w:cnfStyle w:val="000000000000"/>
              <w:rPr>
                <w:rFonts w:cs="Calibri"/>
                <w:color w:val="000000"/>
              </w:rPr>
            </w:pPr>
            <w:r w:rsidRPr="007C2D51">
              <w:rPr>
                <w:rFonts w:cs="Calibri"/>
                <w:color w:val="000000"/>
              </w:rPr>
              <w:t>1%</w:t>
            </w:r>
          </w:p>
        </w:tc>
        <w:tc>
          <w:tcPr>
            <w:tcW w:w="816" w:type="pct"/>
            <w:noWrap/>
            <w:vAlign w:val="bottom"/>
          </w:tcPr>
          <w:p w:rsidR="0084545E" w:rsidRPr="007C2D51" w:rsidRDefault="0084545E">
            <w:pPr>
              <w:jc w:val="right"/>
              <w:cnfStyle w:val="000000000000"/>
              <w:rPr>
                <w:rFonts w:cs="Calibri"/>
                <w:color w:val="000000"/>
              </w:rPr>
            </w:pPr>
            <w:r w:rsidRPr="007C2D51">
              <w:rPr>
                <w:rFonts w:cs="Calibri"/>
                <w:color w:val="000000"/>
              </w:rPr>
              <w:t>0%</w:t>
            </w:r>
          </w:p>
        </w:tc>
        <w:tc>
          <w:tcPr>
            <w:tcW w:w="677" w:type="pct"/>
            <w:noWrap/>
            <w:vAlign w:val="bottom"/>
          </w:tcPr>
          <w:p w:rsidR="0084545E" w:rsidRPr="007C2D51" w:rsidRDefault="0084545E">
            <w:pPr>
              <w:jc w:val="right"/>
              <w:cnfStyle w:val="000000000000"/>
              <w:rPr>
                <w:rFonts w:cs="Calibri"/>
                <w:color w:val="000000"/>
              </w:rPr>
            </w:pPr>
            <w:r w:rsidRPr="007C2D51">
              <w:rPr>
                <w:rFonts w:cs="Calibri"/>
                <w:color w:val="000000"/>
              </w:rPr>
              <w:t>0%</w:t>
            </w:r>
          </w:p>
        </w:tc>
        <w:tc>
          <w:tcPr>
            <w:tcW w:w="472" w:type="pct"/>
            <w:noWrap/>
            <w:vAlign w:val="bottom"/>
          </w:tcPr>
          <w:p w:rsidR="0084545E" w:rsidRPr="007C2D51" w:rsidRDefault="0084545E">
            <w:pPr>
              <w:jc w:val="right"/>
              <w:cnfStyle w:val="000000000000"/>
              <w:rPr>
                <w:rFonts w:cs="Calibri"/>
                <w:color w:val="000000"/>
              </w:rPr>
            </w:pPr>
            <w:r w:rsidRPr="007C2D51">
              <w:rPr>
                <w:rFonts w:cs="Calibri"/>
                <w:color w:val="000000"/>
              </w:rPr>
              <w:t>0%</w:t>
            </w:r>
          </w:p>
        </w:tc>
      </w:tr>
      <w:tr w:rsidR="0084545E" w:rsidRPr="007C2D51" w:rsidTr="00F15767">
        <w:trPr>
          <w:cnfStyle w:val="000000100000"/>
          <w:trHeight w:val="300"/>
        </w:trPr>
        <w:tc>
          <w:tcPr>
            <w:cnfStyle w:val="001000000000"/>
            <w:tcW w:w="1929" w:type="pct"/>
            <w:tcBorders>
              <w:top w:val="none" w:sz="0" w:space="0" w:color="auto"/>
              <w:left w:val="none" w:sz="0" w:space="0" w:color="auto"/>
              <w:bottom w:val="none" w:sz="0" w:space="0" w:color="auto"/>
            </w:tcBorders>
            <w:shd w:val="clear" w:color="auto" w:fill="475A8D" w:themeFill="accent6"/>
            <w:noWrap/>
            <w:vAlign w:val="bottom"/>
          </w:tcPr>
          <w:p w:rsidR="0084545E" w:rsidRPr="007C2D51" w:rsidRDefault="0084545E" w:rsidP="001A78A8">
            <w:pPr>
              <w:rPr>
                <w:color w:val="FFFFFF" w:themeColor="background1"/>
              </w:rPr>
            </w:pPr>
            <w:r w:rsidRPr="007C2D51">
              <w:rPr>
                <w:color w:val="FFFFFF" w:themeColor="background1"/>
              </w:rPr>
              <w:t>Planning Projects</w:t>
            </w:r>
          </w:p>
        </w:tc>
        <w:tc>
          <w:tcPr>
            <w:tcW w:w="354" w:type="pct"/>
            <w:tcBorders>
              <w:top w:val="none" w:sz="0" w:space="0" w:color="auto"/>
              <w:bottom w:val="none" w:sz="0" w:space="0" w:color="auto"/>
            </w:tcBorders>
            <w:shd w:val="clear" w:color="auto" w:fill="475A8D" w:themeFill="accent6"/>
            <w:vAlign w:val="bottom"/>
          </w:tcPr>
          <w:p w:rsidR="0084545E" w:rsidRPr="007C2D51" w:rsidRDefault="0084545E" w:rsidP="001A78A8">
            <w:pPr>
              <w:jc w:val="right"/>
              <w:cnfStyle w:val="000000100000"/>
              <w:rPr>
                <w:rFonts w:cs="Calibri"/>
                <w:b/>
                <w:color w:val="FFFFFF" w:themeColor="background1"/>
              </w:rPr>
            </w:pPr>
            <w:r w:rsidRPr="007C2D51">
              <w:rPr>
                <w:rFonts w:cs="Calibri"/>
                <w:b/>
                <w:color w:val="FFFFFF" w:themeColor="background1"/>
              </w:rPr>
              <w:t>11</w:t>
            </w:r>
          </w:p>
        </w:tc>
        <w:tc>
          <w:tcPr>
            <w:tcW w:w="751" w:type="pct"/>
            <w:tcBorders>
              <w:top w:val="none" w:sz="0" w:space="0" w:color="auto"/>
              <w:bottom w:val="none" w:sz="0" w:space="0" w:color="auto"/>
            </w:tcBorders>
            <w:shd w:val="clear" w:color="auto" w:fill="475A8D" w:themeFill="accent6"/>
            <w:noWrap/>
            <w:vAlign w:val="bottom"/>
          </w:tcPr>
          <w:p w:rsidR="0084545E" w:rsidRPr="007C2D51" w:rsidRDefault="0084545E">
            <w:pPr>
              <w:jc w:val="right"/>
              <w:cnfStyle w:val="000000100000"/>
              <w:rPr>
                <w:rFonts w:cs="Calibri"/>
                <w:b/>
                <w:bCs/>
                <w:color w:val="FFFFFF" w:themeColor="background1"/>
              </w:rPr>
            </w:pPr>
            <w:r w:rsidRPr="007C2D51">
              <w:rPr>
                <w:rFonts w:cs="Calibri"/>
                <w:b/>
                <w:bCs/>
                <w:color w:val="FFFFFF" w:themeColor="background1"/>
              </w:rPr>
              <w:t>1%</w:t>
            </w:r>
          </w:p>
        </w:tc>
        <w:tc>
          <w:tcPr>
            <w:tcW w:w="816" w:type="pct"/>
            <w:tcBorders>
              <w:top w:val="none" w:sz="0" w:space="0" w:color="auto"/>
              <w:bottom w:val="none" w:sz="0" w:space="0" w:color="auto"/>
            </w:tcBorders>
            <w:shd w:val="clear" w:color="auto" w:fill="475A8D" w:themeFill="accent6"/>
            <w:noWrap/>
            <w:vAlign w:val="bottom"/>
          </w:tcPr>
          <w:p w:rsidR="0084545E" w:rsidRPr="007C2D51" w:rsidRDefault="0084545E">
            <w:pPr>
              <w:jc w:val="right"/>
              <w:cnfStyle w:val="000000100000"/>
              <w:rPr>
                <w:rFonts w:cs="Calibri"/>
                <w:b/>
                <w:bCs/>
                <w:color w:val="FFFFFF" w:themeColor="background1"/>
              </w:rPr>
            </w:pPr>
            <w:r w:rsidRPr="007C2D51">
              <w:rPr>
                <w:rFonts w:cs="Calibri"/>
                <w:b/>
                <w:bCs/>
                <w:color w:val="FFFFFF" w:themeColor="background1"/>
              </w:rPr>
              <w:t>1%</w:t>
            </w:r>
          </w:p>
        </w:tc>
        <w:tc>
          <w:tcPr>
            <w:tcW w:w="677" w:type="pct"/>
            <w:tcBorders>
              <w:top w:val="none" w:sz="0" w:space="0" w:color="auto"/>
              <w:bottom w:val="none" w:sz="0" w:space="0" w:color="auto"/>
            </w:tcBorders>
            <w:shd w:val="clear" w:color="auto" w:fill="475A8D" w:themeFill="accent6"/>
            <w:noWrap/>
            <w:vAlign w:val="bottom"/>
          </w:tcPr>
          <w:p w:rsidR="0084545E" w:rsidRPr="007C2D51" w:rsidRDefault="0084545E">
            <w:pPr>
              <w:jc w:val="right"/>
              <w:cnfStyle w:val="000000100000"/>
              <w:rPr>
                <w:rFonts w:cs="Calibri"/>
                <w:b/>
                <w:bCs/>
                <w:color w:val="FFFFFF" w:themeColor="background1"/>
              </w:rPr>
            </w:pPr>
            <w:r w:rsidRPr="007C2D51">
              <w:rPr>
                <w:rFonts w:cs="Calibri"/>
                <w:b/>
                <w:bCs/>
                <w:color w:val="FFFFFF" w:themeColor="background1"/>
              </w:rPr>
              <w:t>1%</w:t>
            </w:r>
          </w:p>
        </w:tc>
        <w:tc>
          <w:tcPr>
            <w:tcW w:w="472" w:type="pct"/>
            <w:tcBorders>
              <w:top w:val="none" w:sz="0" w:space="0" w:color="auto"/>
              <w:bottom w:val="none" w:sz="0" w:space="0" w:color="auto"/>
              <w:right w:val="none" w:sz="0" w:space="0" w:color="auto"/>
            </w:tcBorders>
            <w:shd w:val="clear" w:color="auto" w:fill="475A8D" w:themeFill="accent6"/>
            <w:noWrap/>
            <w:vAlign w:val="bottom"/>
          </w:tcPr>
          <w:p w:rsidR="0084545E" w:rsidRPr="007C2D51" w:rsidRDefault="0084545E">
            <w:pPr>
              <w:jc w:val="right"/>
              <w:cnfStyle w:val="000000100000"/>
              <w:rPr>
                <w:rFonts w:cs="Calibri"/>
                <w:b/>
                <w:bCs/>
                <w:color w:val="FFFFFF" w:themeColor="background1"/>
              </w:rPr>
            </w:pPr>
            <w:r w:rsidRPr="007C2D51">
              <w:rPr>
                <w:rFonts w:cs="Calibri"/>
                <w:b/>
                <w:bCs/>
                <w:color w:val="FFFFFF" w:themeColor="background1"/>
              </w:rPr>
              <w:t>1%</w:t>
            </w:r>
          </w:p>
        </w:tc>
      </w:tr>
      <w:tr w:rsidR="0084545E" w:rsidRPr="007C2D51" w:rsidTr="00F15767">
        <w:trPr>
          <w:trHeight w:val="300"/>
        </w:trPr>
        <w:tc>
          <w:tcPr>
            <w:cnfStyle w:val="001000000000"/>
            <w:tcW w:w="1929" w:type="pct"/>
            <w:shd w:val="clear" w:color="auto" w:fill="auto"/>
            <w:noWrap/>
            <w:vAlign w:val="bottom"/>
          </w:tcPr>
          <w:p w:rsidR="0084545E" w:rsidRPr="007C2D51" w:rsidRDefault="0084545E" w:rsidP="001A78A8">
            <w:r w:rsidRPr="007C2D51">
              <w:t>Feasibility studies</w:t>
            </w:r>
          </w:p>
        </w:tc>
        <w:tc>
          <w:tcPr>
            <w:tcW w:w="354" w:type="pct"/>
            <w:shd w:val="clear" w:color="auto" w:fill="auto"/>
            <w:vAlign w:val="bottom"/>
          </w:tcPr>
          <w:p w:rsidR="0084545E" w:rsidRPr="007C2D51" w:rsidRDefault="0084545E" w:rsidP="001A78A8">
            <w:pPr>
              <w:jc w:val="right"/>
              <w:cnfStyle w:val="000000000000"/>
              <w:rPr>
                <w:rFonts w:cs="Calibri"/>
                <w:color w:val="000000"/>
              </w:rPr>
            </w:pPr>
            <w:r w:rsidRPr="007C2D51">
              <w:rPr>
                <w:rFonts w:cs="Calibri"/>
                <w:color w:val="000000"/>
              </w:rPr>
              <w:t>11</w:t>
            </w:r>
          </w:p>
        </w:tc>
        <w:tc>
          <w:tcPr>
            <w:tcW w:w="751" w:type="pct"/>
            <w:shd w:val="clear" w:color="auto" w:fill="auto"/>
            <w:noWrap/>
            <w:vAlign w:val="bottom"/>
          </w:tcPr>
          <w:p w:rsidR="0084545E" w:rsidRPr="007C2D51" w:rsidRDefault="0084545E">
            <w:pPr>
              <w:jc w:val="right"/>
              <w:cnfStyle w:val="000000000000"/>
              <w:rPr>
                <w:rFonts w:cs="Calibri"/>
                <w:color w:val="000000"/>
              </w:rPr>
            </w:pPr>
            <w:r w:rsidRPr="007C2D51">
              <w:rPr>
                <w:rFonts w:cs="Calibri"/>
                <w:color w:val="000000"/>
              </w:rPr>
              <w:t>1%</w:t>
            </w:r>
          </w:p>
        </w:tc>
        <w:tc>
          <w:tcPr>
            <w:tcW w:w="816" w:type="pct"/>
            <w:shd w:val="clear" w:color="auto" w:fill="auto"/>
            <w:noWrap/>
            <w:vAlign w:val="bottom"/>
          </w:tcPr>
          <w:p w:rsidR="0084545E" w:rsidRPr="007C2D51" w:rsidRDefault="0084545E">
            <w:pPr>
              <w:jc w:val="right"/>
              <w:cnfStyle w:val="000000000000"/>
              <w:rPr>
                <w:rFonts w:cs="Calibri"/>
                <w:color w:val="000000"/>
              </w:rPr>
            </w:pPr>
            <w:r w:rsidRPr="007C2D51">
              <w:rPr>
                <w:rFonts w:cs="Calibri"/>
                <w:color w:val="000000"/>
              </w:rPr>
              <w:t>1%</w:t>
            </w:r>
          </w:p>
        </w:tc>
        <w:tc>
          <w:tcPr>
            <w:tcW w:w="677" w:type="pct"/>
            <w:shd w:val="clear" w:color="auto" w:fill="auto"/>
            <w:noWrap/>
            <w:vAlign w:val="bottom"/>
          </w:tcPr>
          <w:p w:rsidR="0084545E" w:rsidRPr="007C2D51" w:rsidRDefault="0084545E">
            <w:pPr>
              <w:jc w:val="right"/>
              <w:cnfStyle w:val="000000000000"/>
              <w:rPr>
                <w:rFonts w:cs="Calibri"/>
                <w:color w:val="000000"/>
              </w:rPr>
            </w:pPr>
            <w:r w:rsidRPr="007C2D51">
              <w:rPr>
                <w:rFonts w:cs="Calibri"/>
                <w:color w:val="000000"/>
              </w:rPr>
              <w:t>1%</w:t>
            </w:r>
          </w:p>
        </w:tc>
        <w:tc>
          <w:tcPr>
            <w:tcW w:w="472" w:type="pct"/>
            <w:shd w:val="clear" w:color="auto" w:fill="auto"/>
            <w:noWrap/>
            <w:vAlign w:val="bottom"/>
          </w:tcPr>
          <w:p w:rsidR="0084545E" w:rsidRPr="007C2D51" w:rsidRDefault="0084545E">
            <w:pPr>
              <w:jc w:val="right"/>
              <w:cnfStyle w:val="000000000000"/>
              <w:rPr>
                <w:rFonts w:cs="Calibri"/>
                <w:color w:val="000000"/>
              </w:rPr>
            </w:pPr>
            <w:r w:rsidRPr="007C2D51">
              <w:rPr>
                <w:rFonts w:cs="Calibri"/>
                <w:color w:val="000000"/>
              </w:rPr>
              <w:t>1%</w:t>
            </w:r>
          </w:p>
        </w:tc>
      </w:tr>
      <w:tr w:rsidR="0084545E" w:rsidRPr="007C2D51" w:rsidTr="00F15767">
        <w:trPr>
          <w:cnfStyle w:val="000000100000"/>
          <w:trHeight w:val="300"/>
        </w:trPr>
        <w:tc>
          <w:tcPr>
            <w:cnfStyle w:val="001000000000"/>
            <w:tcW w:w="1929" w:type="pct"/>
            <w:tcBorders>
              <w:top w:val="none" w:sz="0" w:space="0" w:color="auto"/>
              <w:left w:val="none" w:sz="0" w:space="0" w:color="auto"/>
              <w:bottom w:val="none" w:sz="0" w:space="0" w:color="auto"/>
            </w:tcBorders>
            <w:shd w:val="clear" w:color="auto" w:fill="475A8D" w:themeFill="accent6"/>
            <w:noWrap/>
            <w:vAlign w:val="bottom"/>
          </w:tcPr>
          <w:p w:rsidR="0084545E" w:rsidRPr="007C2D51" w:rsidRDefault="0084545E" w:rsidP="001A78A8">
            <w:pPr>
              <w:rPr>
                <w:color w:val="FFFFFF" w:themeColor="background1"/>
              </w:rPr>
            </w:pPr>
            <w:r w:rsidRPr="007C2D51">
              <w:rPr>
                <w:color w:val="FFFFFF" w:themeColor="background1"/>
              </w:rPr>
              <w:t>Total</w:t>
            </w:r>
          </w:p>
        </w:tc>
        <w:tc>
          <w:tcPr>
            <w:tcW w:w="354" w:type="pct"/>
            <w:tcBorders>
              <w:top w:val="none" w:sz="0" w:space="0" w:color="auto"/>
              <w:bottom w:val="none" w:sz="0" w:space="0" w:color="auto"/>
            </w:tcBorders>
            <w:shd w:val="clear" w:color="auto" w:fill="475A8D" w:themeFill="accent6"/>
            <w:vAlign w:val="bottom"/>
          </w:tcPr>
          <w:p w:rsidR="0084545E" w:rsidRPr="007C2D51" w:rsidRDefault="0084545E" w:rsidP="001A78A8">
            <w:pPr>
              <w:jc w:val="right"/>
              <w:cnfStyle w:val="000000100000"/>
              <w:rPr>
                <w:rFonts w:cs="Calibri"/>
                <w:b/>
                <w:bCs/>
                <w:color w:val="FFFFFF" w:themeColor="background1"/>
              </w:rPr>
            </w:pPr>
            <w:r w:rsidRPr="007C2D51">
              <w:rPr>
                <w:rFonts w:cs="Calibri"/>
                <w:b/>
                <w:bCs/>
                <w:color w:val="FFFFFF" w:themeColor="background1"/>
              </w:rPr>
              <w:t>1027</w:t>
            </w:r>
          </w:p>
        </w:tc>
        <w:tc>
          <w:tcPr>
            <w:tcW w:w="751" w:type="pct"/>
            <w:tcBorders>
              <w:top w:val="none" w:sz="0" w:space="0" w:color="auto"/>
              <w:bottom w:val="none" w:sz="0" w:space="0" w:color="auto"/>
            </w:tcBorders>
            <w:shd w:val="clear" w:color="auto" w:fill="475A8D" w:themeFill="accent6"/>
            <w:noWrap/>
            <w:vAlign w:val="bottom"/>
          </w:tcPr>
          <w:p w:rsidR="0084545E" w:rsidRPr="007C2D51" w:rsidRDefault="0084545E">
            <w:pPr>
              <w:jc w:val="right"/>
              <w:cnfStyle w:val="000000100000"/>
              <w:rPr>
                <w:rFonts w:cs="Calibri"/>
                <w:b/>
                <w:bCs/>
                <w:color w:val="FFFFFF" w:themeColor="background1"/>
              </w:rPr>
            </w:pPr>
            <w:r w:rsidRPr="007C2D51">
              <w:rPr>
                <w:rFonts w:cs="Calibri"/>
                <w:b/>
                <w:bCs/>
                <w:color w:val="FFFFFF" w:themeColor="background1"/>
              </w:rPr>
              <w:t>100%</w:t>
            </w:r>
          </w:p>
        </w:tc>
        <w:tc>
          <w:tcPr>
            <w:tcW w:w="816" w:type="pct"/>
            <w:tcBorders>
              <w:top w:val="none" w:sz="0" w:space="0" w:color="auto"/>
              <w:bottom w:val="none" w:sz="0" w:space="0" w:color="auto"/>
            </w:tcBorders>
            <w:shd w:val="clear" w:color="auto" w:fill="475A8D" w:themeFill="accent6"/>
            <w:noWrap/>
            <w:vAlign w:val="bottom"/>
          </w:tcPr>
          <w:p w:rsidR="0084545E" w:rsidRPr="007C2D51" w:rsidRDefault="0084545E">
            <w:pPr>
              <w:jc w:val="right"/>
              <w:cnfStyle w:val="000000100000"/>
              <w:rPr>
                <w:rFonts w:cs="Calibri"/>
                <w:b/>
                <w:bCs/>
                <w:color w:val="FFFFFF" w:themeColor="background1"/>
              </w:rPr>
            </w:pPr>
            <w:r w:rsidRPr="007C2D51">
              <w:rPr>
                <w:rFonts w:cs="Calibri"/>
                <w:b/>
                <w:bCs/>
                <w:color w:val="FFFFFF" w:themeColor="background1"/>
              </w:rPr>
              <w:t>100%</w:t>
            </w:r>
          </w:p>
        </w:tc>
        <w:tc>
          <w:tcPr>
            <w:tcW w:w="677" w:type="pct"/>
            <w:tcBorders>
              <w:top w:val="none" w:sz="0" w:space="0" w:color="auto"/>
              <w:bottom w:val="none" w:sz="0" w:space="0" w:color="auto"/>
            </w:tcBorders>
            <w:shd w:val="clear" w:color="auto" w:fill="475A8D" w:themeFill="accent6"/>
            <w:noWrap/>
            <w:vAlign w:val="bottom"/>
          </w:tcPr>
          <w:p w:rsidR="0084545E" w:rsidRPr="007C2D51" w:rsidRDefault="0084545E">
            <w:pPr>
              <w:jc w:val="right"/>
              <w:cnfStyle w:val="000000100000"/>
              <w:rPr>
                <w:rFonts w:cs="Calibri"/>
                <w:b/>
                <w:bCs/>
                <w:color w:val="FFFFFF" w:themeColor="background1"/>
              </w:rPr>
            </w:pPr>
            <w:r w:rsidRPr="007C2D51">
              <w:rPr>
                <w:rFonts w:cs="Calibri"/>
                <w:b/>
                <w:bCs/>
                <w:color w:val="FFFFFF" w:themeColor="background1"/>
              </w:rPr>
              <w:t>100%</w:t>
            </w:r>
          </w:p>
        </w:tc>
        <w:tc>
          <w:tcPr>
            <w:tcW w:w="472" w:type="pct"/>
            <w:tcBorders>
              <w:top w:val="none" w:sz="0" w:space="0" w:color="auto"/>
              <w:bottom w:val="none" w:sz="0" w:space="0" w:color="auto"/>
              <w:right w:val="none" w:sz="0" w:space="0" w:color="auto"/>
            </w:tcBorders>
            <w:shd w:val="clear" w:color="auto" w:fill="475A8D" w:themeFill="accent6"/>
            <w:noWrap/>
            <w:vAlign w:val="bottom"/>
          </w:tcPr>
          <w:p w:rsidR="0084545E" w:rsidRPr="007C2D51" w:rsidRDefault="0084545E">
            <w:pPr>
              <w:jc w:val="right"/>
              <w:cnfStyle w:val="000000100000"/>
              <w:rPr>
                <w:rFonts w:cs="Calibri"/>
                <w:b/>
                <w:bCs/>
                <w:color w:val="FFFFFF" w:themeColor="background1"/>
              </w:rPr>
            </w:pPr>
            <w:r w:rsidRPr="007C2D51">
              <w:rPr>
                <w:rFonts w:cs="Calibri"/>
                <w:b/>
                <w:bCs/>
                <w:color w:val="FFFFFF" w:themeColor="background1"/>
              </w:rPr>
              <w:t>100%</w:t>
            </w:r>
          </w:p>
        </w:tc>
      </w:tr>
    </w:tbl>
    <w:p w:rsidR="00264722" w:rsidRPr="007C2D51" w:rsidRDefault="00264722" w:rsidP="00A921AA"/>
    <w:p w:rsidR="00264722" w:rsidRPr="007C2D51" w:rsidRDefault="00264722">
      <w:r w:rsidRPr="007C2D51">
        <w:br w:type="page"/>
      </w:r>
    </w:p>
    <w:p w:rsidR="00A921AA" w:rsidRPr="007C2D51" w:rsidRDefault="005F6CBE" w:rsidP="00DD3473">
      <w:pPr>
        <w:pStyle w:val="NoSpacing"/>
      </w:pPr>
      <w:r w:rsidRPr="007C2D51">
        <w:rPr>
          <w:noProof/>
          <w:lang w:eastAsia="en-US"/>
        </w:rPr>
        <w:lastRenderedPageBreak/>
        <w:drawing>
          <wp:anchor distT="0" distB="0" distL="114300" distR="114300" simplePos="0" relativeHeight="251729920" behindDoc="0" locked="0" layoutInCell="1" allowOverlap="1">
            <wp:simplePos x="0" y="0"/>
            <wp:positionH relativeFrom="margin">
              <wp:align>center</wp:align>
            </wp:positionH>
            <wp:positionV relativeFrom="paragraph">
              <wp:posOffset>0</wp:posOffset>
            </wp:positionV>
            <wp:extent cx="5172075" cy="5438775"/>
            <wp:effectExtent l="0" t="0" r="0" b="0"/>
            <wp:wrapTopAndBottom/>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p>
    <w:p w:rsidR="00373630" w:rsidRPr="007C2D51" w:rsidRDefault="008C13AC" w:rsidP="00264722">
      <w:pPr>
        <w:pStyle w:val="Caption"/>
        <w:rPr>
          <w:color w:val="FEB80A" w:themeColor="accent2"/>
          <w:sz w:val="32"/>
          <w:szCs w:val="32"/>
        </w:rPr>
      </w:pPr>
      <w:bookmarkStart w:id="86" w:name="_Toc304967488"/>
      <w:bookmarkEnd w:id="85"/>
      <w:r w:rsidRPr="007C2D51">
        <w:t xml:space="preserve">Figure </w:t>
      </w:r>
      <w:fldSimple w:instr=" STYLEREF 1 \s ">
        <w:r w:rsidR="00F35ACC">
          <w:rPr>
            <w:noProof/>
          </w:rPr>
          <w:t>3</w:t>
        </w:r>
      </w:fldSimple>
      <w:r w:rsidR="0009713B" w:rsidRPr="007C2D51">
        <w:noBreakHyphen/>
      </w:r>
      <w:fldSimple w:instr=" SEQ Figure \* ARABIC \s 1 ">
        <w:r w:rsidR="00F35ACC">
          <w:rPr>
            <w:noProof/>
          </w:rPr>
          <w:t>5</w:t>
        </w:r>
      </w:fldSimple>
      <w:r w:rsidRPr="007C2D51">
        <w:br/>
      </w:r>
      <w:bookmarkStart w:id="87" w:name="_Toc242869874"/>
      <w:bookmarkStart w:id="88" w:name="_Toc244660206"/>
      <w:r w:rsidR="00DF6F8C" w:rsidRPr="007C2D51">
        <w:t xml:space="preserve">JARC Services by Type and Size of Urbanized </w:t>
      </w:r>
      <w:r w:rsidR="008844B6" w:rsidRPr="007C2D51">
        <w:t xml:space="preserve">Area </w:t>
      </w:r>
      <w:r w:rsidR="00E12E06" w:rsidRPr="007C2D51">
        <w:br/>
        <w:t>(Percentage by Column)</w:t>
      </w:r>
      <w:bookmarkEnd w:id="86"/>
      <w:r w:rsidR="00373630" w:rsidRPr="007C2D51">
        <w:br w:type="page"/>
      </w:r>
    </w:p>
    <w:p w:rsidR="00A67996" w:rsidRPr="007C2D51" w:rsidRDefault="00A67996" w:rsidP="005606E4">
      <w:pPr>
        <w:pStyle w:val="Caption"/>
      </w:pPr>
      <w:r w:rsidRPr="007C2D51">
        <w:rPr>
          <w:noProof/>
          <w:color w:val="FFFFFF" w:themeColor="background1"/>
        </w:rPr>
        <w:lastRenderedPageBreak/>
        <w:drawing>
          <wp:anchor distT="0" distB="0" distL="114300" distR="114300" simplePos="0" relativeHeight="251730944" behindDoc="0" locked="0" layoutInCell="1" allowOverlap="1">
            <wp:simplePos x="0" y="0"/>
            <wp:positionH relativeFrom="margin">
              <wp:align>center</wp:align>
            </wp:positionH>
            <wp:positionV relativeFrom="paragraph">
              <wp:posOffset>0</wp:posOffset>
            </wp:positionV>
            <wp:extent cx="5886450" cy="4305300"/>
            <wp:effectExtent l="0" t="0" r="0" b="0"/>
            <wp:wrapTopAndBottom/>
            <wp:docPr id="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p>
    <w:p w:rsidR="00344692" w:rsidRPr="007C2D51" w:rsidRDefault="005606E4" w:rsidP="005606E4">
      <w:pPr>
        <w:pStyle w:val="Caption"/>
      </w:pPr>
      <w:bookmarkStart w:id="89" w:name="_Toc304967489"/>
      <w:r w:rsidRPr="007C2D51">
        <w:t xml:space="preserve">Figure </w:t>
      </w:r>
      <w:fldSimple w:instr=" STYLEREF 1 \s ">
        <w:r w:rsidR="00F35ACC">
          <w:rPr>
            <w:noProof/>
          </w:rPr>
          <w:t>3</w:t>
        </w:r>
      </w:fldSimple>
      <w:r w:rsidR="0009713B" w:rsidRPr="007C2D51">
        <w:noBreakHyphen/>
      </w:r>
      <w:fldSimple w:instr=" SEQ Figure \* ARABIC \s 1 ">
        <w:r w:rsidR="00F35ACC">
          <w:rPr>
            <w:noProof/>
          </w:rPr>
          <w:t>6</w:t>
        </w:r>
      </w:fldSimple>
      <w:r w:rsidRPr="007C2D51">
        <w:br/>
        <w:t xml:space="preserve">JARC </w:t>
      </w:r>
      <w:r w:rsidR="00E558D9" w:rsidRPr="007C2D51">
        <w:t>Services</w:t>
      </w:r>
      <w:r w:rsidRPr="007C2D51">
        <w:t xml:space="preserve"> by Size of Urbanized Area</w:t>
      </w:r>
      <w:r w:rsidRPr="007C2D51">
        <w:br/>
        <w:t xml:space="preserve">FY 2006 – FY </w:t>
      </w:r>
      <w:r w:rsidR="00D56012" w:rsidRPr="007C2D51">
        <w:t>2010</w:t>
      </w:r>
      <w:bookmarkEnd w:id="89"/>
    </w:p>
    <w:p w:rsidR="00D84878" w:rsidRPr="007C2D51" w:rsidRDefault="00D84878">
      <w:pPr>
        <w:rPr>
          <w:rFonts w:asciiTheme="majorHAnsi" w:hAnsiTheme="majorHAnsi"/>
          <w:color w:val="3891A7" w:themeColor="accent1"/>
          <w:sz w:val="32"/>
          <w:szCs w:val="28"/>
        </w:rPr>
      </w:pPr>
      <w:bookmarkStart w:id="90" w:name="_Toc242869875"/>
      <w:bookmarkStart w:id="91" w:name="_Toc244660207"/>
      <w:bookmarkEnd w:id="87"/>
      <w:bookmarkEnd w:id="88"/>
      <w:r w:rsidRPr="007C2D51">
        <w:br w:type="page"/>
      </w:r>
    </w:p>
    <w:p w:rsidR="008A15CE" w:rsidRPr="007C2D51" w:rsidRDefault="00A921AA" w:rsidP="005606E4">
      <w:pPr>
        <w:pStyle w:val="Heading1"/>
      </w:pPr>
      <w:bookmarkStart w:id="92" w:name="_Toc304965692"/>
      <w:r w:rsidRPr="007C2D51">
        <w:lastRenderedPageBreak/>
        <w:t>One-Way Trips</w:t>
      </w:r>
      <w:bookmarkEnd w:id="90"/>
      <w:bookmarkEnd w:id="91"/>
      <w:bookmarkEnd w:id="92"/>
    </w:p>
    <w:p w:rsidR="00A921AA" w:rsidRPr="007C2D51" w:rsidRDefault="00A921AA" w:rsidP="00CE7C6F">
      <w:pPr>
        <w:pStyle w:val="BodyText"/>
      </w:pPr>
      <w:r w:rsidRPr="007C2D51">
        <w:t>As in previous years, JARC grant recipients were asked to report annual one-way trips</w:t>
      </w:r>
      <w:r w:rsidR="00CE332B" w:rsidRPr="007C2D51">
        <w:t xml:space="preserve">.  </w:t>
      </w:r>
      <w:r w:rsidR="002541EF" w:rsidRPr="007C2D51">
        <w:t xml:space="preserve">Grantees were able to provide this information for 90% of trip-based services. </w:t>
      </w:r>
    </w:p>
    <w:p w:rsidR="00EF09BA" w:rsidRPr="007C2D51" w:rsidRDefault="00EF09BA" w:rsidP="00EF09BA">
      <w:pPr>
        <w:pStyle w:val="BlockText"/>
      </w:pPr>
      <w:r w:rsidRPr="007C2D51">
        <w:t>For FY 20</w:t>
      </w:r>
      <w:r w:rsidR="001919C5" w:rsidRPr="007C2D51">
        <w:t>10</w:t>
      </w:r>
      <w:r w:rsidRPr="007C2D51">
        <w:t xml:space="preserve">, it is estimated that JARC-supported services provided </w:t>
      </w:r>
      <w:r w:rsidR="001919C5" w:rsidRPr="007C2D51">
        <w:t>55.3</w:t>
      </w:r>
      <w:r w:rsidRPr="007C2D51">
        <w:t xml:space="preserve"> million one-way trips</w:t>
      </w:r>
      <w:r w:rsidR="001919C5" w:rsidRPr="007C2D51">
        <w:t>.</w:t>
      </w:r>
      <w:r w:rsidR="00CE332B" w:rsidRPr="007C2D51">
        <w:t xml:space="preserve">  </w:t>
      </w:r>
    </w:p>
    <w:p w:rsidR="00A921AA" w:rsidRPr="007C2D51" w:rsidRDefault="00A921AA" w:rsidP="00CE7C6F">
      <w:pPr>
        <w:pStyle w:val="BodyText"/>
      </w:pPr>
      <w:r w:rsidRPr="007C2D51">
        <w:t>As might be expected, most one-way trips were recorded on fixed route services</w:t>
      </w:r>
      <w:r w:rsidR="00CE332B" w:rsidRPr="007C2D51">
        <w:t xml:space="preserve">.  </w:t>
      </w:r>
      <w:r w:rsidRPr="007C2D51">
        <w:t>Two factors account for this</w:t>
      </w:r>
      <w:r w:rsidR="00CE332B" w:rsidRPr="007C2D51">
        <w:t xml:space="preserve">.  </w:t>
      </w:r>
      <w:r w:rsidRPr="007C2D51">
        <w:t xml:space="preserve">First, fixed route was the single largest JARC service type reported for FY </w:t>
      </w:r>
      <w:r w:rsidR="006656BC" w:rsidRPr="007C2D51">
        <w:t>20</w:t>
      </w:r>
      <w:r w:rsidR="001919C5" w:rsidRPr="007C2D51">
        <w:t>10</w:t>
      </w:r>
      <w:r w:rsidR="00CE332B" w:rsidRPr="007C2D51">
        <w:t xml:space="preserve">.  </w:t>
      </w:r>
      <w:r w:rsidR="001E3EFE" w:rsidRPr="007C2D51">
        <w:t xml:space="preserve">Second, </w:t>
      </w:r>
      <w:r w:rsidRPr="007C2D51">
        <w:t>fixed route services often use larger vehicles than other types of JARC-supported services</w:t>
      </w:r>
      <w:r w:rsidR="006656BC" w:rsidRPr="007C2D51">
        <w:t xml:space="preserve"> and traverse more densely developed corridors</w:t>
      </w:r>
      <w:r w:rsidR="00CE332B" w:rsidRPr="007C2D51">
        <w:t xml:space="preserve">.  </w:t>
      </w:r>
      <w:r w:rsidRPr="007C2D51">
        <w:t>In FY 20</w:t>
      </w:r>
      <w:r w:rsidR="001919C5" w:rsidRPr="007C2D51">
        <w:t>10</w:t>
      </w:r>
      <w:r w:rsidRPr="007C2D51">
        <w:t xml:space="preserve">, fixed routes accounted for </w:t>
      </w:r>
      <w:r w:rsidR="001919C5" w:rsidRPr="007C2D51">
        <w:t>86</w:t>
      </w:r>
      <w:r w:rsidRPr="007C2D51">
        <w:t>% of reported trips, followed by demand response (</w:t>
      </w:r>
      <w:r w:rsidR="001A78A8" w:rsidRPr="007C2D51">
        <w:t>6</w:t>
      </w:r>
      <w:r w:rsidRPr="007C2D51">
        <w:t>%)</w:t>
      </w:r>
      <w:r w:rsidR="001A78A8" w:rsidRPr="007C2D51">
        <w:t>. No other services accounted for more than 5% of the total trips reported.</w:t>
      </w:r>
      <w:r w:rsidR="00CE332B" w:rsidRPr="007C2D51">
        <w:t xml:space="preserve">  </w:t>
      </w:r>
      <w:r w:rsidRPr="007C2D51">
        <w:t xml:space="preserve">Table </w:t>
      </w:r>
      <w:r w:rsidR="001251D8" w:rsidRPr="007C2D51">
        <w:t>4-1</w:t>
      </w:r>
      <w:r w:rsidRPr="007C2D51">
        <w:t xml:space="preserve"> and </w:t>
      </w:r>
      <w:r w:rsidR="001251D8" w:rsidRPr="007C2D51">
        <w:t>Figure 4-1</w:t>
      </w:r>
      <w:r w:rsidRPr="007C2D51">
        <w:t xml:space="preserve"> show this distribution.</w:t>
      </w:r>
      <w:r w:rsidR="00927782" w:rsidRPr="007C2D51">
        <w:t xml:space="preserve"> </w:t>
      </w:r>
    </w:p>
    <w:p w:rsidR="00927782" w:rsidRPr="007C2D51" w:rsidRDefault="00927782" w:rsidP="00927782">
      <w:pPr>
        <w:pStyle w:val="BodyText"/>
      </w:pPr>
      <w:r w:rsidRPr="007C2D51">
        <w:t xml:space="preserve">As noted in Chapter </w:t>
      </w:r>
      <w:r w:rsidR="00B241D1" w:rsidRPr="007C2D51">
        <w:t xml:space="preserve">1, fluctuations in service provision may not necessarily reflect trends in program performance and </w:t>
      </w:r>
      <w:r w:rsidRPr="007C2D51">
        <w:t xml:space="preserve">direct </w:t>
      </w:r>
      <w:r w:rsidR="00B241D1" w:rsidRPr="007C2D51">
        <w:t>year-to-year comparisons</w:t>
      </w:r>
      <w:r w:rsidRPr="007C2D51">
        <w:t xml:space="preserve"> </w:t>
      </w:r>
      <w:r w:rsidR="00B241D1" w:rsidRPr="007C2D51">
        <w:t xml:space="preserve">of changes in the number of one-way trips reported </w:t>
      </w:r>
      <w:r w:rsidRPr="007C2D51">
        <w:t xml:space="preserve">may be misleading. </w:t>
      </w:r>
      <w:r w:rsidR="00B241D1" w:rsidRPr="007C2D51">
        <w:t xml:space="preserve"> </w:t>
      </w:r>
      <w:r w:rsidRPr="007C2D51">
        <w:t>Nevertheless, the number of one-way trips doubled between FY 2009 and FY 2010 – from 27</w:t>
      </w:r>
      <w:r w:rsidR="00B241D1" w:rsidRPr="007C2D51">
        <w:t>.</w:t>
      </w:r>
      <w:r w:rsidRPr="007C2D51">
        <w:t xml:space="preserve">3 million to 55.3million </w:t>
      </w:r>
      <w:r w:rsidR="007C2D51" w:rsidRPr="007C2D51">
        <w:t>– and</w:t>
      </w:r>
      <w:r w:rsidRPr="007C2D51">
        <w:t xml:space="preserve"> possible explanations are discussed below.  </w:t>
      </w:r>
    </w:p>
    <w:p w:rsidR="00382CA1" w:rsidRPr="007C2D51" w:rsidRDefault="00457314" w:rsidP="00382CA1">
      <w:pPr>
        <w:pStyle w:val="BodyText"/>
      </w:pPr>
      <w:r w:rsidRPr="007C2D51">
        <w:t>First, a</w:t>
      </w:r>
      <w:r w:rsidR="009C5F46" w:rsidRPr="007C2D51">
        <w:t xml:space="preserve">lmost all the growth in one-way trips was associated with fixed route services. </w:t>
      </w:r>
      <w:r w:rsidR="00382CA1" w:rsidRPr="007C2D51">
        <w:t xml:space="preserve">Although the proportion of fixed route services was stable between FY 2009 and FY 2010, comprising 41% of all services in FY 2009 and 39% a year later, the number of trips associated with these services more than doubled, from 19.2 million to 47.4 million.  </w:t>
      </w:r>
    </w:p>
    <w:p w:rsidR="002C397C" w:rsidRPr="007C2D51" w:rsidRDefault="006B1FC6" w:rsidP="002C397C">
      <w:pPr>
        <w:pStyle w:val="BodyText"/>
      </w:pPr>
      <w:r w:rsidRPr="007C2D51">
        <w:t xml:space="preserve">Seven fixed-route services accounted for 24.5 million one-way trips, which was 87% of the </w:t>
      </w:r>
      <w:r w:rsidR="00B241D1" w:rsidRPr="007C2D51">
        <w:t xml:space="preserve">overall </w:t>
      </w:r>
      <w:r w:rsidRPr="007C2D51">
        <w:t>increase in</w:t>
      </w:r>
      <w:r w:rsidR="00457314" w:rsidRPr="007C2D51">
        <w:t xml:space="preserve"> </w:t>
      </w:r>
      <w:r w:rsidRPr="007C2D51">
        <w:t>one-way trips between FY 2009 and FY 2010.  Four of these services were reported by grantees that did not file reports for FY 2009</w:t>
      </w:r>
      <w:r w:rsidR="00A80001" w:rsidRPr="007C2D51">
        <w:t>. These new</w:t>
      </w:r>
      <w:r w:rsidRPr="007C2D51">
        <w:t xml:space="preserve"> services accounted for 10 million trips, or 41% of the increase in one-way trips reported for FY 2010.  If these 10 programs were excluded from the analysis (and their corresponding records were deleted from </w:t>
      </w:r>
      <w:r w:rsidR="00B241D1" w:rsidRPr="007C2D51">
        <w:t xml:space="preserve">the </w:t>
      </w:r>
      <w:r w:rsidRPr="007C2D51">
        <w:t>FY 2009</w:t>
      </w:r>
      <w:r w:rsidR="00B241D1" w:rsidRPr="007C2D51">
        <w:t xml:space="preserve"> baseline</w:t>
      </w:r>
      <w:r w:rsidRPr="007C2D51">
        <w:t xml:space="preserve">), the rate of growth in one-way trips would be 35%.  </w:t>
      </w:r>
    </w:p>
    <w:p w:rsidR="00382CA1" w:rsidRPr="007C2D51" w:rsidRDefault="00B241D1" w:rsidP="00CE7C6F">
      <w:pPr>
        <w:pStyle w:val="BodyText"/>
      </w:pPr>
      <w:r w:rsidRPr="007C2D51">
        <w:t xml:space="preserve">Clearly, these differences in the mix of grantees reporting for FY 2009 and FY 2010 affected the numbers. </w:t>
      </w:r>
      <w:r w:rsidR="00382CA1" w:rsidRPr="007C2D51">
        <w:t xml:space="preserve">Although </w:t>
      </w:r>
      <w:r w:rsidR="0078120F" w:rsidRPr="007C2D51">
        <w:t>fixed route</w:t>
      </w:r>
      <w:r w:rsidR="00382CA1" w:rsidRPr="007C2D51">
        <w:t xml:space="preserve"> services comprised the same proportion of all services in both fiscal years, </w:t>
      </w:r>
      <w:r w:rsidR="00457314" w:rsidRPr="007C2D51">
        <w:t xml:space="preserve">four services generating 10 million one-way trips </w:t>
      </w:r>
      <w:r w:rsidRPr="007C2D51">
        <w:t>for FY 2010</w:t>
      </w:r>
      <w:r w:rsidR="00457314" w:rsidRPr="007C2D51">
        <w:t xml:space="preserve"> </w:t>
      </w:r>
      <w:r w:rsidR="006B1FC6" w:rsidRPr="007C2D51">
        <w:t xml:space="preserve">were </w:t>
      </w:r>
      <w:r w:rsidR="00457314" w:rsidRPr="007C2D51">
        <w:t>associated with</w:t>
      </w:r>
      <w:r w:rsidR="006B1FC6" w:rsidRPr="007C2D51">
        <w:t xml:space="preserve"> grant recipients that did not report any services in FY 2009.</w:t>
      </w:r>
    </w:p>
    <w:p w:rsidR="00B241D1" w:rsidRPr="007C2D51" w:rsidRDefault="00B241D1" w:rsidP="00927782">
      <w:pPr>
        <w:pStyle w:val="BodyText"/>
      </w:pPr>
      <w:r w:rsidRPr="007C2D51">
        <w:t>In addition</w:t>
      </w:r>
      <w:r w:rsidR="00927782" w:rsidRPr="007C2D51">
        <w:t xml:space="preserve">, the analytical approach used to evaluate ridership statistics tends to overstate the results for trip-based services, including fixed route, and understates trips for services like mobility manager and vehicle purchases. </w:t>
      </w:r>
      <w:bookmarkStart w:id="93" w:name="OLE_LINK2"/>
      <w:r w:rsidR="00927782" w:rsidRPr="007C2D51">
        <w:t xml:space="preserve">When grant recipients used JARC funds to purchase one or more vehicles that they placed into service, they were asked to report two separate services or programs: a capital investment to purchase the vehicle and a trip-based service (e.g., fixed route) to provide passenger service. To avoid double-counting these trips in the analysis, one-way trips were attributed to the service (e.g., fixed route) and not to the capital </w:t>
      </w:r>
      <w:r w:rsidR="00927782" w:rsidRPr="007C2D51">
        <w:lastRenderedPageBreak/>
        <w:t xml:space="preserve">investment.  For the same reason, mobility managers that provided service directly were also asked to report on that service separately and to attribute those trips to the service rather than to the mobility manager program.  </w:t>
      </w:r>
    </w:p>
    <w:bookmarkEnd w:id="93"/>
    <w:p w:rsidR="002D6513" w:rsidRPr="007C2D51" w:rsidRDefault="00B241D1" w:rsidP="002D6513">
      <w:pPr>
        <w:pStyle w:val="ListBullet"/>
      </w:pPr>
      <w:r w:rsidRPr="007C2D51">
        <w:t>Out of 32 programs that acquired vehicles for agencies</w:t>
      </w:r>
      <w:r w:rsidR="00C23AE8" w:rsidRPr="007C2D51">
        <w:t xml:space="preserve"> in FY 2010</w:t>
      </w:r>
      <w:r w:rsidRPr="007C2D51">
        <w:t xml:space="preserve">, 29 indicated that they provided service but only 14 reported trips. At least nine of these programs reported one-way trips for the service component of their program.  </w:t>
      </w:r>
    </w:p>
    <w:p w:rsidR="002D6513" w:rsidRPr="007C2D51" w:rsidRDefault="00B241D1" w:rsidP="002D6513">
      <w:pPr>
        <w:pStyle w:val="ListBullet"/>
      </w:pPr>
      <w:r w:rsidRPr="007C2D51">
        <w:t xml:space="preserve">For 62 mobility manager programs, 22 indicated that they also provided direct services.  Of those programs providing service, only half reported one-way trips. The rest indicated that the information was not available or entered zero. </w:t>
      </w:r>
    </w:p>
    <w:p w:rsidR="00927782" w:rsidRPr="007C2D51" w:rsidRDefault="00C23AE8" w:rsidP="00927782">
      <w:pPr>
        <w:pStyle w:val="BodyText"/>
      </w:pPr>
      <w:r w:rsidRPr="007C2D51">
        <w:t xml:space="preserve">Assigning all the trips from mobility manager and vehicle investments to trip-based services likely overstated the one-way trips associated with trip-based service at the expense of capital investments and information-based services. </w:t>
      </w:r>
      <w:r w:rsidR="00927782" w:rsidRPr="007C2D51">
        <w:t>This would not change the overall number of trips reported but may have contributed at least partially to the growth in fixed route trips.</w:t>
      </w:r>
    </w:p>
    <w:p w:rsidR="00B14838" w:rsidRPr="007C2D51" w:rsidRDefault="00B14838" w:rsidP="00CE7C6F">
      <w:pPr>
        <w:pStyle w:val="BodyText"/>
      </w:pPr>
      <w:r w:rsidRPr="007C2D51">
        <w:br w:type="page"/>
      </w:r>
    </w:p>
    <w:p w:rsidR="00A921AA" w:rsidRPr="007C2D51" w:rsidRDefault="00A921AA" w:rsidP="004347FA">
      <w:pPr>
        <w:pStyle w:val="TableTitle"/>
      </w:pPr>
      <w:bookmarkStart w:id="94" w:name="_Toc244658131"/>
      <w:bookmarkStart w:id="95" w:name="_Toc304967472"/>
      <w:r w:rsidRPr="007C2D51">
        <w:lastRenderedPageBreak/>
        <w:t xml:space="preserve">Table </w:t>
      </w:r>
      <w:r w:rsidR="00022E2F" w:rsidRPr="007C2D51">
        <w:fldChar w:fldCharType="begin"/>
      </w:r>
      <w:r w:rsidR="00FB3E36" w:rsidRPr="007C2D51">
        <w:instrText xml:space="preserve"> STYLEREF 1 \s </w:instrText>
      </w:r>
      <w:r w:rsidR="00022E2F" w:rsidRPr="007C2D51">
        <w:fldChar w:fldCharType="separate"/>
      </w:r>
      <w:r w:rsidR="00F35ACC">
        <w:rPr>
          <w:noProof/>
        </w:rPr>
        <w:t>4</w:t>
      </w:r>
      <w:r w:rsidR="00022E2F" w:rsidRPr="007C2D51">
        <w:fldChar w:fldCharType="end"/>
      </w:r>
      <w:r w:rsidR="00FB3E36" w:rsidRPr="007C2D51">
        <w:noBreakHyphen/>
      </w:r>
      <w:r w:rsidR="00022E2F" w:rsidRPr="007C2D51">
        <w:fldChar w:fldCharType="begin"/>
      </w:r>
      <w:r w:rsidR="00FB3E36" w:rsidRPr="007C2D51">
        <w:instrText xml:space="preserve"> SEQ Table \* ARABIC \s 1 </w:instrText>
      </w:r>
      <w:r w:rsidR="00022E2F" w:rsidRPr="007C2D51">
        <w:fldChar w:fldCharType="separate"/>
      </w:r>
      <w:r w:rsidR="00F35ACC">
        <w:rPr>
          <w:noProof/>
        </w:rPr>
        <w:t>1</w:t>
      </w:r>
      <w:r w:rsidR="00022E2F" w:rsidRPr="007C2D51">
        <w:fldChar w:fldCharType="end"/>
      </w:r>
      <w:r w:rsidRPr="007C2D51">
        <w:br/>
        <w:t>One-Way Trips by Service Type</w:t>
      </w:r>
      <w:bookmarkEnd w:id="94"/>
      <w:bookmarkEnd w:id="95"/>
    </w:p>
    <w:tbl>
      <w:tblPr>
        <w:tblStyle w:val="LightList-Accent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21"/>
        <w:gridCol w:w="1002"/>
        <w:gridCol w:w="1796"/>
        <w:gridCol w:w="1457"/>
      </w:tblGrid>
      <w:tr w:rsidR="004347FA" w:rsidRPr="007C2D51" w:rsidTr="00F15767">
        <w:trPr>
          <w:cnfStyle w:val="100000000000"/>
          <w:trHeight w:val="300"/>
        </w:trPr>
        <w:tc>
          <w:tcPr>
            <w:cnfStyle w:val="001000000000"/>
            <w:tcW w:w="2778" w:type="pct"/>
            <w:noWrap/>
            <w:vAlign w:val="bottom"/>
          </w:tcPr>
          <w:p w:rsidR="004347FA" w:rsidRPr="007C2D51" w:rsidRDefault="00F56EC6" w:rsidP="001E3EFE">
            <w:r w:rsidRPr="007C2D51">
              <w:t>Service Type</w:t>
            </w:r>
          </w:p>
        </w:tc>
        <w:tc>
          <w:tcPr>
            <w:tcW w:w="523" w:type="pct"/>
            <w:noWrap/>
            <w:vAlign w:val="bottom"/>
          </w:tcPr>
          <w:p w:rsidR="004347FA" w:rsidRPr="007C2D51" w:rsidRDefault="00F56EC6" w:rsidP="002F579C">
            <w:pPr>
              <w:jc w:val="center"/>
              <w:cnfStyle w:val="100000000000"/>
            </w:pPr>
            <w:r w:rsidRPr="007C2D51">
              <w:t>#</w:t>
            </w:r>
          </w:p>
        </w:tc>
        <w:tc>
          <w:tcPr>
            <w:tcW w:w="938" w:type="pct"/>
            <w:vAlign w:val="bottom"/>
          </w:tcPr>
          <w:p w:rsidR="004347FA" w:rsidRPr="007C2D51" w:rsidRDefault="00CB672A" w:rsidP="00CB672A">
            <w:pPr>
              <w:jc w:val="center"/>
              <w:cnfStyle w:val="100000000000"/>
            </w:pPr>
            <w:r w:rsidRPr="007C2D51">
              <w:t>One-Way T</w:t>
            </w:r>
            <w:r w:rsidR="00F56EC6" w:rsidRPr="007C2D51">
              <w:t>rips</w:t>
            </w:r>
          </w:p>
        </w:tc>
        <w:tc>
          <w:tcPr>
            <w:tcW w:w="761" w:type="pct"/>
            <w:noWrap/>
            <w:vAlign w:val="bottom"/>
          </w:tcPr>
          <w:p w:rsidR="004347FA" w:rsidRPr="007C2D51" w:rsidRDefault="00F56EC6" w:rsidP="002F579C">
            <w:pPr>
              <w:jc w:val="center"/>
              <w:cnfStyle w:val="100000000000"/>
            </w:pPr>
            <w:r w:rsidRPr="007C2D51">
              <w:t>%</w:t>
            </w:r>
          </w:p>
        </w:tc>
      </w:tr>
      <w:tr w:rsidR="005F35F2" w:rsidRPr="007C2D51" w:rsidTr="00F15767">
        <w:trPr>
          <w:cnfStyle w:val="000000100000"/>
          <w:trHeight w:val="300"/>
        </w:trPr>
        <w:tc>
          <w:tcPr>
            <w:cnfStyle w:val="001000000000"/>
            <w:tcW w:w="2778" w:type="pct"/>
            <w:tcBorders>
              <w:top w:val="none" w:sz="0" w:space="0" w:color="auto"/>
              <w:left w:val="none" w:sz="0" w:space="0" w:color="auto"/>
              <w:bottom w:val="none" w:sz="0" w:space="0" w:color="auto"/>
            </w:tcBorders>
            <w:shd w:val="clear" w:color="auto" w:fill="475A8D" w:themeFill="accent6"/>
            <w:noWrap/>
            <w:vAlign w:val="bottom"/>
          </w:tcPr>
          <w:p w:rsidR="005F35F2" w:rsidRPr="007C2D51" w:rsidRDefault="005F35F2" w:rsidP="001E3EFE">
            <w:pPr>
              <w:rPr>
                <w:color w:val="FFFFFF" w:themeColor="background1"/>
              </w:rPr>
            </w:pPr>
            <w:r w:rsidRPr="007C2D51">
              <w:rPr>
                <w:color w:val="FFFFFF" w:themeColor="background1"/>
              </w:rPr>
              <w:t>Trip-Based Services</w:t>
            </w:r>
          </w:p>
        </w:tc>
        <w:tc>
          <w:tcPr>
            <w:tcW w:w="523" w:type="pct"/>
            <w:tcBorders>
              <w:top w:val="none" w:sz="0" w:space="0" w:color="auto"/>
              <w:bottom w:val="none" w:sz="0" w:space="0" w:color="auto"/>
            </w:tcBorders>
            <w:shd w:val="clear" w:color="auto" w:fill="475A8D" w:themeFill="accent6"/>
            <w:noWrap/>
            <w:vAlign w:val="bottom"/>
          </w:tcPr>
          <w:p w:rsidR="005F35F2" w:rsidRPr="007C2D51" w:rsidRDefault="005F35F2" w:rsidP="005F35F2">
            <w:pPr>
              <w:jc w:val="right"/>
              <w:cnfStyle w:val="000000100000"/>
              <w:rPr>
                <w:b/>
                <w:color w:val="FFFFFF" w:themeColor="background1"/>
              </w:rPr>
            </w:pPr>
            <w:r w:rsidRPr="007C2D51">
              <w:rPr>
                <w:b/>
                <w:color w:val="FFFFFF" w:themeColor="background1"/>
              </w:rPr>
              <w:t>813</w:t>
            </w:r>
          </w:p>
        </w:tc>
        <w:tc>
          <w:tcPr>
            <w:tcW w:w="938" w:type="pct"/>
            <w:tcBorders>
              <w:top w:val="none" w:sz="0" w:space="0" w:color="auto"/>
              <w:bottom w:val="none" w:sz="0" w:space="0" w:color="auto"/>
            </w:tcBorders>
            <w:shd w:val="clear" w:color="auto" w:fill="475A8D" w:themeFill="accent6"/>
            <w:vAlign w:val="bottom"/>
          </w:tcPr>
          <w:p w:rsidR="005F35F2" w:rsidRPr="007C2D51" w:rsidRDefault="005F35F2" w:rsidP="005F35F2">
            <w:pPr>
              <w:jc w:val="right"/>
              <w:cnfStyle w:val="000000100000"/>
              <w:rPr>
                <w:rFonts w:cs="Calibri"/>
                <w:b/>
                <w:bCs/>
                <w:color w:val="FFFFFF" w:themeColor="background1"/>
              </w:rPr>
            </w:pPr>
            <w:r w:rsidRPr="007C2D51">
              <w:rPr>
                <w:rFonts w:cs="Calibri"/>
                <w:b/>
                <w:bCs/>
                <w:color w:val="FFFFFF" w:themeColor="background1"/>
              </w:rPr>
              <w:t xml:space="preserve">54,522,032 </w:t>
            </w:r>
          </w:p>
        </w:tc>
        <w:tc>
          <w:tcPr>
            <w:tcW w:w="761" w:type="pct"/>
            <w:tcBorders>
              <w:top w:val="none" w:sz="0" w:space="0" w:color="auto"/>
              <w:bottom w:val="none" w:sz="0" w:space="0" w:color="auto"/>
              <w:right w:val="none" w:sz="0" w:space="0" w:color="auto"/>
            </w:tcBorders>
            <w:shd w:val="clear" w:color="auto" w:fill="475A8D" w:themeFill="accent6"/>
            <w:noWrap/>
            <w:vAlign w:val="bottom"/>
          </w:tcPr>
          <w:p w:rsidR="005F35F2" w:rsidRPr="007C2D51" w:rsidRDefault="005F35F2" w:rsidP="00FB442A">
            <w:pPr>
              <w:jc w:val="right"/>
              <w:cnfStyle w:val="000000100000"/>
              <w:rPr>
                <w:b/>
                <w:color w:val="FFFFFF" w:themeColor="background1"/>
              </w:rPr>
            </w:pPr>
            <w:r w:rsidRPr="007C2D51">
              <w:rPr>
                <w:b/>
                <w:color w:val="FFFFFF" w:themeColor="background1"/>
              </w:rPr>
              <w:t>9</w:t>
            </w:r>
            <w:r w:rsidR="00FB442A" w:rsidRPr="007C2D51">
              <w:rPr>
                <w:b/>
                <w:color w:val="FFFFFF" w:themeColor="background1"/>
              </w:rPr>
              <w:t>9</w:t>
            </w:r>
            <w:r w:rsidRPr="007C2D51">
              <w:rPr>
                <w:b/>
                <w:color w:val="FFFFFF" w:themeColor="background1"/>
              </w:rPr>
              <w:t>%</w:t>
            </w:r>
          </w:p>
        </w:tc>
      </w:tr>
      <w:tr w:rsidR="00FB442A" w:rsidRPr="007C2D51" w:rsidTr="00F15767">
        <w:trPr>
          <w:trHeight w:val="300"/>
        </w:trPr>
        <w:tc>
          <w:tcPr>
            <w:cnfStyle w:val="001000000000"/>
            <w:tcW w:w="2778" w:type="pct"/>
            <w:noWrap/>
            <w:vAlign w:val="bottom"/>
          </w:tcPr>
          <w:p w:rsidR="00FB442A" w:rsidRPr="007C2D51" w:rsidRDefault="00FB442A" w:rsidP="001A78A8">
            <w:r w:rsidRPr="007C2D51">
              <w:t>Fixed route</w:t>
            </w:r>
          </w:p>
        </w:tc>
        <w:tc>
          <w:tcPr>
            <w:tcW w:w="523" w:type="pct"/>
            <w:noWrap/>
            <w:vAlign w:val="bottom"/>
          </w:tcPr>
          <w:p w:rsidR="00FB442A" w:rsidRPr="007C2D51" w:rsidRDefault="00FB442A" w:rsidP="005F35F2">
            <w:pPr>
              <w:jc w:val="right"/>
              <w:cnfStyle w:val="000000000000"/>
              <w:rPr>
                <w:rFonts w:cs="Calibri"/>
                <w:color w:val="000000"/>
              </w:rPr>
            </w:pPr>
            <w:r w:rsidRPr="007C2D51">
              <w:rPr>
                <w:rFonts w:cs="Calibri"/>
                <w:color w:val="000000"/>
              </w:rPr>
              <w:t>397</w:t>
            </w:r>
          </w:p>
        </w:tc>
        <w:tc>
          <w:tcPr>
            <w:tcW w:w="938" w:type="pct"/>
            <w:vAlign w:val="bottom"/>
          </w:tcPr>
          <w:p w:rsidR="00FB442A" w:rsidRPr="007C2D51" w:rsidRDefault="00FB442A" w:rsidP="005F35F2">
            <w:pPr>
              <w:jc w:val="right"/>
              <w:cnfStyle w:val="000000000000"/>
              <w:rPr>
                <w:rFonts w:cs="Calibri"/>
                <w:color w:val="000000"/>
              </w:rPr>
            </w:pPr>
            <w:r w:rsidRPr="007C2D51">
              <w:rPr>
                <w:rFonts w:cs="Calibri"/>
                <w:color w:val="000000"/>
              </w:rPr>
              <w:t xml:space="preserve">47,363,009 </w:t>
            </w:r>
          </w:p>
        </w:tc>
        <w:tc>
          <w:tcPr>
            <w:tcW w:w="761" w:type="pct"/>
            <w:noWrap/>
            <w:vAlign w:val="bottom"/>
          </w:tcPr>
          <w:p w:rsidR="00FB442A" w:rsidRPr="007C2D51" w:rsidRDefault="00FB442A">
            <w:pPr>
              <w:jc w:val="right"/>
              <w:cnfStyle w:val="000000000000"/>
              <w:rPr>
                <w:rFonts w:cs="Calibri"/>
                <w:color w:val="000000"/>
              </w:rPr>
            </w:pPr>
            <w:r w:rsidRPr="007C2D51">
              <w:rPr>
                <w:rFonts w:cs="Calibri"/>
                <w:color w:val="000000"/>
              </w:rPr>
              <w:t>86%</w:t>
            </w:r>
          </w:p>
        </w:tc>
      </w:tr>
      <w:tr w:rsidR="00FB442A" w:rsidRPr="007C2D51" w:rsidTr="00F15767">
        <w:trPr>
          <w:cnfStyle w:val="000000100000"/>
          <w:trHeight w:val="300"/>
        </w:trPr>
        <w:tc>
          <w:tcPr>
            <w:cnfStyle w:val="001000000000"/>
            <w:tcW w:w="2778" w:type="pct"/>
            <w:tcBorders>
              <w:top w:val="none" w:sz="0" w:space="0" w:color="auto"/>
              <w:left w:val="none" w:sz="0" w:space="0" w:color="auto"/>
              <w:bottom w:val="none" w:sz="0" w:space="0" w:color="auto"/>
            </w:tcBorders>
            <w:noWrap/>
            <w:vAlign w:val="bottom"/>
          </w:tcPr>
          <w:p w:rsidR="00FB442A" w:rsidRPr="007C2D51" w:rsidRDefault="00FB442A" w:rsidP="001A78A8">
            <w:r w:rsidRPr="007C2D51">
              <w:t>Demand response</w:t>
            </w:r>
          </w:p>
        </w:tc>
        <w:tc>
          <w:tcPr>
            <w:tcW w:w="523" w:type="pct"/>
            <w:tcBorders>
              <w:top w:val="none" w:sz="0" w:space="0" w:color="auto"/>
              <w:bottom w:val="none" w:sz="0" w:space="0" w:color="auto"/>
            </w:tcBorders>
            <w:noWrap/>
            <w:vAlign w:val="bottom"/>
          </w:tcPr>
          <w:p w:rsidR="00FB442A" w:rsidRPr="007C2D51" w:rsidRDefault="00FB442A" w:rsidP="005F35F2">
            <w:pPr>
              <w:jc w:val="right"/>
              <w:cnfStyle w:val="000000100000"/>
              <w:rPr>
                <w:rFonts w:cs="Calibri"/>
                <w:color w:val="000000"/>
              </w:rPr>
            </w:pPr>
            <w:r w:rsidRPr="007C2D51">
              <w:rPr>
                <w:rFonts w:cs="Calibri"/>
                <w:color w:val="000000"/>
              </w:rPr>
              <w:t>237</w:t>
            </w:r>
          </w:p>
        </w:tc>
        <w:tc>
          <w:tcPr>
            <w:tcW w:w="938" w:type="pct"/>
            <w:tcBorders>
              <w:top w:val="none" w:sz="0" w:space="0" w:color="auto"/>
              <w:bottom w:val="none" w:sz="0" w:space="0" w:color="auto"/>
            </w:tcBorders>
            <w:vAlign w:val="bottom"/>
          </w:tcPr>
          <w:p w:rsidR="00FB442A" w:rsidRPr="007C2D51" w:rsidRDefault="00FB442A" w:rsidP="005F35F2">
            <w:pPr>
              <w:jc w:val="right"/>
              <w:cnfStyle w:val="000000100000"/>
              <w:rPr>
                <w:rFonts w:cs="Calibri"/>
                <w:color w:val="000000"/>
              </w:rPr>
            </w:pPr>
            <w:r w:rsidRPr="007C2D51">
              <w:rPr>
                <w:rFonts w:cs="Calibri"/>
                <w:color w:val="000000"/>
              </w:rPr>
              <w:t xml:space="preserve">3,054,526 </w:t>
            </w:r>
          </w:p>
        </w:tc>
        <w:tc>
          <w:tcPr>
            <w:tcW w:w="761" w:type="pct"/>
            <w:tcBorders>
              <w:top w:val="none" w:sz="0" w:space="0" w:color="auto"/>
              <w:bottom w:val="none" w:sz="0" w:space="0" w:color="auto"/>
              <w:right w:val="none" w:sz="0" w:space="0" w:color="auto"/>
            </w:tcBorders>
            <w:noWrap/>
            <w:vAlign w:val="bottom"/>
          </w:tcPr>
          <w:p w:rsidR="00FB442A" w:rsidRPr="007C2D51" w:rsidRDefault="00FB442A">
            <w:pPr>
              <w:jc w:val="right"/>
              <w:cnfStyle w:val="000000100000"/>
              <w:rPr>
                <w:rFonts w:cs="Calibri"/>
                <w:color w:val="000000"/>
              </w:rPr>
            </w:pPr>
            <w:r w:rsidRPr="007C2D51">
              <w:rPr>
                <w:rFonts w:cs="Calibri"/>
                <w:color w:val="000000"/>
              </w:rPr>
              <w:t>6%</w:t>
            </w:r>
          </w:p>
        </w:tc>
      </w:tr>
      <w:tr w:rsidR="00FB442A" w:rsidRPr="007C2D51" w:rsidTr="00F15767">
        <w:trPr>
          <w:trHeight w:val="300"/>
        </w:trPr>
        <w:tc>
          <w:tcPr>
            <w:cnfStyle w:val="001000000000"/>
            <w:tcW w:w="2778" w:type="pct"/>
            <w:noWrap/>
            <w:vAlign w:val="bottom"/>
          </w:tcPr>
          <w:p w:rsidR="00FB442A" w:rsidRPr="007C2D51" w:rsidRDefault="00FB442A" w:rsidP="001A78A8">
            <w:r w:rsidRPr="007C2D51">
              <w:t>Flexible routing</w:t>
            </w:r>
          </w:p>
        </w:tc>
        <w:tc>
          <w:tcPr>
            <w:tcW w:w="523" w:type="pct"/>
            <w:noWrap/>
            <w:vAlign w:val="bottom"/>
          </w:tcPr>
          <w:p w:rsidR="00FB442A" w:rsidRPr="007C2D51" w:rsidRDefault="00FB442A" w:rsidP="005F35F2">
            <w:pPr>
              <w:jc w:val="right"/>
              <w:cnfStyle w:val="000000000000"/>
              <w:rPr>
                <w:rFonts w:cs="Calibri"/>
                <w:color w:val="000000"/>
              </w:rPr>
            </w:pPr>
            <w:r w:rsidRPr="007C2D51">
              <w:rPr>
                <w:rFonts w:cs="Calibri"/>
                <w:color w:val="000000"/>
              </w:rPr>
              <w:t>61</w:t>
            </w:r>
          </w:p>
        </w:tc>
        <w:tc>
          <w:tcPr>
            <w:tcW w:w="938" w:type="pct"/>
            <w:vAlign w:val="bottom"/>
          </w:tcPr>
          <w:p w:rsidR="00FB442A" w:rsidRPr="007C2D51" w:rsidRDefault="00FB442A" w:rsidP="005F35F2">
            <w:pPr>
              <w:jc w:val="right"/>
              <w:cnfStyle w:val="000000000000"/>
              <w:rPr>
                <w:rFonts w:cs="Calibri"/>
                <w:color w:val="000000"/>
              </w:rPr>
            </w:pPr>
            <w:r w:rsidRPr="007C2D51">
              <w:rPr>
                <w:rFonts w:cs="Calibri"/>
                <w:color w:val="000000"/>
              </w:rPr>
              <w:t xml:space="preserve"> 1,431,176 </w:t>
            </w:r>
          </w:p>
        </w:tc>
        <w:tc>
          <w:tcPr>
            <w:tcW w:w="761" w:type="pct"/>
            <w:noWrap/>
            <w:vAlign w:val="bottom"/>
          </w:tcPr>
          <w:p w:rsidR="00FB442A" w:rsidRPr="007C2D51" w:rsidRDefault="00FB442A">
            <w:pPr>
              <w:jc w:val="right"/>
              <w:cnfStyle w:val="000000000000"/>
              <w:rPr>
                <w:rFonts w:cs="Calibri"/>
                <w:color w:val="000000"/>
              </w:rPr>
            </w:pPr>
            <w:r w:rsidRPr="007C2D51">
              <w:rPr>
                <w:rFonts w:cs="Calibri"/>
                <w:color w:val="000000"/>
              </w:rPr>
              <w:t>3%</w:t>
            </w:r>
          </w:p>
        </w:tc>
      </w:tr>
      <w:tr w:rsidR="00FB442A" w:rsidRPr="007C2D51" w:rsidTr="00F15767">
        <w:trPr>
          <w:cnfStyle w:val="000000100000"/>
          <w:trHeight w:val="300"/>
        </w:trPr>
        <w:tc>
          <w:tcPr>
            <w:cnfStyle w:val="001000000000"/>
            <w:tcW w:w="2778" w:type="pct"/>
            <w:tcBorders>
              <w:top w:val="none" w:sz="0" w:space="0" w:color="auto"/>
              <w:left w:val="none" w:sz="0" w:space="0" w:color="auto"/>
              <w:bottom w:val="none" w:sz="0" w:space="0" w:color="auto"/>
            </w:tcBorders>
            <w:noWrap/>
            <w:vAlign w:val="bottom"/>
          </w:tcPr>
          <w:p w:rsidR="00FB442A" w:rsidRPr="007C2D51" w:rsidRDefault="00FB442A" w:rsidP="001A78A8">
            <w:r w:rsidRPr="007C2D51">
              <w:t>Shuttle/Feeder</w:t>
            </w:r>
          </w:p>
        </w:tc>
        <w:tc>
          <w:tcPr>
            <w:tcW w:w="523" w:type="pct"/>
            <w:tcBorders>
              <w:top w:val="none" w:sz="0" w:space="0" w:color="auto"/>
              <w:bottom w:val="none" w:sz="0" w:space="0" w:color="auto"/>
            </w:tcBorders>
            <w:noWrap/>
            <w:vAlign w:val="bottom"/>
          </w:tcPr>
          <w:p w:rsidR="00FB442A" w:rsidRPr="007C2D51" w:rsidRDefault="00FB442A" w:rsidP="005F35F2">
            <w:pPr>
              <w:jc w:val="right"/>
              <w:cnfStyle w:val="000000100000"/>
              <w:rPr>
                <w:rFonts w:cs="Calibri"/>
                <w:color w:val="000000"/>
              </w:rPr>
            </w:pPr>
            <w:r w:rsidRPr="007C2D51">
              <w:rPr>
                <w:rFonts w:cs="Calibri"/>
                <w:color w:val="000000"/>
              </w:rPr>
              <w:t>52</w:t>
            </w:r>
          </w:p>
        </w:tc>
        <w:tc>
          <w:tcPr>
            <w:tcW w:w="938" w:type="pct"/>
            <w:tcBorders>
              <w:top w:val="none" w:sz="0" w:space="0" w:color="auto"/>
              <w:bottom w:val="none" w:sz="0" w:space="0" w:color="auto"/>
            </w:tcBorders>
            <w:vAlign w:val="bottom"/>
          </w:tcPr>
          <w:p w:rsidR="00FB442A" w:rsidRPr="007C2D51" w:rsidRDefault="00FB442A" w:rsidP="005F35F2">
            <w:pPr>
              <w:jc w:val="right"/>
              <w:cnfStyle w:val="000000100000"/>
              <w:rPr>
                <w:rFonts w:cs="Calibri"/>
                <w:color w:val="000000"/>
              </w:rPr>
            </w:pPr>
            <w:r w:rsidRPr="007C2D51">
              <w:rPr>
                <w:rFonts w:cs="Calibri"/>
                <w:color w:val="000000"/>
              </w:rPr>
              <w:t xml:space="preserve">1,229,871 </w:t>
            </w:r>
          </w:p>
        </w:tc>
        <w:tc>
          <w:tcPr>
            <w:tcW w:w="761" w:type="pct"/>
            <w:tcBorders>
              <w:top w:val="none" w:sz="0" w:space="0" w:color="auto"/>
              <w:bottom w:val="none" w:sz="0" w:space="0" w:color="auto"/>
              <w:right w:val="none" w:sz="0" w:space="0" w:color="auto"/>
            </w:tcBorders>
            <w:noWrap/>
            <w:vAlign w:val="bottom"/>
          </w:tcPr>
          <w:p w:rsidR="00FB442A" w:rsidRPr="007C2D51" w:rsidRDefault="00FB442A">
            <w:pPr>
              <w:jc w:val="right"/>
              <w:cnfStyle w:val="000000100000"/>
              <w:rPr>
                <w:rFonts w:cs="Calibri"/>
                <w:color w:val="000000"/>
              </w:rPr>
            </w:pPr>
            <w:r w:rsidRPr="007C2D51">
              <w:rPr>
                <w:rFonts w:cs="Calibri"/>
                <w:color w:val="000000"/>
              </w:rPr>
              <w:t>2%</w:t>
            </w:r>
          </w:p>
        </w:tc>
      </w:tr>
      <w:tr w:rsidR="00FB442A" w:rsidRPr="007C2D51" w:rsidTr="00F15767">
        <w:trPr>
          <w:trHeight w:val="300"/>
        </w:trPr>
        <w:tc>
          <w:tcPr>
            <w:cnfStyle w:val="001000000000"/>
            <w:tcW w:w="2778" w:type="pct"/>
            <w:noWrap/>
            <w:vAlign w:val="bottom"/>
          </w:tcPr>
          <w:p w:rsidR="00FB442A" w:rsidRPr="007C2D51" w:rsidRDefault="00FB442A" w:rsidP="001A78A8">
            <w:r w:rsidRPr="007C2D51">
              <w:t>Vanpool service</w:t>
            </w:r>
          </w:p>
        </w:tc>
        <w:tc>
          <w:tcPr>
            <w:tcW w:w="523" w:type="pct"/>
            <w:noWrap/>
            <w:vAlign w:val="bottom"/>
          </w:tcPr>
          <w:p w:rsidR="00FB442A" w:rsidRPr="007C2D51" w:rsidRDefault="00FB442A" w:rsidP="005F35F2">
            <w:pPr>
              <w:jc w:val="right"/>
              <w:cnfStyle w:val="000000000000"/>
              <w:rPr>
                <w:rFonts w:cs="Calibri"/>
                <w:color w:val="000000"/>
              </w:rPr>
            </w:pPr>
            <w:r w:rsidRPr="007C2D51">
              <w:rPr>
                <w:rFonts w:cs="Calibri"/>
                <w:color w:val="000000"/>
              </w:rPr>
              <w:t>28</w:t>
            </w:r>
          </w:p>
        </w:tc>
        <w:tc>
          <w:tcPr>
            <w:tcW w:w="938" w:type="pct"/>
            <w:vAlign w:val="bottom"/>
          </w:tcPr>
          <w:p w:rsidR="00FB442A" w:rsidRPr="007C2D51" w:rsidRDefault="00FB442A" w:rsidP="005F35F2">
            <w:pPr>
              <w:jc w:val="right"/>
              <w:cnfStyle w:val="000000000000"/>
              <w:rPr>
                <w:rFonts w:cs="Calibri"/>
                <w:color w:val="000000"/>
              </w:rPr>
            </w:pPr>
            <w:r w:rsidRPr="007C2D51">
              <w:rPr>
                <w:rFonts w:cs="Calibri"/>
                <w:color w:val="000000"/>
              </w:rPr>
              <w:t xml:space="preserve"> 870,453 </w:t>
            </w:r>
          </w:p>
        </w:tc>
        <w:tc>
          <w:tcPr>
            <w:tcW w:w="761" w:type="pct"/>
            <w:noWrap/>
            <w:vAlign w:val="bottom"/>
          </w:tcPr>
          <w:p w:rsidR="00FB442A" w:rsidRPr="007C2D51" w:rsidRDefault="00FB442A">
            <w:pPr>
              <w:jc w:val="right"/>
              <w:cnfStyle w:val="000000000000"/>
              <w:rPr>
                <w:rFonts w:cs="Calibri"/>
                <w:color w:val="000000"/>
              </w:rPr>
            </w:pPr>
            <w:r w:rsidRPr="007C2D51">
              <w:rPr>
                <w:rFonts w:cs="Calibri"/>
                <w:color w:val="000000"/>
              </w:rPr>
              <w:t>2%</w:t>
            </w:r>
          </w:p>
        </w:tc>
      </w:tr>
      <w:tr w:rsidR="00FB442A" w:rsidRPr="007C2D51" w:rsidTr="00F15767">
        <w:trPr>
          <w:cnfStyle w:val="000000100000"/>
          <w:trHeight w:val="300"/>
        </w:trPr>
        <w:tc>
          <w:tcPr>
            <w:cnfStyle w:val="001000000000"/>
            <w:tcW w:w="2778" w:type="pct"/>
            <w:tcBorders>
              <w:top w:val="none" w:sz="0" w:space="0" w:color="auto"/>
              <w:left w:val="none" w:sz="0" w:space="0" w:color="auto"/>
              <w:bottom w:val="none" w:sz="0" w:space="0" w:color="auto"/>
            </w:tcBorders>
            <w:noWrap/>
            <w:vAlign w:val="bottom"/>
          </w:tcPr>
          <w:p w:rsidR="00FB442A" w:rsidRPr="007C2D51" w:rsidRDefault="00FB442A" w:rsidP="001A78A8">
            <w:r w:rsidRPr="007C2D51">
              <w:t>User-side subsidy</w:t>
            </w:r>
          </w:p>
        </w:tc>
        <w:tc>
          <w:tcPr>
            <w:tcW w:w="523" w:type="pct"/>
            <w:tcBorders>
              <w:top w:val="none" w:sz="0" w:space="0" w:color="auto"/>
              <w:bottom w:val="none" w:sz="0" w:space="0" w:color="auto"/>
            </w:tcBorders>
            <w:noWrap/>
            <w:vAlign w:val="bottom"/>
          </w:tcPr>
          <w:p w:rsidR="00FB442A" w:rsidRPr="007C2D51" w:rsidRDefault="00FB442A" w:rsidP="005F35F2">
            <w:pPr>
              <w:jc w:val="right"/>
              <w:cnfStyle w:val="000000100000"/>
              <w:rPr>
                <w:rFonts w:cs="Calibri"/>
                <w:color w:val="000000"/>
              </w:rPr>
            </w:pPr>
            <w:r w:rsidRPr="007C2D51">
              <w:rPr>
                <w:rFonts w:cs="Calibri"/>
                <w:color w:val="000000"/>
              </w:rPr>
              <w:t>38</w:t>
            </w:r>
          </w:p>
        </w:tc>
        <w:tc>
          <w:tcPr>
            <w:tcW w:w="938" w:type="pct"/>
            <w:tcBorders>
              <w:top w:val="none" w:sz="0" w:space="0" w:color="auto"/>
              <w:bottom w:val="none" w:sz="0" w:space="0" w:color="auto"/>
            </w:tcBorders>
            <w:vAlign w:val="bottom"/>
          </w:tcPr>
          <w:p w:rsidR="00FB442A" w:rsidRPr="007C2D51" w:rsidRDefault="00FB442A" w:rsidP="005F35F2">
            <w:pPr>
              <w:jc w:val="right"/>
              <w:cnfStyle w:val="000000100000"/>
              <w:rPr>
                <w:rFonts w:cs="Calibri"/>
                <w:color w:val="000000"/>
              </w:rPr>
            </w:pPr>
            <w:r w:rsidRPr="007C2D51">
              <w:rPr>
                <w:rFonts w:cs="Calibri"/>
                <w:color w:val="000000"/>
              </w:rPr>
              <w:t xml:space="preserve">572,997 </w:t>
            </w:r>
          </w:p>
        </w:tc>
        <w:tc>
          <w:tcPr>
            <w:tcW w:w="761" w:type="pct"/>
            <w:tcBorders>
              <w:top w:val="none" w:sz="0" w:space="0" w:color="auto"/>
              <w:bottom w:val="none" w:sz="0" w:space="0" w:color="auto"/>
              <w:right w:val="none" w:sz="0" w:space="0" w:color="auto"/>
            </w:tcBorders>
            <w:noWrap/>
            <w:vAlign w:val="bottom"/>
          </w:tcPr>
          <w:p w:rsidR="00FB442A" w:rsidRPr="007C2D51" w:rsidRDefault="00FB442A">
            <w:pPr>
              <w:jc w:val="right"/>
              <w:cnfStyle w:val="000000100000"/>
              <w:rPr>
                <w:rFonts w:cs="Calibri"/>
                <w:color w:val="000000"/>
              </w:rPr>
            </w:pPr>
            <w:r w:rsidRPr="007C2D51">
              <w:rPr>
                <w:rFonts w:cs="Calibri"/>
                <w:color w:val="000000"/>
              </w:rPr>
              <w:t>1%</w:t>
            </w:r>
          </w:p>
        </w:tc>
      </w:tr>
      <w:tr w:rsidR="005F35F2" w:rsidRPr="007C2D51" w:rsidTr="00F15767">
        <w:trPr>
          <w:trHeight w:val="300"/>
        </w:trPr>
        <w:tc>
          <w:tcPr>
            <w:cnfStyle w:val="001000000000"/>
            <w:tcW w:w="2778" w:type="pct"/>
            <w:shd w:val="clear" w:color="auto" w:fill="475A8D" w:themeFill="accent6"/>
            <w:noWrap/>
            <w:vAlign w:val="bottom"/>
          </w:tcPr>
          <w:p w:rsidR="005F35F2" w:rsidRPr="007C2D51" w:rsidRDefault="005F35F2" w:rsidP="001A78A8">
            <w:pPr>
              <w:rPr>
                <w:color w:val="FFFFFF" w:themeColor="background1"/>
              </w:rPr>
            </w:pPr>
            <w:r w:rsidRPr="007C2D51">
              <w:rPr>
                <w:color w:val="FFFFFF" w:themeColor="background1"/>
              </w:rPr>
              <w:t>Information-Based Services</w:t>
            </w:r>
          </w:p>
        </w:tc>
        <w:tc>
          <w:tcPr>
            <w:tcW w:w="523" w:type="pct"/>
            <w:shd w:val="clear" w:color="auto" w:fill="475A8D" w:themeFill="accent6"/>
            <w:noWrap/>
            <w:vAlign w:val="bottom"/>
          </w:tcPr>
          <w:p w:rsidR="005F35F2" w:rsidRPr="007C2D51" w:rsidRDefault="005F35F2" w:rsidP="005F35F2">
            <w:pPr>
              <w:jc w:val="right"/>
              <w:cnfStyle w:val="000000000000"/>
              <w:rPr>
                <w:rFonts w:cs="Calibri"/>
                <w:b/>
                <w:bCs/>
                <w:color w:val="FFFFFF" w:themeColor="background1"/>
              </w:rPr>
            </w:pPr>
            <w:r w:rsidRPr="007C2D51">
              <w:rPr>
                <w:rFonts w:cs="Calibri"/>
                <w:b/>
                <w:bCs/>
                <w:color w:val="FFFFFF" w:themeColor="background1"/>
              </w:rPr>
              <w:t>120</w:t>
            </w:r>
          </w:p>
        </w:tc>
        <w:tc>
          <w:tcPr>
            <w:tcW w:w="938" w:type="pct"/>
            <w:shd w:val="clear" w:color="auto" w:fill="475A8D" w:themeFill="accent6"/>
            <w:vAlign w:val="bottom"/>
          </w:tcPr>
          <w:p w:rsidR="005F35F2" w:rsidRPr="007C2D51" w:rsidRDefault="005F35F2" w:rsidP="005F35F2">
            <w:pPr>
              <w:jc w:val="right"/>
              <w:cnfStyle w:val="000000000000"/>
              <w:rPr>
                <w:rFonts w:cs="Calibri"/>
                <w:b/>
                <w:color w:val="FFFFFF" w:themeColor="background1"/>
              </w:rPr>
            </w:pPr>
            <w:r w:rsidRPr="007C2D51">
              <w:rPr>
                <w:rFonts w:cs="Calibri"/>
                <w:b/>
                <w:color w:val="FFFFFF" w:themeColor="background1"/>
              </w:rPr>
              <w:t xml:space="preserve">375,254 </w:t>
            </w:r>
          </w:p>
        </w:tc>
        <w:tc>
          <w:tcPr>
            <w:tcW w:w="761" w:type="pct"/>
            <w:shd w:val="clear" w:color="auto" w:fill="475A8D" w:themeFill="accent6"/>
            <w:noWrap/>
            <w:vAlign w:val="bottom"/>
          </w:tcPr>
          <w:p w:rsidR="005F35F2" w:rsidRPr="007C2D51" w:rsidRDefault="005F35F2" w:rsidP="005F35F2">
            <w:pPr>
              <w:jc w:val="right"/>
              <w:cnfStyle w:val="000000000000"/>
              <w:rPr>
                <w:b/>
                <w:color w:val="FFFFFF" w:themeColor="background1"/>
              </w:rPr>
            </w:pPr>
            <w:r w:rsidRPr="007C2D51">
              <w:rPr>
                <w:b/>
                <w:color w:val="FFFFFF" w:themeColor="background1"/>
              </w:rPr>
              <w:t>1%</w:t>
            </w:r>
          </w:p>
        </w:tc>
      </w:tr>
      <w:tr w:rsidR="005F35F2" w:rsidRPr="007C2D51" w:rsidTr="00F15767">
        <w:trPr>
          <w:cnfStyle w:val="000000100000"/>
          <w:trHeight w:val="315"/>
        </w:trPr>
        <w:tc>
          <w:tcPr>
            <w:cnfStyle w:val="001000000000"/>
            <w:tcW w:w="2778" w:type="pct"/>
            <w:tcBorders>
              <w:top w:val="none" w:sz="0" w:space="0" w:color="auto"/>
              <w:left w:val="none" w:sz="0" w:space="0" w:color="auto"/>
              <w:bottom w:val="none" w:sz="0" w:space="0" w:color="auto"/>
            </w:tcBorders>
            <w:noWrap/>
            <w:vAlign w:val="bottom"/>
          </w:tcPr>
          <w:p w:rsidR="005F35F2" w:rsidRPr="007C2D51" w:rsidRDefault="005F35F2" w:rsidP="001A78A8">
            <w:r w:rsidRPr="007C2D51">
              <w:t>Mobility manager</w:t>
            </w:r>
          </w:p>
        </w:tc>
        <w:tc>
          <w:tcPr>
            <w:tcW w:w="523" w:type="pct"/>
            <w:tcBorders>
              <w:top w:val="none" w:sz="0" w:space="0" w:color="auto"/>
              <w:bottom w:val="none" w:sz="0" w:space="0" w:color="auto"/>
            </w:tcBorders>
            <w:noWrap/>
            <w:vAlign w:val="bottom"/>
          </w:tcPr>
          <w:p w:rsidR="005F35F2" w:rsidRPr="007C2D51" w:rsidRDefault="005F35F2" w:rsidP="005F35F2">
            <w:pPr>
              <w:jc w:val="right"/>
              <w:cnfStyle w:val="000000100000"/>
              <w:rPr>
                <w:rFonts w:cs="Calibri"/>
                <w:color w:val="000000"/>
              </w:rPr>
            </w:pPr>
            <w:r w:rsidRPr="007C2D51">
              <w:rPr>
                <w:rFonts w:cs="Calibri"/>
                <w:color w:val="000000"/>
              </w:rPr>
              <w:t>65</w:t>
            </w:r>
          </w:p>
        </w:tc>
        <w:tc>
          <w:tcPr>
            <w:tcW w:w="938" w:type="pct"/>
            <w:tcBorders>
              <w:top w:val="none" w:sz="0" w:space="0" w:color="auto"/>
              <w:bottom w:val="none" w:sz="0" w:space="0" w:color="auto"/>
            </w:tcBorders>
            <w:vAlign w:val="bottom"/>
          </w:tcPr>
          <w:p w:rsidR="005F35F2" w:rsidRPr="007C2D51" w:rsidRDefault="005F35F2" w:rsidP="005F35F2">
            <w:pPr>
              <w:jc w:val="right"/>
              <w:cnfStyle w:val="000000100000"/>
              <w:rPr>
                <w:rFonts w:cs="Calibri"/>
                <w:color w:val="000000"/>
              </w:rPr>
            </w:pPr>
            <w:r w:rsidRPr="007C2D51">
              <w:rPr>
                <w:rFonts w:cs="Calibri"/>
                <w:color w:val="000000"/>
              </w:rPr>
              <w:t xml:space="preserve">375,254 </w:t>
            </w:r>
          </w:p>
        </w:tc>
        <w:tc>
          <w:tcPr>
            <w:tcW w:w="761" w:type="pct"/>
            <w:tcBorders>
              <w:top w:val="none" w:sz="0" w:space="0" w:color="auto"/>
              <w:bottom w:val="none" w:sz="0" w:space="0" w:color="auto"/>
              <w:right w:val="none" w:sz="0" w:space="0" w:color="auto"/>
            </w:tcBorders>
            <w:noWrap/>
            <w:vAlign w:val="bottom"/>
          </w:tcPr>
          <w:p w:rsidR="005F35F2" w:rsidRPr="007C2D51" w:rsidRDefault="005F35F2" w:rsidP="005F35F2">
            <w:pPr>
              <w:jc w:val="right"/>
              <w:cnfStyle w:val="000000100000"/>
            </w:pPr>
            <w:r w:rsidRPr="007C2D51">
              <w:t>1%</w:t>
            </w:r>
          </w:p>
        </w:tc>
      </w:tr>
      <w:tr w:rsidR="005F35F2" w:rsidRPr="007C2D51" w:rsidTr="00F15767">
        <w:trPr>
          <w:trHeight w:val="315"/>
        </w:trPr>
        <w:tc>
          <w:tcPr>
            <w:cnfStyle w:val="001000000000"/>
            <w:tcW w:w="2778" w:type="pct"/>
            <w:noWrap/>
            <w:vAlign w:val="bottom"/>
          </w:tcPr>
          <w:p w:rsidR="005F35F2" w:rsidRPr="007C2D51" w:rsidRDefault="005F35F2" w:rsidP="001A78A8">
            <w:r w:rsidRPr="007C2D51">
              <w:t>One-on-one transit training</w:t>
            </w:r>
          </w:p>
        </w:tc>
        <w:tc>
          <w:tcPr>
            <w:tcW w:w="523" w:type="pct"/>
            <w:noWrap/>
            <w:vAlign w:val="bottom"/>
          </w:tcPr>
          <w:p w:rsidR="005F35F2" w:rsidRPr="007C2D51" w:rsidRDefault="005F35F2" w:rsidP="005F35F2">
            <w:pPr>
              <w:jc w:val="right"/>
              <w:cnfStyle w:val="000000000000"/>
              <w:rPr>
                <w:rFonts w:cs="Calibri"/>
                <w:color w:val="000000"/>
              </w:rPr>
            </w:pPr>
            <w:r w:rsidRPr="007C2D51">
              <w:rPr>
                <w:rFonts w:cs="Calibri"/>
                <w:color w:val="000000"/>
              </w:rPr>
              <w:t>15</w:t>
            </w:r>
          </w:p>
        </w:tc>
        <w:tc>
          <w:tcPr>
            <w:tcW w:w="938" w:type="pct"/>
            <w:vAlign w:val="bottom"/>
          </w:tcPr>
          <w:p w:rsidR="005F35F2" w:rsidRPr="007C2D51" w:rsidRDefault="005F35F2" w:rsidP="005F35F2">
            <w:pPr>
              <w:jc w:val="right"/>
              <w:cnfStyle w:val="000000000000"/>
            </w:pPr>
            <w:r w:rsidRPr="007C2D51">
              <w:t>N/A</w:t>
            </w:r>
          </w:p>
        </w:tc>
        <w:tc>
          <w:tcPr>
            <w:tcW w:w="761" w:type="pct"/>
            <w:noWrap/>
            <w:vAlign w:val="bottom"/>
          </w:tcPr>
          <w:p w:rsidR="005F35F2" w:rsidRPr="007C2D51" w:rsidRDefault="005F35F2" w:rsidP="005F35F2">
            <w:pPr>
              <w:jc w:val="right"/>
              <w:cnfStyle w:val="000000000000"/>
            </w:pPr>
            <w:r w:rsidRPr="007C2D51">
              <w:t>0%</w:t>
            </w:r>
          </w:p>
        </w:tc>
      </w:tr>
      <w:tr w:rsidR="005F35F2" w:rsidRPr="007C2D51" w:rsidTr="00F15767">
        <w:trPr>
          <w:cnfStyle w:val="000000100000"/>
          <w:trHeight w:val="315"/>
        </w:trPr>
        <w:tc>
          <w:tcPr>
            <w:cnfStyle w:val="001000000000"/>
            <w:tcW w:w="2778" w:type="pct"/>
            <w:tcBorders>
              <w:top w:val="none" w:sz="0" w:space="0" w:color="auto"/>
              <w:left w:val="none" w:sz="0" w:space="0" w:color="auto"/>
              <w:bottom w:val="none" w:sz="0" w:space="0" w:color="auto"/>
            </w:tcBorders>
            <w:noWrap/>
            <w:vAlign w:val="bottom"/>
          </w:tcPr>
          <w:p w:rsidR="005F35F2" w:rsidRPr="007C2D51" w:rsidRDefault="005F35F2" w:rsidP="001A78A8">
            <w:r w:rsidRPr="007C2D51">
              <w:t>Materials and marketing</w:t>
            </w:r>
          </w:p>
        </w:tc>
        <w:tc>
          <w:tcPr>
            <w:tcW w:w="523" w:type="pct"/>
            <w:tcBorders>
              <w:top w:val="none" w:sz="0" w:space="0" w:color="auto"/>
              <w:bottom w:val="none" w:sz="0" w:space="0" w:color="auto"/>
            </w:tcBorders>
            <w:noWrap/>
            <w:vAlign w:val="bottom"/>
          </w:tcPr>
          <w:p w:rsidR="005F35F2" w:rsidRPr="007C2D51" w:rsidRDefault="005F35F2" w:rsidP="005F35F2">
            <w:pPr>
              <w:jc w:val="right"/>
              <w:cnfStyle w:val="000000100000"/>
              <w:rPr>
                <w:rFonts w:cs="Calibri"/>
                <w:color w:val="000000"/>
              </w:rPr>
            </w:pPr>
            <w:r w:rsidRPr="007C2D51">
              <w:rPr>
                <w:rFonts w:cs="Calibri"/>
                <w:color w:val="000000"/>
              </w:rPr>
              <w:t>13</w:t>
            </w:r>
          </w:p>
        </w:tc>
        <w:tc>
          <w:tcPr>
            <w:tcW w:w="938" w:type="pct"/>
            <w:tcBorders>
              <w:top w:val="none" w:sz="0" w:space="0" w:color="auto"/>
              <w:bottom w:val="none" w:sz="0" w:space="0" w:color="auto"/>
            </w:tcBorders>
            <w:vAlign w:val="bottom"/>
          </w:tcPr>
          <w:p w:rsidR="005F35F2" w:rsidRPr="007C2D51" w:rsidRDefault="005F35F2" w:rsidP="005F35F2">
            <w:pPr>
              <w:jc w:val="right"/>
              <w:cnfStyle w:val="000000100000"/>
            </w:pPr>
            <w:r w:rsidRPr="007C2D51">
              <w:t>N/A</w:t>
            </w:r>
          </w:p>
        </w:tc>
        <w:tc>
          <w:tcPr>
            <w:tcW w:w="761" w:type="pct"/>
            <w:tcBorders>
              <w:top w:val="none" w:sz="0" w:space="0" w:color="auto"/>
              <w:bottom w:val="none" w:sz="0" w:space="0" w:color="auto"/>
              <w:right w:val="none" w:sz="0" w:space="0" w:color="auto"/>
            </w:tcBorders>
            <w:noWrap/>
            <w:vAlign w:val="bottom"/>
          </w:tcPr>
          <w:p w:rsidR="005F35F2" w:rsidRPr="007C2D51" w:rsidRDefault="005F35F2" w:rsidP="005F35F2">
            <w:pPr>
              <w:jc w:val="right"/>
              <w:cnfStyle w:val="000000100000"/>
            </w:pPr>
            <w:r w:rsidRPr="007C2D51">
              <w:t>0%</w:t>
            </w:r>
          </w:p>
        </w:tc>
      </w:tr>
      <w:tr w:rsidR="005F35F2" w:rsidRPr="007C2D51" w:rsidTr="00F15767">
        <w:trPr>
          <w:trHeight w:val="315"/>
        </w:trPr>
        <w:tc>
          <w:tcPr>
            <w:cnfStyle w:val="001000000000"/>
            <w:tcW w:w="2778" w:type="pct"/>
            <w:noWrap/>
            <w:vAlign w:val="bottom"/>
          </w:tcPr>
          <w:p w:rsidR="005F35F2" w:rsidRPr="007C2D51" w:rsidRDefault="005F35F2" w:rsidP="001A78A8">
            <w:r w:rsidRPr="007C2D51">
              <w:t>Transportation resource training</w:t>
            </w:r>
          </w:p>
        </w:tc>
        <w:tc>
          <w:tcPr>
            <w:tcW w:w="523" w:type="pct"/>
            <w:noWrap/>
            <w:vAlign w:val="bottom"/>
          </w:tcPr>
          <w:p w:rsidR="005F35F2" w:rsidRPr="007C2D51" w:rsidRDefault="005F35F2" w:rsidP="005F35F2">
            <w:pPr>
              <w:jc w:val="right"/>
              <w:cnfStyle w:val="000000000000"/>
              <w:rPr>
                <w:rFonts w:cs="Calibri"/>
                <w:color w:val="000000"/>
              </w:rPr>
            </w:pPr>
            <w:r w:rsidRPr="007C2D51">
              <w:rPr>
                <w:rFonts w:cs="Calibri"/>
                <w:color w:val="000000"/>
              </w:rPr>
              <w:t>10</w:t>
            </w:r>
          </w:p>
        </w:tc>
        <w:tc>
          <w:tcPr>
            <w:tcW w:w="938" w:type="pct"/>
            <w:vAlign w:val="bottom"/>
          </w:tcPr>
          <w:p w:rsidR="005F35F2" w:rsidRPr="007C2D51" w:rsidRDefault="005F35F2" w:rsidP="005F35F2">
            <w:pPr>
              <w:jc w:val="right"/>
              <w:cnfStyle w:val="000000000000"/>
            </w:pPr>
            <w:r w:rsidRPr="007C2D51">
              <w:t>N/A</w:t>
            </w:r>
          </w:p>
        </w:tc>
        <w:tc>
          <w:tcPr>
            <w:tcW w:w="761" w:type="pct"/>
            <w:noWrap/>
            <w:vAlign w:val="bottom"/>
          </w:tcPr>
          <w:p w:rsidR="005F35F2" w:rsidRPr="007C2D51" w:rsidRDefault="005F35F2" w:rsidP="005F35F2">
            <w:pPr>
              <w:jc w:val="right"/>
              <w:cnfStyle w:val="000000000000"/>
            </w:pPr>
            <w:r w:rsidRPr="007C2D51">
              <w:t>0%</w:t>
            </w:r>
          </w:p>
        </w:tc>
      </w:tr>
      <w:tr w:rsidR="005F35F2" w:rsidRPr="007C2D51" w:rsidTr="00F15767">
        <w:trPr>
          <w:cnfStyle w:val="000000100000"/>
          <w:trHeight w:val="315"/>
        </w:trPr>
        <w:tc>
          <w:tcPr>
            <w:cnfStyle w:val="001000000000"/>
            <w:tcW w:w="2778" w:type="pct"/>
            <w:tcBorders>
              <w:top w:val="none" w:sz="0" w:space="0" w:color="auto"/>
              <w:left w:val="none" w:sz="0" w:space="0" w:color="auto"/>
              <w:bottom w:val="none" w:sz="0" w:space="0" w:color="auto"/>
            </w:tcBorders>
            <w:noWrap/>
            <w:vAlign w:val="bottom"/>
          </w:tcPr>
          <w:p w:rsidR="005F35F2" w:rsidRPr="007C2D51" w:rsidRDefault="005F35F2" w:rsidP="001A78A8">
            <w:r w:rsidRPr="007C2D51">
              <w:t>One-stop center</w:t>
            </w:r>
          </w:p>
        </w:tc>
        <w:tc>
          <w:tcPr>
            <w:tcW w:w="523" w:type="pct"/>
            <w:tcBorders>
              <w:top w:val="none" w:sz="0" w:space="0" w:color="auto"/>
              <w:bottom w:val="none" w:sz="0" w:space="0" w:color="auto"/>
            </w:tcBorders>
            <w:noWrap/>
            <w:vAlign w:val="bottom"/>
          </w:tcPr>
          <w:p w:rsidR="005F35F2" w:rsidRPr="007C2D51" w:rsidRDefault="005F35F2" w:rsidP="005F35F2">
            <w:pPr>
              <w:jc w:val="right"/>
              <w:cnfStyle w:val="000000100000"/>
              <w:rPr>
                <w:rFonts w:cs="Calibri"/>
                <w:color w:val="000000"/>
              </w:rPr>
            </w:pPr>
            <w:r w:rsidRPr="007C2D51">
              <w:rPr>
                <w:rFonts w:cs="Calibri"/>
                <w:color w:val="000000"/>
              </w:rPr>
              <w:t>9</w:t>
            </w:r>
          </w:p>
        </w:tc>
        <w:tc>
          <w:tcPr>
            <w:tcW w:w="938" w:type="pct"/>
            <w:tcBorders>
              <w:top w:val="none" w:sz="0" w:space="0" w:color="auto"/>
              <w:bottom w:val="none" w:sz="0" w:space="0" w:color="auto"/>
            </w:tcBorders>
            <w:vAlign w:val="bottom"/>
          </w:tcPr>
          <w:p w:rsidR="005F35F2" w:rsidRPr="007C2D51" w:rsidRDefault="005F35F2" w:rsidP="005F35F2">
            <w:pPr>
              <w:jc w:val="right"/>
              <w:cnfStyle w:val="000000100000"/>
            </w:pPr>
            <w:r w:rsidRPr="007C2D51">
              <w:t>N/A</w:t>
            </w:r>
          </w:p>
        </w:tc>
        <w:tc>
          <w:tcPr>
            <w:tcW w:w="761" w:type="pct"/>
            <w:tcBorders>
              <w:top w:val="none" w:sz="0" w:space="0" w:color="auto"/>
              <w:bottom w:val="none" w:sz="0" w:space="0" w:color="auto"/>
              <w:right w:val="none" w:sz="0" w:space="0" w:color="auto"/>
            </w:tcBorders>
            <w:noWrap/>
            <w:vAlign w:val="bottom"/>
          </w:tcPr>
          <w:p w:rsidR="005F35F2" w:rsidRPr="007C2D51" w:rsidRDefault="005F35F2" w:rsidP="005F35F2">
            <w:pPr>
              <w:jc w:val="right"/>
              <w:cnfStyle w:val="000000100000"/>
            </w:pPr>
            <w:r w:rsidRPr="007C2D51">
              <w:t>0%</w:t>
            </w:r>
          </w:p>
        </w:tc>
      </w:tr>
      <w:tr w:rsidR="005F35F2" w:rsidRPr="007C2D51" w:rsidTr="00F15767">
        <w:trPr>
          <w:trHeight w:val="300"/>
        </w:trPr>
        <w:tc>
          <w:tcPr>
            <w:cnfStyle w:val="001000000000"/>
            <w:tcW w:w="2778" w:type="pct"/>
            <w:noWrap/>
            <w:vAlign w:val="bottom"/>
          </w:tcPr>
          <w:p w:rsidR="005F35F2" w:rsidRPr="007C2D51" w:rsidRDefault="005F35F2" w:rsidP="001A78A8">
            <w:r w:rsidRPr="007C2D51">
              <w:t>Trip/itinerary planning</w:t>
            </w:r>
          </w:p>
        </w:tc>
        <w:tc>
          <w:tcPr>
            <w:tcW w:w="523" w:type="pct"/>
            <w:noWrap/>
            <w:vAlign w:val="bottom"/>
          </w:tcPr>
          <w:p w:rsidR="005F35F2" w:rsidRPr="007C2D51" w:rsidRDefault="005F35F2" w:rsidP="005F35F2">
            <w:pPr>
              <w:jc w:val="right"/>
              <w:cnfStyle w:val="000000000000"/>
              <w:rPr>
                <w:rFonts w:cs="Calibri"/>
                <w:color w:val="000000"/>
              </w:rPr>
            </w:pPr>
            <w:r w:rsidRPr="007C2D51">
              <w:rPr>
                <w:rFonts w:cs="Calibri"/>
                <w:color w:val="000000"/>
              </w:rPr>
              <w:t>5</w:t>
            </w:r>
          </w:p>
        </w:tc>
        <w:tc>
          <w:tcPr>
            <w:tcW w:w="938" w:type="pct"/>
            <w:vAlign w:val="bottom"/>
          </w:tcPr>
          <w:p w:rsidR="005F35F2" w:rsidRPr="007C2D51" w:rsidRDefault="005F35F2" w:rsidP="005F35F2">
            <w:pPr>
              <w:jc w:val="right"/>
              <w:cnfStyle w:val="000000000000"/>
            </w:pPr>
            <w:r w:rsidRPr="007C2D51">
              <w:t>N/A</w:t>
            </w:r>
          </w:p>
        </w:tc>
        <w:tc>
          <w:tcPr>
            <w:tcW w:w="761" w:type="pct"/>
            <w:noWrap/>
            <w:vAlign w:val="bottom"/>
          </w:tcPr>
          <w:p w:rsidR="005F35F2" w:rsidRPr="007C2D51" w:rsidRDefault="005F35F2" w:rsidP="005F35F2">
            <w:pPr>
              <w:jc w:val="right"/>
              <w:cnfStyle w:val="000000000000"/>
            </w:pPr>
            <w:r w:rsidRPr="007C2D51">
              <w:t>0%</w:t>
            </w:r>
          </w:p>
        </w:tc>
      </w:tr>
      <w:tr w:rsidR="005F35F2" w:rsidRPr="007C2D51" w:rsidTr="00F15767">
        <w:trPr>
          <w:cnfStyle w:val="000000100000"/>
          <w:trHeight w:val="300"/>
        </w:trPr>
        <w:tc>
          <w:tcPr>
            <w:cnfStyle w:val="001000000000"/>
            <w:tcW w:w="2778" w:type="pct"/>
            <w:tcBorders>
              <w:top w:val="none" w:sz="0" w:space="0" w:color="auto"/>
              <w:left w:val="none" w:sz="0" w:space="0" w:color="auto"/>
              <w:bottom w:val="none" w:sz="0" w:space="0" w:color="auto"/>
            </w:tcBorders>
            <w:noWrap/>
            <w:vAlign w:val="bottom"/>
          </w:tcPr>
          <w:p w:rsidR="005F35F2" w:rsidRPr="007C2D51" w:rsidRDefault="005F35F2" w:rsidP="001A78A8">
            <w:r w:rsidRPr="007C2D51">
              <w:t>Internet-based information</w:t>
            </w:r>
          </w:p>
        </w:tc>
        <w:tc>
          <w:tcPr>
            <w:tcW w:w="523" w:type="pct"/>
            <w:tcBorders>
              <w:top w:val="none" w:sz="0" w:space="0" w:color="auto"/>
              <w:bottom w:val="none" w:sz="0" w:space="0" w:color="auto"/>
            </w:tcBorders>
            <w:noWrap/>
            <w:vAlign w:val="bottom"/>
          </w:tcPr>
          <w:p w:rsidR="005F35F2" w:rsidRPr="007C2D51" w:rsidRDefault="005F35F2" w:rsidP="005F35F2">
            <w:pPr>
              <w:jc w:val="right"/>
              <w:cnfStyle w:val="000000100000"/>
              <w:rPr>
                <w:rFonts w:cs="Calibri"/>
                <w:color w:val="000000"/>
              </w:rPr>
            </w:pPr>
            <w:r w:rsidRPr="007C2D51">
              <w:rPr>
                <w:rFonts w:cs="Calibri"/>
                <w:color w:val="000000"/>
              </w:rPr>
              <w:t>3</w:t>
            </w:r>
          </w:p>
        </w:tc>
        <w:tc>
          <w:tcPr>
            <w:tcW w:w="938" w:type="pct"/>
            <w:tcBorders>
              <w:top w:val="none" w:sz="0" w:space="0" w:color="auto"/>
              <w:bottom w:val="none" w:sz="0" w:space="0" w:color="auto"/>
            </w:tcBorders>
            <w:vAlign w:val="bottom"/>
          </w:tcPr>
          <w:p w:rsidR="005F35F2" w:rsidRPr="007C2D51" w:rsidRDefault="005F35F2" w:rsidP="005F35F2">
            <w:pPr>
              <w:jc w:val="right"/>
              <w:cnfStyle w:val="000000100000"/>
            </w:pPr>
            <w:r w:rsidRPr="007C2D51">
              <w:t>N/A</w:t>
            </w:r>
          </w:p>
        </w:tc>
        <w:tc>
          <w:tcPr>
            <w:tcW w:w="761" w:type="pct"/>
            <w:tcBorders>
              <w:top w:val="none" w:sz="0" w:space="0" w:color="auto"/>
              <w:bottom w:val="none" w:sz="0" w:space="0" w:color="auto"/>
              <w:right w:val="none" w:sz="0" w:space="0" w:color="auto"/>
            </w:tcBorders>
            <w:noWrap/>
            <w:vAlign w:val="bottom"/>
          </w:tcPr>
          <w:p w:rsidR="005F35F2" w:rsidRPr="007C2D51" w:rsidRDefault="005F35F2" w:rsidP="005F35F2">
            <w:pPr>
              <w:jc w:val="right"/>
              <w:cnfStyle w:val="000000100000"/>
            </w:pPr>
            <w:r w:rsidRPr="007C2D51">
              <w:t>0%</w:t>
            </w:r>
          </w:p>
        </w:tc>
      </w:tr>
      <w:tr w:rsidR="005F35F2" w:rsidRPr="007C2D51" w:rsidTr="00F15767">
        <w:trPr>
          <w:trHeight w:val="300"/>
        </w:trPr>
        <w:tc>
          <w:tcPr>
            <w:cnfStyle w:val="001000000000"/>
            <w:tcW w:w="2778" w:type="pct"/>
            <w:shd w:val="clear" w:color="auto" w:fill="475A8D" w:themeFill="accent6"/>
            <w:noWrap/>
            <w:vAlign w:val="bottom"/>
          </w:tcPr>
          <w:p w:rsidR="005F35F2" w:rsidRPr="007C2D51" w:rsidRDefault="005F35F2" w:rsidP="001A78A8">
            <w:pPr>
              <w:rPr>
                <w:color w:val="FFFFFF" w:themeColor="background1"/>
              </w:rPr>
            </w:pPr>
            <w:r w:rsidRPr="007C2D51">
              <w:rPr>
                <w:color w:val="FFFFFF" w:themeColor="background1"/>
              </w:rPr>
              <w:t>Capital Investment Projects</w:t>
            </w:r>
          </w:p>
        </w:tc>
        <w:tc>
          <w:tcPr>
            <w:tcW w:w="523" w:type="pct"/>
            <w:shd w:val="clear" w:color="auto" w:fill="475A8D" w:themeFill="accent6"/>
            <w:noWrap/>
            <w:vAlign w:val="bottom"/>
          </w:tcPr>
          <w:p w:rsidR="005F35F2" w:rsidRPr="007C2D51" w:rsidRDefault="005F35F2" w:rsidP="005F35F2">
            <w:pPr>
              <w:jc w:val="right"/>
              <w:cnfStyle w:val="000000000000"/>
              <w:rPr>
                <w:rFonts w:cs="Calibri"/>
                <w:b/>
                <w:bCs/>
                <w:color w:val="FFFFFF" w:themeColor="background1"/>
              </w:rPr>
            </w:pPr>
            <w:r w:rsidRPr="007C2D51">
              <w:rPr>
                <w:rFonts w:cs="Calibri"/>
                <w:b/>
                <w:bCs/>
                <w:color w:val="FFFFFF" w:themeColor="background1"/>
              </w:rPr>
              <w:t>83</w:t>
            </w:r>
          </w:p>
        </w:tc>
        <w:tc>
          <w:tcPr>
            <w:tcW w:w="938" w:type="pct"/>
            <w:shd w:val="clear" w:color="auto" w:fill="475A8D" w:themeFill="accent6"/>
            <w:vAlign w:val="bottom"/>
          </w:tcPr>
          <w:p w:rsidR="005F35F2" w:rsidRPr="007C2D51" w:rsidRDefault="005F35F2" w:rsidP="005F35F2">
            <w:pPr>
              <w:jc w:val="right"/>
              <w:cnfStyle w:val="000000000000"/>
              <w:rPr>
                <w:rFonts w:cs="Calibri"/>
                <w:b/>
                <w:bCs/>
                <w:color w:val="FFFFFF" w:themeColor="background1"/>
              </w:rPr>
            </w:pPr>
            <w:r w:rsidRPr="007C2D51">
              <w:rPr>
                <w:rFonts w:cs="Calibri"/>
                <w:b/>
                <w:bCs/>
                <w:color w:val="FFFFFF" w:themeColor="background1"/>
              </w:rPr>
              <w:t xml:space="preserve">377,959 </w:t>
            </w:r>
          </w:p>
        </w:tc>
        <w:tc>
          <w:tcPr>
            <w:tcW w:w="761" w:type="pct"/>
            <w:shd w:val="clear" w:color="auto" w:fill="475A8D" w:themeFill="accent6"/>
            <w:noWrap/>
            <w:vAlign w:val="bottom"/>
          </w:tcPr>
          <w:p w:rsidR="005F35F2" w:rsidRPr="007C2D51" w:rsidRDefault="005F35F2" w:rsidP="005F35F2">
            <w:pPr>
              <w:jc w:val="right"/>
              <w:cnfStyle w:val="000000000000"/>
              <w:rPr>
                <w:b/>
                <w:color w:val="FFFFFF" w:themeColor="background1"/>
              </w:rPr>
            </w:pPr>
            <w:r w:rsidRPr="007C2D51">
              <w:rPr>
                <w:b/>
                <w:color w:val="FFFFFF" w:themeColor="background1"/>
              </w:rPr>
              <w:t>1%</w:t>
            </w:r>
          </w:p>
        </w:tc>
      </w:tr>
      <w:tr w:rsidR="005F35F2" w:rsidRPr="007C2D51" w:rsidTr="00F15767">
        <w:trPr>
          <w:cnfStyle w:val="000000100000"/>
          <w:trHeight w:val="300"/>
        </w:trPr>
        <w:tc>
          <w:tcPr>
            <w:cnfStyle w:val="001000000000"/>
            <w:tcW w:w="2778" w:type="pct"/>
            <w:tcBorders>
              <w:top w:val="none" w:sz="0" w:space="0" w:color="auto"/>
              <w:left w:val="none" w:sz="0" w:space="0" w:color="auto"/>
              <w:bottom w:val="none" w:sz="0" w:space="0" w:color="auto"/>
            </w:tcBorders>
            <w:noWrap/>
            <w:vAlign w:val="bottom"/>
          </w:tcPr>
          <w:p w:rsidR="005F35F2" w:rsidRPr="007C2D51" w:rsidRDefault="005F35F2" w:rsidP="005F35F2">
            <w:r w:rsidRPr="007C2D51">
              <w:t>Vehicle for individual</w:t>
            </w:r>
          </w:p>
        </w:tc>
        <w:tc>
          <w:tcPr>
            <w:tcW w:w="523" w:type="pct"/>
            <w:tcBorders>
              <w:top w:val="none" w:sz="0" w:space="0" w:color="auto"/>
              <w:bottom w:val="none" w:sz="0" w:space="0" w:color="auto"/>
            </w:tcBorders>
            <w:noWrap/>
            <w:vAlign w:val="bottom"/>
          </w:tcPr>
          <w:p w:rsidR="005F35F2" w:rsidRPr="007C2D51" w:rsidRDefault="005F35F2" w:rsidP="005F35F2">
            <w:pPr>
              <w:jc w:val="right"/>
              <w:cnfStyle w:val="000000100000"/>
              <w:rPr>
                <w:rFonts w:cs="Calibri"/>
                <w:color w:val="000000"/>
              </w:rPr>
            </w:pPr>
            <w:r w:rsidRPr="007C2D51">
              <w:rPr>
                <w:rFonts w:cs="Calibri"/>
                <w:color w:val="000000"/>
              </w:rPr>
              <w:t>31</w:t>
            </w:r>
          </w:p>
        </w:tc>
        <w:tc>
          <w:tcPr>
            <w:tcW w:w="938" w:type="pct"/>
            <w:tcBorders>
              <w:top w:val="none" w:sz="0" w:space="0" w:color="auto"/>
              <w:bottom w:val="none" w:sz="0" w:space="0" w:color="auto"/>
            </w:tcBorders>
            <w:vAlign w:val="bottom"/>
          </w:tcPr>
          <w:p w:rsidR="005F35F2" w:rsidRPr="007C2D51" w:rsidRDefault="005F35F2" w:rsidP="005F35F2">
            <w:pPr>
              <w:jc w:val="right"/>
              <w:cnfStyle w:val="000000100000"/>
              <w:rPr>
                <w:rFonts w:cs="Calibri"/>
                <w:color w:val="000000"/>
              </w:rPr>
            </w:pPr>
            <w:r w:rsidRPr="007C2D51">
              <w:rPr>
                <w:rFonts w:cs="Calibri"/>
                <w:color w:val="000000"/>
              </w:rPr>
              <w:t xml:space="preserve">265,831 </w:t>
            </w:r>
          </w:p>
        </w:tc>
        <w:tc>
          <w:tcPr>
            <w:tcW w:w="761" w:type="pct"/>
            <w:tcBorders>
              <w:top w:val="none" w:sz="0" w:space="0" w:color="auto"/>
              <w:bottom w:val="none" w:sz="0" w:space="0" w:color="auto"/>
              <w:right w:val="none" w:sz="0" w:space="0" w:color="auto"/>
            </w:tcBorders>
            <w:noWrap/>
            <w:vAlign w:val="bottom"/>
          </w:tcPr>
          <w:p w:rsidR="005F35F2" w:rsidRPr="007C2D51" w:rsidRDefault="005F35F2" w:rsidP="005F35F2">
            <w:pPr>
              <w:jc w:val="right"/>
              <w:cnfStyle w:val="000000100000"/>
            </w:pPr>
            <w:r w:rsidRPr="007C2D51">
              <w:t>0%</w:t>
            </w:r>
          </w:p>
        </w:tc>
      </w:tr>
      <w:tr w:rsidR="005F35F2" w:rsidRPr="007C2D51" w:rsidTr="00F15767">
        <w:trPr>
          <w:trHeight w:val="300"/>
        </w:trPr>
        <w:tc>
          <w:tcPr>
            <w:cnfStyle w:val="001000000000"/>
            <w:tcW w:w="2778" w:type="pct"/>
            <w:noWrap/>
            <w:vAlign w:val="bottom"/>
          </w:tcPr>
          <w:p w:rsidR="005F35F2" w:rsidRPr="007C2D51" w:rsidRDefault="005F35F2" w:rsidP="005F35F2">
            <w:r w:rsidRPr="007C2D51">
              <w:t>Vehicle for agency</w:t>
            </w:r>
          </w:p>
        </w:tc>
        <w:tc>
          <w:tcPr>
            <w:tcW w:w="523" w:type="pct"/>
            <w:noWrap/>
            <w:vAlign w:val="bottom"/>
          </w:tcPr>
          <w:p w:rsidR="005F35F2" w:rsidRPr="007C2D51" w:rsidRDefault="005F35F2" w:rsidP="005F35F2">
            <w:pPr>
              <w:jc w:val="right"/>
              <w:cnfStyle w:val="000000000000"/>
              <w:rPr>
                <w:rFonts w:cs="Calibri"/>
                <w:color w:val="000000"/>
              </w:rPr>
            </w:pPr>
            <w:r w:rsidRPr="007C2D51">
              <w:rPr>
                <w:rFonts w:cs="Calibri"/>
                <w:color w:val="000000"/>
              </w:rPr>
              <w:t>32</w:t>
            </w:r>
          </w:p>
        </w:tc>
        <w:tc>
          <w:tcPr>
            <w:tcW w:w="938" w:type="pct"/>
            <w:vAlign w:val="bottom"/>
          </w:tcPr>
          <w:p w:rsidR="005F35F2" w:rsidRPr="007C2D51" w:rsidRDefault="005F35F2" w:rsidP="005F35F2">
            <w:pPr>
              <w:jc w:val="right"/>
              <w:cnfStyle w:val="000000000000"/>
              <w:rPr>
                <w:rFonts w:cs="Calibri"/>
                <w:color w:val="000000"/>
              </w:rPr>
            </w:pPr>
            <w:r w:rsidRPr="007C2D51">
              <w:rPr>
                <w:rFonts w:cs="Calibri"/>
                <w:color w:val="000000"/>
              </w:rPr>
              <w:t xml:space="preserve">112,090 </w:t>
            </w:r>
          </w:p>
        </w:tc>
        <w:tc>
          <w:tcPr>
            <w:tcW w:w="761" w:type="pct"/>
            <w:noWrap/>
            <w:vAlign w:val="bottom"/>
          </w:tcPr>
          <w:p w:rsidR="005F35F2" w:rsidRPr="007C2D51" w:rsidRDefault="00FB442A" w:rsidP="005F35F2">
            <w:pPr>
              <w:jc w:val="right"/>
              <w:cnfStyle w:val="000000000000"/>
            </w:pPr>
            <w:r w:rsidRPr="007C2D51">
              <w:t>0</w:t>
            </w:r>
            <w:r w:rsidR="005F35F2" w:rsidRPr="007C2D51">
              <w:t>%</w:t>
            </w:r>
          </w:p>
        </w:tc>
      </w:tr>
      <w:tr w:rsidR="005F35F2" w:rsidRPr="007C2D51" w:rsidTr="00F15767">
        <w:trPr>
          <w:cnfStyle w:val="000000100000"/>
          <w:trHeight w:val="300"/>
        </w:trPr>
        <w:tc>
          <w:tcPr>
            <w:cnfStyle w:val="001000000000"/>
            <w:tcW w:w="2778" w:type="pct"/>
            <w:tcBorders>
              <w:top w:val="none" w:sz="0" w:space="0" w:color="auto"/>
              <w:left w:val="none" w:sz="0" w:space="0" w:color="auto"/>
              <w:bottom w:val="none" w:sz="0" w:space="0" w:color="auto"/>
            </w:tcBorders>
            <w:noWrap/>
            <w:vAlign w:val="bottom"/>
          </w:tcPr>
          <w:p w:rsidR="005F35F2" w:rsidRPr="007C2D51" w:rsidRDefault="005F35F2" w:rsidP="001A78A8">
            <w:r w:rsidRPr="007C2D51">
              <w:t>Vanpool vehicles</w:t>
            </w:r>
          </w:p>
        </w:tc>
        <w:tc>
          <w:tcPr>
            <w:tcW w:w="523" w:type="pct"/>
            <w:tcBorders>
              <w:top w:val="none" w:sz="0" w:space="0" w:color="auto"/>
              <w:bottom w:val="none" w:sz="0" w:space="0" w:color="auto"/>
            </w:tcBorders>
            <w:noWrap/>
            <w:vAlign w:val="bottom"/>
          </w:tcPr>
          <w:p w:rsidR="005F35F2" w:rsidRPr="007C2D51" w:rsidRDefault="005F35F2" w:rsidP="005F35F2">
            <w:pPr>
              <w:jc w:val="right"/>
              <w:cnfStyle w:val="000000100000"/>
              <w:rPr>
                <w:rFonts w:cs="Calibri"/>
                <w:color w:val="000000"/>
              </w:rPr>
            </w:pPr>
            <w:r w:rsidRPr="007C2D51">
              <w:rPr>
                <w:rFonts w:cs="Calibri"/>
                <w:color w:val="000000"/>
              </w:rPr>
              <w:t>4</w:t>
            </w:r>
          </w:p>
        </w:tc>
        <w:tc>
          <w:tcPr>
            <w:tcW w:w="938" w:type="pct"/>
            <w:tcBorders>
              <w:top w:val="none" w:sz="0" w:space="0" w:color="auto"/>
              <w:bottom w:val="none" w:sz="0" w:space="0" w:color="auto"/>
            </w:tcBorders>
            <w:vAlign w:val="bottom"/>
          </w:tcPr>
          <w:p w:rsidR="005F35F2" w:rsidRPr="007C2D51" w:rsidRDefault="005F35F2" w:rsidP="005F35F2">
            <w:pPr>
              <w:jc w:val="right"/>
              <w:cnfStyle w:val="000000100000"/>
              <w:rPr>
                <w:rFonts w:cs="Calibri"/>
                <w:color w:val="000000"/>
              </w:rPr>
            </w:pPr>
            <w:r w:rsidRPr="007C2D51">
              <w:rPr>
                <w:rFonts w:cs="Calibri"/>
                <w:color w:val="000000"/>
              </w:rPr>
              <w:t xml:space="preserve">38 </w:t>
            </w:r>
          </w:p>
        </w:tc>
        <w:tc>
          <w:tcPr>
            <w:tcW w:w="761" w:type="pct"/>
            <w:tcBorders>
              <w:top w:val="none" w:sz="0" w:space="0" w:color="auto"/>
              <w:bottom w:val="none" w:sz="0" w:space="0" w:color="auto"/>
              <w:right w:val="none" w:sz="0" w:space="0" w:color="auto"/>
            </w:tcBorders>
            <w:noWrap/>
            <w:vAlign w:val="bottom"/>
          </w:tcPr>
          <w:p w:rsidR="005F35F2" w:rsidRPr="007C2D51" w:rsidRDefault="005F35F2" w:rsidP="005F35F2">
            <w:pPr>
              <w:jc w:val="right"/>
              <w:cnfStyle w:val="000000100000"/>
            </w:pPr>
            <w:r w:rsidRPr="007C2D51">
              <w:t>0%</w:t>
            </w:r>
          </w:p>
        </w:tc>
      </w:tr>
      <w:tr w:rsidR="001A78A8" w:rsidRPr="007C2D51" w:rsidTr="00F15767">
        <w:trPr>
          <w:trHeight w:val="300"/>
        </w:trPr>
        <w:tc>
          <w:tcPr>
            <w:cnfStyle w:val="001000000000"/>
            <w:tcW w:w="2778" w:type="pct"/>
            <w:noWrap/>
            <w:vAlign w:val="bottom"/>
          </w:tcPr>
          <w:p w:rsidR="001A78A8" w:rsidRPr="007C2D51" w:rsidRDefault="001A78A8" w:rsidP="001A78A8">
            <w:r w:rsidRPr="007C2D51">
              <w:t>ITS investments</w:t>
            </w:r>
          </w:p>
        </w:tc>
        <w:tc>
          <w:tcPr>
            <w:tcW w:w="523" w:type="pct"/>
            <w:noWrap/>
            <w:vAlign w:val="bottom"/>
          </w:tcPr>
          <w:p w:rsidR="001A78A8" w:rsidRPr="007C2D51" w:rsidRDefault="001A78A8" w:rsidP="005F35F2">
            <w:pPr>
              <w:jc w:val="right"/>
              <w:cnfStyle w:val="000000000000"/>
              <w:rPr>
                <w:rFonts w:cs="Calibri"/>
                <w:color w:val="000000"/>
              </w:rPr>
            </w:pPr>
            <w:r w:rsidRPr="007C2D51">
              <w:rPr>
                <w:rFonts w:cs="Calibri"/>
                <w:color w:val="000000"/>
              </w:rPr>
              <w:t>12</w:t>
            </w:r>
          </w:p>
        </w:tc>
        <w:tc>
          <w:tcPr>
            <w:tcW w:w="938" w:type="pct"/>
            <w:vAlign w:val="bottom"/>
          </w:tcPr>
          <w:p w:rsidR="001A78A8" w:rsidRPr="007C2D51" w:rsidRDefault="005F35F2" w:rsidP="005F35F2">
            <w:pPr>
              <w:jc w:val="right"/>
              <w:cnfStyle w:val="000000000000"/>
            </w:pPr>
            <w:r w:rsidRPr="007C2D51">
              <w:t>N/A</w:t>
            </w:r>
          </w:p>
        </w:tc>
        <w:tc>
          <w:tcPr>
            <w:tcW w:w="761" w:type="pct"/>
            <w:noWrap/>
            <w:vAlign w:val="bottom"/>
          </w:tcPr>
          <w:p w:rsidR="001A78A8" w:rsidRPr="007C2D51" w:rsidRDefault="001A78A8" w:rsidP="005F35F2">
            <w:pPr>
              <w:jc w:val="right"/>
              <w:cnfStyle w:val="000000000000"/>
            </w:pPr>
            <w:r w:rsidRPr="007C2D51">
              <w:t>0%</w:t>
            </w:r>
          </w:p>
        </w:tc>
      </w:tr>
      <w:tr w:rsidR="005F35F2" w:rsidRPr="007C2D51" w:rsidTr="00F15767">
        <w:trPr>
          <w:cnfStyle w:val="000000100000"/>
          <w:trHeight w:val="300"/>
        </w:trPr>
        <w:tc>
          <w:tcPr>
            <w:cnfStyle w:val="001000000000"/>
            <w:tcW w:w="2778" w:type="pct"/>
            <w:tcBorders>
              <w:top w:val="none" w:sz="0" w:space="0" w:color="auto"/>
              <w:left w:val="none" w:sz="0" w:space="0" w:color="auto"/>
              <w:bottom w:val="none" w:sz="0" w:space="0" w:color="auto"/>
            </w:tcBorders>
            <w:noWrap/>
            <w:vAlign w:val="bottom"/>
          </w:tcPr>
          <w:p w:rsidR="005F35F2" w:rsidRPr="007C2D51" w:rsidRDefault="005F35F2" w:rsidP="001A78A8">
            <w:r w:rsidRPr="007C2D51">
              <w:t>Other capital projects</w:t>
            </w:r>
          </w:p>
        </w:tc>
        <w:tc>
          <w:tcPr>
            <w:tcW w:w="523" w:type="pct"/>
            <w:tcBorders>
              <w:top w:val="none" w:sz="0" w:space="0" w:color="auto"/>
              <w:bottom w:val="none" w:sz="0" w:space="0" w:color="auto"/>
            </w:tcBorders>
            <w:noWrap/>
            <w:vAlign w:val="bottom"/>
          </w:tcPr>
          <w:p w:rsidR="005F35F2" w:rsidRPr="007C2D51" w:rsidRDefault="005F35F2" w:rsidP="005F35F2">
            <w:pPr>
              <w:jc w:val="right"/>
              <w:cnfStyle w:val="000000100000"/>
              <w:rPr>
                <w:rFonts w:cs="Calibri"/>
                <w:color w:val="000000"/>
              </w:rPr>
            </w:pPr>
            <w:r w:rsidRPr="007C2D51">
              <w:rPr>
                <w:rFonts w:cs="Calibri"/>
                <w:color w:val="000000"/>
              </w:rPr>
              <w:t>3</w:t>
            </w:r>
          </w:p>
        </w:tc>
        <w:tc>
          <w:tcPr>
            <w:tcW w:w="938" w:type="pct"/>
            <w:tcBorders>
              <w:top w:val="none" w:sz="0" w:space="0" w:color="auto"/>
              <w:bottom w:val="none" w:sz="0" w:space="0" w:color="auto"/>
            </w:tcBorders>
            <w:vAlign w:val="bottom"/>
          </w:tcPr>
          <w:p w:rsidR="005F35F2" w:rsidRPr="007C2D51" w:rsidRDefault="005F35F2" w:rsidP="005F35F2">
            <w:pPr>
              <w:jc w:val="right"/>
              <w:cnfStyle w:val="000000100000"/>
            </w:pPr>
            <w:r w:rsidRPr="007C2D51">
              <w:t>N/A</w:t>
            </w:r>
          </w:p>
        </w:tc>
        <w:tc>
          <w:tcPr>
            <w:tcW w:w="761" w:type="pct"/>
            <w:tcBorders>
              <w:top w:val="none" w:sz="0" w:space="0" w:color="auto"/>
              <w:bottom w:val="none" w:sz="0" w:space="0" w:color="auto"/>
              <w:right w:val="none" w:sz="0" w:space="0" w:color="auto"/>
            </w:tcBorders>
            <w:noWrap/>
            <w:vAlign w:val="bottom"/>
          </w:tcPr>
          <w:p w:rsidR="005F35F2" w:rsidRPr="007C2D51" w:rsidRDefault="005F35F2" w:rsidP="005F35F2">
            <w:pPr>
              <w:jc w:val="right"/>
              <w:cnfStyle w:val="000000100000"/>
            </w:pPr>
            <w:r w:rsidRPr="007C2D51">
              <w:t>0%</w:t>
            </w:r>
          </w:p>
        </w:tc>
      </w:tr>
      <w:tr w:rsidR="005F35F2" w:rsidRPr="007C2D51" w:rsidTr="00F15767">
        <w:trPr>
          <w:trHeight w:val="300"/>
        </w:trPr>
        <w:tc>
          <w:tcPr>
            <w:cnfStyle w:val="001000000000"/>
            <w:tcW w:w="2778" w:type="pct"/>
            <w:noWrap/>
            <w:vAlign w:val="bottom"/>
          </w:tcPr>
          <w:p w:rsidR="005F35F2" w:rsidRPr="007C2D51" w:rsidRDefault="005F35F2" w:rsidP="001A78A8">
            <w:r w:rsidRPr="007C2D51">
              <w:t>Car-sharing</w:t>
            </w:r>
          </w:p>
        </w:tc>
        <w:tc>
          <w:tcPr>
            <w:tcW w:w="523" w:type="pct"/>
            <w:noWrap/>
            <w:vAlign w:val="bottom"/>
          </w:tcPr>
          <w:p w:rsidR="005F35F2" w:rsidRPr="007C2D51" w:rsidRDefault="005F35F2" w:rsidP="005F35F2">
            <w:pPr>
              <w:jc w:val="right"/>
              <w:cnfStyle w:val="000000000000"/>
              <w:rPr>
                <w:rFonts w:cs="Calibri"/>
                <w:color w:val="000000"/>
              </w:rPr>
            </w:pPr>
            <w:r w:rsidRPr="007C2D51">
              <w:rPr>
                <w:rFonts w:cs="Calibri"/>
                <w:color w:val="000000"/>
              </w:rPr>
              <w:t>1</w:t>
            </w:r>
          </w:p>
        </w:tc>
        <w:tc>
          <w:tcPr>
            <w:tcW w:w="938" w:type="pct"/>
            <w:vAlign w:val="bottom"/>
          </w:tcPr>
          <w:p w:rsidR="005F35F2" w:rsidRPr="007C2D51" w:rsidRDefault="005F35F2" w:rsidP="005F35F2">
            <w:pPr>
              <w:jc w:val="right"/>
              <w:cnfStyle w:val="000000000000"/>
            </w:pPr>
            <w:r w:rsidRPr="007C2D51">
              <w:t>N/A</w:t>
            </w:r>
          </w:p>
        </w:tc>
        <w:tc>
          <w:tcPr>
            <w:tcW w:w="761" w:type="pct"/>
            <w:noWrap/>
            <w:vAlign w:val="bottom"/>
          </w:tcPr>
          <w:p w:rsidR="005F35F2" w:rsidRPr="007C2D51" w:rsidRDefault="005F35F2" w:rsidP="005F35F2">
            <w:pPr>
              <w:jc w:val="right"/>
              <w:cnfStyle w:val="000000000000"/>
            </w:pPr>
            <w:r w:rsidRPr="007C2D51">
              <w:t>0%</w:t>
            </w:r>
          </w:p>
        </w:tc>
      </w:tr>
      <w:tr w:rsidR="005F35F2" w:rsidRPr="007C2D51" w:rsidTr="00F15767">
        <w:trPr>
          <w:cnfStyle w:val="000000100000"/>
          <w:trHeight w:val="300"/>
        </w:trPr>
        <w:tc>
          <w:tcPr>
            <w:cnfStyle w:val="001000000000"/>
            <w:tcW w:w="2778" w:type="pct"/>
            <w:tcBorders>
              <w:top w:val="none" w:sz="0" w:space="0" w:color="auto"/>
              <w:left w:val="none" w:sz="0" w:space="0" w:color="auto"/>
              <w:bottom w:val="none" w:sz="0" w:space="0" w:color="auto"/>
            </w:tcBorders>
            <w:shd w:val="clear" w:color="auto" w:fill="475A8D" w:themeFill="accent6"/>
            <w:noWrap/>
            <w:vAlign w:val="bottom"/>
          </w:tcPr>
          <w:p w:rsidR="005F35F2" w:rsidRPr="007C2D51" w:rsidRDefault="005F35F2" w:rsidP="001A78A8">
            <w:pPr>
              <w:rPr>
                <w:color w:val="FFFFFF" w:themeColor="background1"/>
              </w:rPr>
            </w:pPr>
            <w:r w:rsidRPr="007C2D51">
              <w:rPr>
                <w:color w:val="FFFFFF" w:themeColor="background1"/>
              </w:rPr>
              <w:t>Planning Projects</w:t>
            </w:r>
          </w:p>
        </w:tc>
        <w:tc>
          <w:tcPr>
            <w:tcW w:w="523" w:type="pct"/>
            <w:tcBorders>
              <w:top w:val="none" w:sz="0" w:space="0" w:color="auto"/>
              <w:bottom w:val="none" w:sz="0" w:space="0" w:color="auto"/>
            </w:tcBorders>
            <w:shd w:val="clear" w:color="auto" w:fill="475A8D" w:themeFill="accent6"/>
            <w:noWrap/>
            <w:vAlign w:val="bottom"/>
          </w:tcPr>
          <w:p w:rsidR="005F35F2" w:rsidRPr="007C2D51" w:rsidRDefault="005F35F2" w:rsidP="005F35F2">
            <w:pPr>
              <w:jc w:val="right"/>
              <w:cnfStyle w:val="000000100000"/>
              <w:rPr>
                <w:rFonts w:cs="Calibri"/>
                <w:b/>
                <w:color w:val="FFFFFF" w:themeColor="background1"/>
              </w:rPr>
            </w:pPr>
            <w:r w:rsidRPr="007C2D51">
              <w:rPr>
                <w:rFonts w:cs="Calibri"/>
                <w:b/>
                <w:color w:val="FFFFFF" w:themeColor="background1"/>
              </w:rPr>
              <w:t>11</w:t>
            </w:r>
          </w:p>
        </w:tc>
        <w:tc>
          <w:tcPr>
            <w:tcW w:w="938" w:type="pct"/>
            <w:tcBorders>
              <w:top w:val="none" w:sz="0" w:space="0" w:color="auto"/>
              <w:bottom w:val="none" w:sz="0" w:space="0" w:color="auto"/>
            </w:tcBorders>
            <w:shd w:val="clear" w:color="auto" w:fill="475A8D" w:themeFill="accent6"/>
            <w:vAlign w:val="bottom"/>
          </w:tcPr>
          <w:p w:rsidR="005F35F2" w:rsidRPr="007C2D51" w:rsidRDefault="005F35F2" w:rsidP="005F35F2">
            <w:pPr>
              <w:jc w:val="right"/>
              <w:cnfStyle w:val="000000100000"/>
              <w:rPr>
                <w:b/>
                <w:color w:val="FFFFFF" w:themeColor="background1"/>
              </w:rPr>
            </w:pPr>
            <w:r w:rsidRPr="007C2D51">
              <w:rPr>
                <w:b/>
                <w:color w:val="FFFFFF" w:themeColor="background1"/>
              </w:rPr>
              <w:t>N/A</w:t>
            </w:r>
          </w:p>
        </w:tc>
        <w:tc>
          <w:tcPr>
            <w:tcW w:w="761" w:type="pct"/>
            <w:tcBorders>
              <w:top w:val="none" w:sz="0" w:space="0" w:color="auto"/>
              <w:bottom w:val="none" w:sz="0" w:space="0" w:color="auto"/>
              <w:right w:val="none" w:sz="0" w:space="0" w:color="auto"/>
            </w:tcBorders>
            <w:shd w:val="clear" w:color="auto" w:fill="475A8D" w:themeFill="accent6"/>
            <w:noWrap/>
            <w:vAlign w:val="bottom"/>
          </w:tcPr>
          <w:p w:rsidR="005F35F2" w:rsidRPr="007C2D51" w:rsidRDefault="005F35F2" w:rsidP="005F35F2">
            <w:pPr>
              <w:jc w:val="right"/>
              <w:cnfStyle w:val="000000100000"/>
              <w:rPr>
                <w:b/>
                <w:color w:val="FFFFFF" w:themeColor="background1"/>
              </w:rPr>
            </w:pPr>
            <w:r w:rsidRPr="007C2D51">
              <w:rPr>
                <w:b/>
                <w:color w:val="FFFFFF" w:themeColor="background1"/>
              </w:rPr>
              <w:t>0%</w:t>
            </w:r>
          </w:p>
        </w:tc>
      </w:tr>
      <w:tr w:rsidR="005F35F2" w:rsidRPr="007C2D51" w:rsidTr="00F15767">
        <w:trPr>
          <w:trHeight w:val="300"/>
        </w:trPr>
        <w:tc>
          <w:tcPr>
            <w:cnfStyle w:val="001000000000"/>
            <w:tcW w:w="2778" w:type="pct"/>
            <w:noWrap/>
            <w:vAlign w:val="bottom"/>
          </w:tcPr>
          <w:p w:rsidR="005F35F2" w:rsidRPr="007C2D51" w:rsidRDefault="005F35F2" w:rsidP="001A78A8">
            <w:r w:rsidRPr="007C2D51">
              <w:t>Feasibility studies</w:t>
            </w:r>
          </w:p>
        </w:tc>
        <w:tc>
          <w:tcPr>
            <w:tcW w:w="523" w:type="pct"/>
            <w:noWrap/>
            <w:vAlign w:val="bottom"/>
          </w:tcPr>
          <w:p w:rsidR="005F35F2" w:rsidRPr="007C2D51" w:rsidRDefault="005F35F2" w:rsidP="005F35F2">
            <w:pPr>
              <w:jc w:val="right"/>
              <w:cnfStyle w:val="000000000000"/>
              <w:rPr>
                <w:rFonts w:cs="Calibri"/>
                <w:color w:val="000000"/>
              </w:rPr>
            </w:pPr>
            <w:r w:rsidRPr="007C2D51">
              <w:rPr>
                <w:rFonts w:cs="Calibri"/>
                <w:color w:val="000000"/>
              </w:rPr>
              <w:t>11</w:t>
            </w:r>
          </w:p>
        </w:tc>
        <w:tc>
          <w:tcPr>
            <w:tcW w:w="938" w:type="pct"/>
            <w:vAlign w:val="bottom"/>
          </w:tcPr>
          <w:p w:rsidR="005F35F2" w:rsidRPr="007C2D51" w:rsidRDefault="005F35F2" w:rsidP="005F35F2">
            <w:pPr>
              <w:jc w:val="right"/>
              <w:cnfStyle w:val="000000000000"/>
            </w:pPr>
            <w:r w:rsidRPr="007C2D51">
              <w:t>N/A</w:t>
            </w:r>
          </w:p>
        </w:tc>
        <w:tc>
          <w:tcPr>
            <w:tcW w:w="761" w:type="pct"/>
            <w:noWrap/>
            <w:vAlign w:val="bottom"/>
          </w:tcPr>
          <w:p w:rsidR="005F35F2" w:rsidRPr="007C2D51" w:rsidRDefault="005F35F2" w:rsidP="005F35F2">
            <w:pPr>
              <w:jc w:val="right"/>
              <w:cnfStyle w:val="000000000000"/>
            </w:pPr>
            <w:r w:rsidRPr="007C2D51">
              <w:t>0%</w:t>
            </w:r>
          </w:p>
        </w:tc>
      </w:tr>
      <w:tr w:rsidR="001A78A8" w:rsidRPr="007C2D51" w:rsidTr="00F15767">
        <w:trPr>
          <w:cnfStyle w:val="000000100000"/>
          <w:trHeight w:val="300"/>
        </w:trPr>
        <w:tc>
          <w:tcPr>
            <w:cnfStyle w:val="001000000000"/>
            <w:tcW w:w="2778" w:type="pct"/>
            <w:tcBorders>
              <w:top w:val="none" w:sz="0" w:space="0" w:color="auto"/>
              <w:left w:val="none" w:sz="0" w:space="0" w:color="auto"/>
              <w:bottom w:val="none" w:sz="0" w:space="0" w:color="auto"/>
            </w:tcBorders>
            <w:shd w:val="clear" w:color="auto" w:fill="475A8D" w:themeFill="accent6"/>
            <w:noWrap/>
            <w:vAlign w:val="bottom"/>
          </w:tcPr>
          <w:p w:rsidR="001A78A8" w:rsidRPr="007C2D51" w:rsidRDefault="001A78A8" w:rsidP="001A78A8">
            <w:pPr>
              <w:rPr>
                <w:color w:val="FFFFFF" w:themeColor="background1"/>
              </w:rPr>
            </w:pPr>
            <w:r w:rsidRPr="007C2D51">
              <w:rPr>
                <w:color w:val="FFFFFF" w:themeColor="background1"/>
              </w:rPr>
              <w:t>Total</w:t>
            </w:r>
          </w:p>
        </w:tc>
        <w:tc>
          <w:tcPr>
            <w:tcW w:w="523" w:type="pct"/>
            <w:tcBorders>
              <w:top w:val="none" w:sz="0" w:space="0" w:color="auto"/>
              <w:bottom w:val="none" w:sz="0" w:space="0" w:color="auto"/>
            </w:tcBorders>
            <w:shd w:val="clear" w:color="auto" w:fill="475A8D" w:themeFill="accent6"/>
            <w:noWrap/>
            <w:vAlign w:val="bottom"/>
          </w:tcPr>
          <w:p w:rsidR="001A78A8" w:rsidRPr="007C2D51" w:rsidRDefault="001A78A8" w:rsidP="005F35F2">
            <w:pPr>
              <w:jc w:val="right"/>
              <w:cnfStyle w:val="000000100000"/>
              <w:rPr>
                <w:rFonts w:cs="Calibri"/>
                <w:b/>
                <w:bCs/>
                <w:color w:val="FFFFFF" w:themeColor="background1"/>
              </w:rPr>
            </w:pPr>
            <w:r w:rsidRPr="007C2D51">
              <w:rPr>
                <w:rFonts w:cs="Calibri"/>
                <w:b/>
                <w:bCs/>
                <w:color w:val="FFFFFF" w:themeColor="background1"/>
              </w:rPr>
              <w:t>1027</w:t>
            </w:r>
          </w:p>
        </w:tc>
        <w:tc>
          <w:tcPr>
            <w:tcW w:w="938" w:type="pct"/>
            <w:tcBorders>
              <w:top w:val="none" w:sz="0" w:space="0" w:color="auto"/>
              <w:bottom w:val="none" w:sz="0" w:space="0" w:color="auto"/>
            </w:tcBorders>
            <w:shd w:val="clear" w:color="auto" w:fill="475A8D" w:themeFill="accent6"/>
            <w:vAlign w:val="bottom"/>
          </w:tcPr>
          <w:p w:rsidR="001A78A8" w:rsidRPr="007C2D51" w:rsidRDefault="005F35F2" w:rsidP="005F35F2">
            <w:pPr>
              <w:jc w:val="right"/>
              <w:cnfStyle w:val="000000100000"/>
              <w:rPr>
                <w:b/>
                <w:color w:val="FFFFFF" w:themeColor="background1"/>
              </w:rPr>
            </w:pPr>
            <w:r w:rsidRPr="007C2D51">
              <w:rPr>
                <w:rFonts w:cs="Calibri"/>
                <w:b/>
                <w:bCs/>
                <w:color w:val="FFFFFF" w:themeColor="background1"/>
              </w:rPr>
              <w:t xml:space="preserve"> 55,275,245</w:t>
            </w:r>
          </w:p>
        </w:tc>
        <w:tc>
          <w:tcPr>
            <w:tcW w:w="761" w:type="pct"/>
            <w:tcBorders>
              <w:top w:val="none" w:sz="0" w:space="0" w:color="auto"/>
              <w:bottom w:val="none" w:sz="0" w:space="0" w:color="auto"/>
              <w:right w:val="none" w:sz="0" w:space="0" w:color="auto"/>
            </w:tcBorders>
            <w:shd w:val="clear" w:color="auto" w:fill="475A8D" w:themeFill="accent6"/>
            <w:noWrap/>
            <w:vAlign w:val="bottom"/>
          </w:tcPr>
          <w:p w:rsidR="001A78A8" w:rsidRPr="007C2D51" w:rsidRDefault="001A78A8" w:rsidP="005F35F2">
            <w:pPr>
              <w:jc w:val="right"/>
              <w:cnfStyle w:val="000000100000"/>
              <w:rPr>
                <w:b/>
                <w:color w:val="FFFFFF" w:themeColor="background1"/>
              </w:rPr>
            </w:pPr>
            <w:r w:rsidRPr="007C2D51">
              <w:rPr>
                <w:b/>
                <w:color w:val="FFFFFF" w:themeColor="background1"/>
              </w:rPr>
              <w:t>100%</w:t>
            </w:r>
          </w:p>
        </w:tc>
      </w:tr>
    </w:tbl>
    <w:p w:rsidR="004347FA" w:rsidRPr="007C2D51" w:rsidRDefault="004347FA">
      <w:r w:rsidRPr="007C2D51">
        <w:br w:type="page"/>
      </w:r>
    </w:p>
    <w:p w:rsidR="003A6A3F" w:rsidRPr="007C2D51" w:rsidRDefault="003A6A3F" w:rsidP="003A6A3F">
      <w:pPr>
        <w:pStyle w:val="Caption"/>
      </w:pPr>
    </w:p>
    <w:p w:rsidR="00A921AA" w:rsidRPr="007C2D51" w:rsidRDefault="003A6A3F" w:rsidP="003A6A3F">
      <w:pPr>
        <w:pStyle w:val="Caption"/>
      </w:pPr>
      <w:r w:rsidRPr="007C2D51">
        <w:rPr>
          <w:noProof/>
        </w:rPr>
        <w:drawing>
          <wp:anchor distT="0" distB="0" distL="114300" distR="114300" simplePos="0" relativeHeight="251731968" behindDoc="0" locked="0" layoutInCell="1" allowOverlap="1">
            <wp:simplePos x="0" y="0"/>
            <wp:positionH relativeFrom="margin">
              <wp:align>center</wp:align>
            </wp:positionH>
            <wp:positionV relativeFrom="paragraph">
              <wp:posOffset>0</wp:posOffset>
            </wp:positionV>
            <wp:extent cx="5029200" cy="5219700"/>
            <wp:effectExtent l="0" t="0" r="0" b="0"/>
            <wp:wrapTopAndBottom/>
            <wp:docPr id="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bookmarkStart w:id="96" w:name="_Toc244658154"/>
      <w:bookmarkStart w:id="97" w:name="_Toc244658277"/>
      <w:bookmarkStart w:id="98" w:name="_Toc304967490"/>
      <w:r w:rsidR="00A921AA" w:rsidRPr="007C2D51">
        <w:t xml:space="preserve">Figure </w:t>
      </w:r>
      <w:fldSimple w:instr=" STYLEREF 1 \s ">
        <w:r w:rsidR="00F35ACC">
          <w:rPr>
            <w:noProof/>
          </w:rPr>
          <w:t>4</w:t>
        </w:r>
      </w:fldSimple>
      <w:r w:rsidR="0009713B" w:rsidRPr="007C2D51">
        <w:noBreakHyphen/>
      </w:r>
      <w:fldSimple w:instr=" SEQ Figure \* ARABIC \s 1 ">
        <w:r w:rsidR="00F35ACC">
          <w:rPr>
            <w:noProof/>
          </w:rPr>
          <w:t>1</w:t>
        </w:r>
      </w:fldSimple>
      <w:r w:rsidR="00A921AA" w:rsidRPr="007C2D51">
        <w:br/>
        <w:t xml:space="preserve">One-Way Trips by Service </w:t>
      </w:r>
      <w:r w:rsidR="008844B6" w:rsidRPr="007C2D51">
        <w:t xml:space="preserve">Type </w:t>
      </w:r>
      <w:r w:rsidR="00A921AA" w:rsidRPr="007C2D51">
        <w:br/>
      </w:r>
      <w:bookmarkEnd w:id="96"/>
      <w:bookmarkEnd w:id="97"/>
      <w:r w:rsidR="00A80586" w:rsidRPr="007C2D51">
        <w:t>(</w:t>
      </w:r>
      <w:r w:rsidR="00233BD2" w:rsidRPr="007C2D51">
        <w:t xml:space="preserve">Thousands </w:t>
      </w:r>
      <w:r w:rsidR="00A80586" w:rsidRPr="007C2D51">
        <w:t>of Trips)</w:t>
      </w:r>
      <w:bookmarkEnd w:id="98"/>
    </w:p>
    <w:p w:rsidR="00A921AA" w:rsidRPr="007C2D51" w:rsidRDefault="00A921AA" w:rsidP="00A921AA"/>
    <w:p w:rsidR="00B14838" w:rsidRPr="007C2D51" w:rsidRDefault="00B14838">
      <w:r w:rsidRPr="007C2D51">
        <w:br w:type="page"/>
      </w:r>
    </w:p>
    <w:p w:rsidR="00524DDB" w:rsidRPr="007C2D51" w:rsidRDefault="00DB5B5C" w:rsidP="00AB34CA">
      <w:pPr>
        <w:pStyle w:val="Heading2"/>
      </w:pPr>
      <w:bookmarkStart w:id="99" w:name="_Toc304965693"/>
      <w:r w:rsidRPr="007C2D51">
        <w:lastRenderedPageBreak/>
        <w:t>Size of Urbanized Area</w:t>
      </w:r>
      <w:bookmarkEnd w:id="99"/>
    </w:p>
    <w:p w:rsidR="00A921AA" w:rsidRPr="007C2D51" w:rsidRDefault="00022E2F" w:rsidP="00CE7C6F">
      <w:pPr>
        <w:pStyle w:val="BodyText"/>
      </w:pPr>
      <w:r>
        <w:pict>
          <v:shape id="_x0000_s1041" type="#_x0000_t65" style="position:absolute;margin-left:236.6pt;margin-top:110.8pt;width:230.4pt;height:139pt;z-index:251739136;mso-position-horizontal-relative:margin;mso-position-vertical-relative:margin" fillcolor="white [3201]" strokecolor="#fed36b [1941]" strokeweight="1pt">
            <v:fill color2="#fee29c [1301]" focusposition="1" focussize="" focus="100%" type="gradient"/>
            <v:shadow on="t" type="perspective" color="#825c00 [1605]" opacity=".5" offset="1pt" offset2="-3pt"/>
            <v:textbox>
              <w:txbxContent>
                <w:p w:rsidR="00F15767" w:rsidRPr="008F7C3F" w:rsidRDefault="00F15767" w:rsidP="008F7C3F">
                  <w:pPr>
                    <w:rPr>
                      <w:i/>
                    </w:rPr>
                  </w:pPr>
                  <w:r w:rsidRPr="008F7C3F">
                    <w:rPr>
                      <w:i/>
                    </w:rPr>
                    <w:t>Maintaining vehicles that are often driven in undesirable and challenging environments certainly provides a large number of surprises. Expect things to fall apart when you are furthest away from potential aid, and learn to roll with the punches.</w:t>
                  </w:r>
                </w:p>
                <w:p w:rsidR="00F15767" w:rsidRPr="008F7C3F" w:rsidRDefault="00F15767" w:rsidP="008F7C3F">
                  <w:r>
                    <w:t>Southwest Conservation Corp</w:t>
                  </w:r>
                  <w:r>
                    <w:br/>
                    <w:t>Arizona DOT</w:t>
                  </w:r>
                </w:p>
              </w:txbxContent>
            </v:textbox>
            <w10:wrap type="square" anchorx="margin" anchory="margin"/>
          </v:shape>
        </w:pict>
      </w:r>
      <w:r w:rsidR="00A921AA" w:rsidRPr="007C2D51">
        <w:t>Clear differences were apparent among geographic settings</w:t>
      </w:r>
      <w:r w:rsidR="00CE332B" w:rsidRPr="007C2D51">
        <w:t xml:space="preserve">.  </w:t>
      </w:r>
      <w:r w:rsidR="00A921AA" w:rsidRPr="007C2D51">
        <w:t xml:space="preserve">For one-way trips on fixed route services, </w:t>
      </w:r>
      <w:r w:rsidR="00F87B7C" w:rsidRPr="007C2D51">
        <w:t>87%</w:t>
      </w:r>
      <w:r w:rsidR="00A921AA" w:rsidRPr="007C2D51">
        <w:t xml:space="preserve"> were reported in large urbanized </w:t>
      </w:r>
      <w:r w:rsidR="0059409F" w:rsidRPr="007C2D51">
        <w:t>areas</w:t>
      </w:r>
      <w:r w:rsidR="00A921AA" w:rsidRPr="007C2D51">
        <w:t xml:space="preserve">, </w:t>
      </w:r>
      <w:r w:rsidR="0059409F" w:rsidRPr="007C2D51">
        <w:t>1</w:t>
      </w:r>
      <w:r w:rsidR="00F87B7C" w:rsidRPr="007C2D51">
        <w:t>0</w:t>
      </w:r>
      <w:r w:rsidR="00A921AA" w:rsidRPr="007C2D51">
        <w:t xml:space="preserve">% in small urban areas, and </w:t>
      </w:r>
      <w:r w:rsidR="00F87B7C" w:rsidRPr="007C2D51">
        <w:t>only 3</w:t>
      </w:r>
      <w:r w:rsidR="00A921AA" w:rsidRPr="007C2D51">
        <w:t>% in rural communities</w:t>
      </w:r>
      <w:r w:rsidR="007F7E77" w:rsidRPr="007C2D51">
        <w:t>.</w:t>
      </w:r>
      <w:r w:rsidR="00CE332B" w:rsidRPr="007C2D51">
        <w:t xml:space="preserve"> </w:t>
      </w:r>
      <w:r w:rsidR="00A921AA" w:rsidRPr="007C2D51">
        <w:t xml:space="preserve">Since fixed route services tend to </w:t>
      </w:r>
      <w:r w:rsidR="007F7E77" w:rsidRPr="007C2D51">
        <w:t xml:space="preserve">be well suited for </w:t>
      </w:r>
      <w:r w:rsidR="00A921AA" w:rsidRPr="007C2D51">
        <w:t>high-density communities, this finding comes as no surprise</w:t>
      </w:r>
      <w:r w:rsidR="00CE332B" w:rsidRPr="007C2D51">
        <w:t xml:space="preserve">.  </w:t>
      </w:r>
      <w:r w:rsidR="007F7E77" w:rsidRPr="007C2D51">
        <w:t>About half of the trips for flexible services, which included deviated fixed route, were reported in small urbanized areas.  For demand response, 44%</w:t>
      </w:r>
      <w:r w:rsidR="00F87B7C" w:rsidRPr="007C2D51">
        <w:t xml:space="preserve"> </w:t>
      </w:r>
      <w:r w:rsidR="007F7E77" w:rsidRPr="007C2D51">
        <w:t xml:space="preserve">of </w:t>
      </w:r>
      <w:r w:rsidR="00F87B7C" w:rsidRPr="007C2D51">
        <w:t xml:space="preserve">trips were provided in </w:t>
      </w:r>
      <w:r w:rsidR="00D21CC0" w:rsidRPr="007C2D51">
        <w:t>rural areas</w:t>
      </w:r>
      <w:r w:rsidR="007F7E77" w:rsidRPr="007C2D51">
        <w:t xml:space="preserve"> and only 36% in large urbanized areas</w:t>
      </w:r>
      <w:r w:rsidR="00CE332B" w:rsidRPr="007C2D51">
        <w:t xml:space="preserve">.  </w:t>
      </w:r>
      <w:r w:rsidR="00F356C6" w:rsidRPr="007C2D51">
        <w:t xml:space="preserve">Information-based services, which </w:t>
      </w:r>
      <w:r w:rsidR="002546F3" w:rsidRPr="007C2D51">
        <w:t xml:space="preserve">generated trips for </w:t>
      </w:r>
      <w:r w:rsidR="00F356C6" w:rsidRPr="007C2D51">
        <w:t xml:space="preserve">mobility manager programs only, </w:t>
      </w:r>
      <w:r w:rsidR="00D21CC0" w:rsidRPr="007C2D51">
        <w:t xml:space="preserve">showed ridership in large urban </w:t>
      </w:r>
      <w:r w:rsidR="00F356C6" w:rsidRPr="007C2D51">
        <w:t>(</w:t>
      </w:r>
      <w:r w:rsidR="00D21CC0" w:rsidRPr="007C2D51">
        <w:t>61</w:t>
      </w:r>
      <w:r w:rsidR="00F356C6" w:rsidRPr="007C2D51">
        <w:t>% of one-way trips) and rural areas (3</w:t>
      </w:r>
      <w:r w:rsidR="00D21CC0" w:rsidRPr="007C2D51">
        <w:t>9</w:t>
      </w:r>
      <w:r w:rsidR="00F356C6" w:rsidRPr="007C2D51">
        <w:t>%)</w:t>
      </w:r>
      <w:r w:rsidR="00D21CC0" w:rsidRPr="007C2D51">
        <w:t xml:space="preserve">. </w:t>
      </w:r>
      <w:r w:rsidR="007F7E77" w:rsidRPr="007C2D51">
        <w:t xml:space="preserve"> </w:t>
      </w:r>
      <w:r w:rsidR="00D21CC0" w:rsidRPr="007C2D51">
        <w:t>No trips were reported for the 1</w:t>
      </w:r>
      <w:r w:rsidR="007F7E77" w:rsidRPr="007C2D51">
        <w:t>6</w:t>
      </w:r>
      <w:r w:rsidR="00D21CC0" w:rsidRPr="007C2D51">
        <w:t xml:space="preserve"> mobility manager programs in small urbanized areas; some grantees may have reported trips for the service delivery component of their programs, and others may </w:t>
      </w:r>
      <w:r w:rsidR="007F7E77" w:rsidRPr="007C2D51">
        <w:t>not have</w:t>
      </w:r>
      <w:r w:rsidR="00D21CC0" w:rsidRPr="007C2D51">
        <w:t xml:space="preserve"> collected the information. </w:t>
      </w:r>
      <w:r w:rsidR="0093728D" w:rsidRPr="007C2D51">
        <w:t>See Table 4-2 and Figure 4-2</w:t>
      </w:r>
      <w:r w:rsidR="00CE332B" w:rsidRPr="007C2D51">
        <w:t xml:space="preserve">.  </w:t>
      </w:r>
    </w:p>
    <w:p w:rsidR="00A921AA" w:rsidRPr="007C2D51" w:rsidRDefault="00A921AA" w:rsidP="00CE7C6F">
      <w:pPr>
        <w:pStyle w:val="BodyText"/>
      </w:pPr>
      <w:r w:rsidRPr="007C2D51">
        <w:t xml:space="preserve">In large urbanized areas, fixed route services </w:t>
      </w:r>
      <w:r w:rsidR="002E08F4" w:rsidRPr="007C2D51">
        <w:t xml:space="preserve">accounted for nearly all of the </w:t>
      </w:r>
      <w:r w:rsidRPr="007C2D51">
        <w:t>one-way trips</w:t>
      </w:r>
      <w:r w:rsidR="002E08F4" w:rsidRPr="007C2D51">
        <w:t xml:space="preserve"> reported (9</w:t>
      </w:r>
      <w:r w:rsidR="00211D54" w:rsidRPr="007C2D51">
        <w:t>1</w:t>
      </w:r>
      <w:r w:rsidR="002E08F4" w:rsidRPr="007C2D51">
        <w:t>%)</w:t>
      </w:r>
      <w:r w:rsidR="00CE332B" w:rsidRPr="007C2D51">
        <w:t xml:space="preserve">.  </w:t>
      </w:r>
      <w:r w:rsidR="00890B3D" w:rsidRPr="007C2D51">
        <w:t xml:space="preserve">In small urban areas, fixed route still </w:t>
      </w:r>
      <w:r w:rsidR="00211D54" w:rsidRPr="007C2D51">
        <w:t>generated</w:t>
      </w:r>
      <w:r w:rsidR="00890B3D" w:rsidRPr="007C2D51">
        <w:t xml:space="preserve"> the majority of one-way trips (</w:t>
      </w:r>
      <w:r w:rsidR="002E08F4" w:rsidRPr="007C2D51">
        <w:t>74</w:t>
      </w:r>
      <w:r w:rsidR="00890B3D" w:rsidRPr="007C2D51">
        <w:t>%)</w:t>
      </w:r>
      <w:r w:rsidR="003F6943" w:rsidRPr="007C2D51">
        <w:t xml:space="preserve">, </w:t>
      </w:r>
      <w:r w:rsidR="00211D54" w:rsidRPr="007C2D51">
        <w:t xml:space="preserve">but flex routes (12% of trips) and demand response (10%) also played a role in these lower-density communities. </w:t>
      </w:r>
      <w:r w:rsidR="00CE332B" w:rsidRPr="007C2D51">
        <w:t xml:space="preserve"> </w:t>
      </w:r>
      <w:r w:rsidR="003F6943" w:rsidRPr="007C2D51">
        <w:t xml:space="preserve">Fixed route still had the largest market share for </w:t>
      </w:r>
      <w:r w:rsidR="00913D85" w:rsidRPr="007C2D51">
        <w:t>rural / non-urbanized areas</w:t>
      </w:r>
      <w:r w:rsidR="003F6943" w:rsidRPr="007C2D51">
        <w:t xml:space="preserve"> with 4</w:t>
      </w:r>
      <w:r w:rsidR="00211D54" w:rsidRPr="007C2D51">
        <w:t>3</w:t>
      </w:r>
      <w:r w:rsidR="003F6943" w:rsidRPr="007C2D51">
        <w:t>% of trips, but demand response was a significant presence in the</w:t>
      </w:r>
      <w:r w:rsidR="008C2128" w:rsidRPr="007C2D51">
        <w:t>se</w:t>
      </w:r>
      <w:r w:rsidR="003F6943" w:rsidRPr="007C2D51">
        <w:t xml:space="preserve"> communities with 35% of trips</w:t>
      </w:r>
      <w:r w:rsidR="00CE332B" w:rsidRPr="007C2D51">
        <w:t xml:space="preserve">.  </w:t>
      </w:r>
      <w:r w:rsidR="006F5B08" w:rsidRPr="007C2D51">
        <w:t>See Table 4-3 and Figure 4-3</w:t>
      </w:r>
      <w:r w:rsidR="00CE332B" w:rsidRPr="007C2D51">
        <w:t xml:space="preserve">.  </w:t>
      </w:r>
    </w:p>
    <w:p w:rsidR="00C1707A" w:rsidRPr="007C2D51" w:rsidRDefault="00C1707A" w:rsidP="00CE7C6F">
      <w:pPr>
        <w:pStyle w:val="BodyText"/>
      </w:pPr>
      <w:bookmarkStart w:id="100" w:name="_Toc242869958"/>
      <w:bookmarkStart w:id="101" w:name="_Toc244658132"/>
      <w:r w:rsidRPr="007C2D51">
        <w:br w:type="page"/>
      </w:r>
    </w:p>
    <w:tbl>
      <w:tblPr>
        <w:tblStyle w:val="LightList-Accent6"/>
        <w:tblpPr w:leftFromText="180" w:rightFromText="180" w:vertAnchor="page" w:horzAnchor="margin" w:tblpXSpec="center" w:tblpY="22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3"/>
        <w:gridCol w:w="658"/>
        <w:gridCol w:w="1263"/>
        <w:gridCol w:w="1152"/>
        <w:gridCol w:w="1152"/>
        <w:gridCol w:w="1152"/>
        <w:gridCol w:w="721"/>
      </w:tblGrid>
      <w:tr w:rsidR="00446747" w:rsidRPr="007C2D51" w:rsidTr="00F15767">
        <w:trPr>
          <w:cnfStyle w:val="100000000000"/>
          <w:trHeight w:val="300"/>
        </w:trPr>
        <w:tc>
          <w:tcPr>
            <w:cnfStyle w:val="001000000000"/>
            <w:tcW w:w="0" w:type="auto"/>
            <w:noWrap/>
            <w:vAlign w:val="bottom"/>
          </w:tcPr>
          <w:p w:rsidR="00446747" w:rsidRPr="007C2D51" w:rsidRDefault="00446747" w:rsidP="00441C03">
            <w:r w:rsidRPr="007C2D51">
              <w:lastRenderedPageBreak/>
              <w:t>Service Type</w:t>
            </w:r>
          </w:p>
        </w:tc>
        <w:tc>
          <w:tcPr>
            <w:tcW w:w="0" w:type="auto"/>
            <w:vAlign w:val="bottom"/>
          </w:tcPr>
          <w:p w:rsidR="00446747" w:rsidRPr="007C2D51" w:rsidRDefault="00446747" w:rsidP="00446747">
            <w:pPr>
              <w:jc w:val="center"/>
              <w:cnfStyle w:val="100000000000"/>
            </w:pPr>
            <w:r w:rsidRPr="007C2D51">
              <w:t>#</w:t>
            </w:r>
          </w:p>
        </w:tc>
        <w:tc>
          <w:tcPr>
            <w:tcW w:w="0" w:type="auto"/>
            <w:vAlign w:val="bottom"/>
          </w:tcPr>
          <w:p w:rsidR="00446747" w:rsidRPr="007C2D51" w:rsidRDefault="00446747" w:rsidP="002F579C">
            <w:pPr>
              <w:jc w:val="center"/>
              <w:cnfStyle w:val="100000000000"/>
            </w:pPr>
            <w:r w:rsidRPr="007C2D51">
              <w:t>Trips</w:t>
            </w:r>
          </w:p>
        </w:tc>
        <w:tc>
          <w:tcPr>
            <w:tcW w:w="1152" w:type="dxa"/>
            <w:noWrap/>
            <w:vAlign w:val="bottom"/>
          </w:tcPr>
          <w:p w:rsidR="00446747" w:rsidRPr="007C2D51" w:rsidRDefault="00446747" w:rsidP="002F579C">
            <w:pPr>
              <w:jc w:val="center"/>
              <w:cnfStyle w:val="100000000000"/>
            </w:pPr>
            <w:r w:rsidRPr="007C2D51">
              <w:t>Large Urban</w:t>
            </w:r>
          </w:p>
        </w:tc>
        <w:tc>
          <w:tcPr>
            <w:tcW w:w="1152" w:type="dxa"/>
            <w:noWrap/>
            <w:vAlign w:val="bottom"/>
          </w:tcPr>
          <w:p w:rsidR="00446747" w:rsidRPr="007C2D51" w:rsidRDefault="00446747" w:rsidP="002F579C">
            <w:pPr>
              <w:jc w:val="center"/>
              <w:cnfStyle w:val="100000000000"/>
            </w:pPr>
            <w:r w:rsidRPr="007C2D51">
              <w:t>Small Urban</w:t>
            </w:r>
          </w:p>
        </w:tc>
        <w:tc>
          <w:tcPr>
            <w:tcW w:w="1152" w:type="dxa"/>
            <w:noWrap/>
            <w:vAlign w:val="bottom"/>
          </w:tcPr>
          <w:p w:rsidR="00446747" w:rsidRPr="007C2D51" w:rsidRDefault="00446747" w:rsidP="002F579C">
            <w:pPr>
              <w:jc w:val="center"/>
              <w:cnfStyle w:val="100000000000"/>
            </w:pPr>
            <w:r w:rsidRPr="007C2D51">
              <w:t>Non-Urban</w:t>
            </w:r>
          </w:p>
        </w:tc>
        <w:tc>
          <w:tcPr>
            <w:tcW w:w="0" w:type="auto"/>
            <w:noWrap/>
            <w:vAlign w:val="bottom"/>
          </w:tcPr>
          <w:p w:rsidR="00446747" w:rsidRPr="007C2D51" w:rsidRDefault="00446747" w:rsidP="002F579C">
            <w:pPr>
              <w:jc w:val="center"/>
              <w:cnfStyle w:val="100000000000"/>
            </w:pPr>
            <w:r w:rsidRPr="007C2D51">
              <w:t>Total</w:t>
            </w:r>
          </w:p>
        </w:tc>
      </w:tr>
      <w:tr w:rsidR="00446747" w:rsidRPr="007C2D51" w:rsidTr="00F15767">
        <w:trPr>
          <w:cnfStyle w:val="000000100000"/>
          <w:trHeight w:val="300"/>
        </w:trPr>
        <w:tc>
          <w:tcPr>
            <w:cnfStyle w:val="001000000000"/>
            <w:tcW w:w="0" w:type="auto"/>
            <w:tcBorders>
              <w:top w:val="none" w:sz="0" w:space="0" w:color="auto"/>
              <w:left w:val="none" w:sz="0" w:space="0" w:color="auto"/>
              <w:bottom w:val="none" w:sz="0" w:space="0" w:color="auto"/>
            </w:tcBorders>
            <w:shd w:val="clear" w:color="auto" w:fill="475A8D" w:themeFill="accent6"/>
            <w:noWrap/>
            <w:vAlign w:val="bottom"/>
          </w:tcPr>
          <w:p w:rsidR="00446747" w:rsidRPr="007C2D51" w:rsidRDefault="00446747" w:rsidP="00B916C0">
            <w:pPr>
              <w:rPr>
                <w:color w:val="FFFFFF" w:themeColor="background1"/>
              </w:rPr>
            </w:pPr>
            <w:r w:rsidRPr="007C2D51">
              <w:rPr>
                <w:color w:val="FFFFFF" w:themeColor="background1"/>
              </w:rPr>
              <w:t>Trip-Based Services</w:t>
            </w:r>
          </w:p>
        </w:tc>
        <w:tc>
          <w:tcPr>
            <w:tcW w:w="0" w:type="auto"/>
            <w:tcBorders>
              <w:top w:val="none" w:sz="0" w:space="0" w:color="auto"/>
              <w:bottom w:val="none" w:sz="0" w:space="0" w:color="auto"/>
            </w:tcBorders>
            <w:shd w:val="clear" w:color="auto" w:fill="475A8D" w:themeFill="accent6"/>
            <w:vAlign w:val="bottom"/>
          </w:tcPr>
          <w:p w:rsidR="00446747" w:rsidRPr="007C2D51" w:rsidRDefault="00446747" w:rsidP="00B916C0">
            <w:pPr>
              <w:jc w:val="right"/>
              <w:cnfStyle w:val="000000100000"/>
              <w:rPr>
                <w:b/>
                <w:color w:val="FFFFFF" w:themeColor="background1"/>
              </w:rPr>
            </w:pPr>
            <w:r w:rsidRPr="007C2D51">
              <w:rPr>
                <w:b/>
                <w:color w:val="FFFFFF" w:themeColor="background1"/>
              </w:rPr>
              <w:t>813</w:t>
            </w:r>
          </w:p>
        </w:tc>
        <w:tc>
          <w:tcPr>
            <w:tcW w:w="0" w:type="auto"/>
            <w:tcBorders>
              <w:top w:val="none" w:sz="0" w:space="0" w:color="auto"/>
              <w:bottom w:val="none" w:sz="0" w:space="0" w:color="auto"/>
            </w:tcBorders>
            <w:shd w:val="clear" w:color="auto" w:fill="475A8D" w:themeFill="accent6"/>
            <w:vAlign w:val="bottom"/>
          </w:tcPr>
          <w:p w:rsidR="00446747" w:rsidRPr="007C2D51" w:rsidRDefault="00446747" w:rsidP="00B916C0">
            <w:pPr>
              <w:jc w:val="right"/>
              <w:cnfStyle w:val="000000100000"/>
              <w:rPr>
                <w:rFonts w:cs="Calibri"/>
                <w:b/>
                <w:bCs/>
                <w:color w:val="FFFFFF" w:themeColor="background1"/>
              </w:rPr>
            </w:pPr>
            <w:r w:rsidRPr="007C2D51">
              <w:rPr>
                <w:rFonts w:cs="Calibri"/>
                <w:b/>
                <w:bCs/>
                <w:color w:val="FFFFFF" w:themeColor="background1"/>
              </w:rPr>
              <w:t xml:space="preserve">54,522,032 </w:t>
            </w:r>
          </w:p>
        </w:tc>
        <w:tc>
          <w:tcPr>
            <w:tcW w:w="1152" w:type="dxa"/>
            <w:tcBorders>
              <w:top w:val="none" w:sz="0" w:space="0" w:color="auto"/>
              <w:bottom w:val="none" w:sz="0" w:space="0" w:color="auto"/>
            </w:tcBorders>
            <w:shd w:val="clear" w:color="auto" w:fill="475A8D" w:themeFill="accent6"/>
            <w:noWrap/>
            <w:vAlign w:val="bottom"/>
          </w:tcPr>
          <w:p w:rsidR="00446747" w:rsidRPr="007C2D51" w:rsidRDefault="00446747" w:rsidP="00B916C0">
            <w:pPr>
              <w:jc w:val="right"/>
              <w:cnfStyle w:val="000000100000"/>
              <w:rPr>
                <w:rFonts w:cs="Calibri"/>
                <w:b/>
                <w:bCs/>
                <w:color w:val="FFFFFF" w:themeColor="background1"/>
              </w:rPr>
            </w:pPr>
            <w:r w:rsidRPr="007C2D51">
              <w:rPr>
                <w:rFonts w:cs="Calibri"/>
                <w:b/>
                <w:bCs/>
                <w:color w:val="FFFFFF" w:themeColor="background1"/>
              </w:rPr>
              <w:t>82%</w:t>
            </w:r>
          </w:p>
        </w:tc>
        <w:tc>
          <w:tcPr>
            <w:tcW w:w="1152" w:type="dxa"/>
            <w:tcBorders>
              <w:top w:val="none" w:sz="0" w:space="0" w:color="auto"/>
              <w:bottom w:val="none" w:sz="0" w:space="0" w:color="auto"/>
            </w:tcBorders>
            <w:shd w:val="clear" w:color="auto" w:fill="475A8D" w:themeFill="accent6"/>
            <w:noWrap/>
            <w:vAlign w:val="bottom"/>
          </w:tcPr>
          <w:p w:rsidR="00446747" w:rsidRPr="007C2D51" w:rsidRDefault="00446747" w:rsidP="00B916C0">
            <w:pPr>
              <w:jc w:val="right"/>
              <w:cnfStyle w:val="000000100000"/>
              <w:rPr>
                <w:rFonts w:cs="Calibri"/>
                <w:b/>
                <w:bCs/>
                <w:color w:val="FFFFFF" w:themeColor="background1"/>
              </w:rPr>
            </w:pPr>
            <w:r w:rsidRPr="007C2D51">
              <w:rPr>
                <w:rFonts w:cs="Calibri"/>
                <w:b/>
                <w:bCs/>
                <w:color w:val="FFFFFF" w:themeColor="background1"/>
              </w:rPr>
              <w:t>12%</w:t>
            </w:r>
          </w:p>
        </w:tc>
        <w:tc>
          <w:tcPr>
            <w:tcW w:w="1152" w:type="dxa"/>
            <w:tcBorders>
              <w:top w:val="none" w:sz="0" w:space="0" w:color="auto"/>
              <w:bottom w:val="none" w:sz="0" w:space="0" w:color="auto"/>
            </w:tcBorders>
            <w:shd w:val="clear" w:color="auto" w:fill="475A8D" w:themeFill="accent6"/>
            <w:noWrap/>
            <w:vAlign w:val="bottom"/>
          </w:tcPr>
          <w:p w:rsidR="00446747" w:rsidRPr="007C2D51" w:rsidRDefault="00446747" w:rsidP="00B916C0">
            <w:pPr>
              <w:jc w:val="right"/>
              <w:cnfStyle w:val="000000100000"/>
              <w:rPr>
                <w:rFonts w:cs="Calibri"/>
                <w:b/>
                <w:bCs/>
                <w:color w:val="FFFFFF" w:themeColor="background1"/>
              </w:rPr>
            </w:pPr>
            <w:r w:rsidRPr="007C2D51">
              <w:rPr>
                <w:rFonts w:cs="Calibri"/>
                <w:b/>
                <w:bCs/>
                <w:color w:val="FFFFFF" w:themeColor="background1"/>
              </w:rPr>
              <w:t>7%</w:t>
            </w:r>
          </w:p>
        </w:tc>
        <w:tc>
          <w:tcPr>
            <w:tcW w:w="0" w:type="auto"/>
            <w:tcBorders>
              <w:top w:val="none" w:sz="0" w:space="0" w:color="auto"/>
              <w:bottom w:val="none" w:sz="0" w:space="0" w:color="auto"/>
              <w:right w:val="none" w:sz="0" w:space="0" w:color="auto"/>
            </w:tcBorders>
            <w:shd w:val="clear" w:color="auto" w:fill="475A8D" w:themeFill="accent6"/>
            <w:noWrap/>
            <w:vAlign w:val="bottom"/>
          </w:tcPr>
          <w:p w:rsidR="00446747" w:rsidRPr="007C2D51" w:rsidRDefault="00446747" w:rsidP="00B916C0">
            <w:pPr>
              <w:jc w:val="right"/>
              <w:cnfStyle w:val="000000100000"/>
              <w:rPr>
                <w:b/>
                <w:color w:val="FFFFFF" w:themeColor="background1"/>
              </w:rPr>
            </w:pPr>
            <w:r w:rsidRPr="007C2D51">
              <w:rPr>
                <w:b/>
                <w:color w:val="FFFFFF" w:themeColor="background1"/>
              </w:rPr>
              <w:t>100%</w:t>
            </w:r>
          </w:p>
        </w:tc>
      </w:tr>
      <w:tr w:rsidR="00446747" w:rsidRPr="007C2D51" w:rsidTr="00F15767">
        <w:trPr>
          <w:trHeight w:val="300"/>
        </w:trPr>
        <w:tc>
          <w:tcPr>
            <w:cnfStyle w:val="001000000000"/>
            <w:tcW w:w="0" w:type="auto"/>
            <w:noWrap/>
            <w:vAlign w:val="bottom"/>
          </w:tcPr>
          <w:p w:rsidR="00446747" w:rsidRPr="007C2D51" w:rsidRDefault="00446747" w:rsidP="00B916C0">
            <w:r w:rsidRPr="007C2D51">
              <w:t>Fixed route</w:t>
            </w:r>
          </w:p>
        </w:tc>
        <w:tc>
          <w:tcPr>
            <w:tcW w:w="0" w:type="auto"/>
            <w:vAlign w:val="bottom"/>
          </w:tcPr>
          <w:p w:rsidR="00446747" w:rsidRPr="007C2D51" w:rsidRDefault="00446747" w:rsidP="00B916C0">
            <w:pPr>
              <w:jc w:val="right"/>
              <w:cnfStyle w:val="000000000000"/>
              <w:rPr>
                <w:rFonts w:cs="Calibri"/>
                <w:color w:val="000000"/>
              </w:rPr>
            </w:pPr>
            <w:r w:rsidRPr="007C2D51">
              <w:rPr>
                <w:rFonts w:cs="Calibri"/>
                <w:color w:val="000000"/>
              </w:rPr>
              <w:t>397</w:t>
            </w:r>
          </w:p>
        </w:tc>
        <w:tc>
          <w:tcPr>
            <w:tcW w:w="0" w:type="auto"/>
            <w:vAlign w:val="bottom"/>
          </w:tcPr>
          <w:p w:rsidR="00446747" w:rsidRPr="007C2D51" w:rsidRDefault="00446747" w:rsidP="00B916C0">
            <w:pPr>
              <w:jc w:val="right"/>
              <w:cnfStyle w:val="000000000000"/>
              <w:rPr>
                <w:rFonts w:cs="Calibri"/>
                <w:color w:val="000000"/>
              </w:rPr>
            </w:pPr>
            <w:r w:rsidRPr="007C2D51">
              <w:rPr>
                <w:rFonts w:cs="Calibri"/>
                <w:color w:val="000000"/>
              </w:rPr>
              <w:t xml:space="preserve">47,363,009 </w:t>
            </w:r>
          </w:p>
        </w:tc>
        <w:tc>
          <w:tcPr>
            <w:tcW w:w="1152" w:type="dxa"/>
            <w:noWrap/>
            <w:vAlign w:val="bottom"/>
          </w:tcPr>
          <w:p w:rsidR="00446747" w:rsidRPr="007C2D51" w:rsidRDefault="00446747" w:rsidP="00B916C0">
            <w:pPr>
              <w:jc w:val="right"/>
              <w:cnfStyle w:val="000000000000"/>
              <w:rPr>
                <w:rFonts w:cs="Calibri"/>
                <w:color w:val="000000"/>
              </w:rPr>
            </w:pPr>
            <w:r w:rsidRPr="007C2D51">
              <w:rPr>
                <w:rFonts w:cs="Calibri"/>
                <w:color w:val="000000"/>
              </w:rPr>
              <w:t>87%</w:t>
            </w:r>
          </w:p>
        </w:tc>
        <w:tc>
          <w:tcPr>
            <w:tcW w:w="1152" w:type="dxa"/>
            <w:noWrap/>
            <w:vAlign w:val="bottom"/>
          </w:tcPr>
          <w:p w:rsidR="00446747" w:rsidRPr="007C2D51" w:rsidRDefault="00446747" w:rsidP="00B916C0">
            <w:pPr>
              <w:jc w:val="right"/>
              <w:cnfStyle w:val="000000000000"/>
              <w:rPr>
                <w:rFonts w:cs="Calibri"/>
                <w:color w:val="000000"/>
              </w:rPr>
            </w:pPr>
            <w:r w:rsidRPr="007C2D51">
              <w:rPr>
                <w:rFonts w:cs="Calibri"/>
                <w:color w:val="000000"/>
              </w:rPr>
              <w:t>10%</w:t>
            </w:r>
          </w:p>
        </w:tc>
        <w:tc>
          <w:tcPr>
            <w:tcW w:w="1152" w:type="dxa"/>
            <w:noWrap/>
            <w:vAlign w:val="bottom"/>
          </w:tcPr>
          <w:p w:rsidR="00446747" w:rsidRPr="007C2D51" w:rsidRDefault="00446747" w:rsidP="00B916C0">
            <w:pPr>
              <w:jc w:val="right"/>
              <w:cnfStyle w:val="000000000000"/>
              <w:rPr>
                <w:rFonts w:cs="Calibri"/>
                <w:color w:val="000000"/>
              </w:rPr>
            </w:pPr>
            <w:r w:rsidRPr="007C2D51">
              <w:rPr>
                <w:rFonts w:cs="Calibri"/>
                <w:color w:val="000000"/>
              </w:rPr>
              <w:t>3%</w:t>
            </w:r>
          </w:p>
        </w:tc>
        <w:tc>
          <w:tcPr>
            <w:tcW w:w="0" w:type="auto"/>
            <w:noWrap/>
            <w:vAlign w:val="bottom"/>
          </w:tcPr>
          <w:p w:rsidR="00446747" w:rsidRPr="007C2D51" w:rsidRDefault="00446747" w:rsidP="00B916C0">
            <w:pPr>
              <w:jc w:val="right"/>
              <w:cnfStyle w:val="000000000000"/>
            </w:pPr>
            <w:r w:rsidRPr="007C2D51">
              <w:t>100%</w:t>
            </w:r>
          </w:p>
        </w:tc>
      </w:tr>
      <w:tr w:rsidR="00446747" w:rsidRPr="007C2D51" w:rsidTr="00F15767">
        <w:trPr>
          <w:cnfStyle w:val="000000100000"/>
          <w:trHeight w:val="300"/>
        </w:trPr>
        <w:tc>
          <w:tcPr>
            <w:cnfStyle w:val="001000000000"/>
            <w:tcW w:w="0" w:type="auto"/>
            <w:tcBorders>
              <w:top w:val="none" w:sz="0" w:space="0" w:color="auto"/>
              <w:left w:val="none" w:sz="0" w:space="0" w:color="auto"/>
              <w:bottom w:val="none" w:sz="0" w:space="0" w:color="auto"/>
            </w:tcBorders>
            <w:noWrap/>
            <w:vAlign w:val="bottom"/>
          </w:tcPr>
          <w:p w:rsidR="00446747" w:rsidRPr="007C2D51" w:rsidRDefault="00446747" w:rsidP="00B916C0">
            <w:r w:rsidRPr="007C2D51">
              <w:t>Demand response</w:t>
            </w:r>
          </w:p>
        </w:tc>
        <w:tc>
          <w:tcPr>
            <w:tcW w:w="0" w:type="auto"/>
            <w:tcBorders>
              <w:top w:val="none" w:sz="0" w:space="0" w:color="auto"/>
              <w:bottom w:val="none" w:sz="0" w:space="0" w:color="auto"/>
            </w:tcBorders>
            <w:vAlign w:val="bottom"/>
          </w:tcPr>
          <w:p w:rsidR="00446747" w:rsidRPr="007C2D51" w:rsidRDefault="00446747" w:rsidP="00B916C0">
            <w:pPr>
              <w:jc w:val="right"/>
              <w:cnfStyle w:val="000000100000"/>
              <w:rPr>
                <w:rFonts w:cs="Calibri"/>
                <w:color w:val="000000"/>
              </w:rPr>
            </w:pPr>
            <w:r w:rsidRPr="007C2D51">
              <w:rPr>
                <w:rFonts w:cs="Calibri"/>
                <w:color w:val="000000"/>
              </w:rPr>
              <w:t>237</w:t>
            </w:r>
          </w:p>
        </w:tc>
        <w:tc>
          <w:tcPr>
            <w:tcW w:w="0" w:type="auto"/>
            <w:tcBorders>
              <w:top w:val="none" w:sz="0" w:space="0" w:color="auto"/>
              <w:bottom w:val="none" w:sz="0" w:space="0" w:color="auto"/>
            </w:tcBorders>
            <w:vAlign w:val="bottom"/>
          </w:tcPr>
          <w:p w:rsidR="00446747" w:rsidRPr="007C2D51" w:rsidRDefault="00446747" w:rsidP="00B916C0">
            <w:pPr>
              <w:jc w:val="right"/>
              <w:cnfStyle w:val="000000100000"/>
              <w:rPr>
                <w:rFonts w:cs="Calibri"/>
                <w:color w:val="000000"/>
              </w:rPr>
            </w:pPr>
            <w:r w:rsidRPr="007C2D51">
              <w:rPr>
                <w:rFonts w:cs="Calibri"/>
                <w:color w:val="000000"/>
              </w:rPr>
              <w:t xml:space="preserve">3,054,526 </w:t>
            </w:r>
          </w:p>
        </w:tc>
        <w:tc>
          <w:tcPr>
            <w:tcW w:w="1152" w:type="dxa"/>
            <w:tcBorders>
              <w:top w:val="none" w:sz="0" w:space="0" w:color="auto"/>
              <w:bottom w:val="none" w:sz="0" w:space="0" w:color="auto"/>
            </w:tcBorders>
            <w:noWrap/>
            <w:vAlign w:val="bottom"/>
          </w:tcPr>
          <w:p w:rsidR="00446747" w:rsidRPr="007C2D51" w:rsidRDefault="00446747" w:rsidP="00B916C0">
            <w:pPr>
              <w:jc w:val="right"/>
              <w:cnfStyle w:val="000000100000"/>
              <w:rPr>
                <w:rFonts w:cs="Calibri"/>
                <w:color w:val="000000"/>
              </w:rPr>
            </w:pPr>
            <w:r w:rsidRPr="007C2D51">
              <w:rPr>
                <w:rFonts w:cs="Calibri"/>
                <w:color w:val="000000"/>
              </w:rPr>
              <w:t>36%</w:t>
            </w:r>
          </w:p>
        </w:tc>
        <w:tc>
          <w:tcPr>
            <w:tcW w:w="1152" w:type="dxa"/>
            <w:tcBorders>
              <w:top w:val="none" w:sz="0" w:space="0" w:color="auto"/>
              <w:bottom w:val="none" w:sz="0" w:space="0" w:color="auto"/>
            </w:tcBorders>
            <w:noWrap/>
            <w:vAlign w:val="bottom"/>
          </w:tcPr>
          <w:p w:rsidR="00446747" w:rsidRPr="007C2D51" w:rsidRDefault="00446747" w:rsidP="00B916C0">
            <w:pPr>
              <w:jc w:val="right"/>
              <w:cnfStyle w:val="000000100000"/>
              <w:rPr>
                <w:rFonts w:cs="Calibri"/>
                <w:color w:val="000000"/>
              </w:rPr>
            </w:pPr>
            <w:r w:rsidRPr="007C2D51">
              <w:rPr>
                <w:rFonts w:cs="Calibri"/>
                <w:color w:val="000000"/>
              </w:rPr>
              <w:t>20%</w:t>
            </w:r>
          </w:p>
        </w:tc>
        <w:tc>
          <w:tcPr>
            <w:tcW w:w="1152" w:type="dxa"/>
            <w:tcBorders>
              <w:top w:val="none" w:sz="0" w:space="0" w:color="auto"/>
              <w:bottom w:val="none" w:sz="0" w:space="0" w:color="auto"/>
            </w:tcBorders>
            <w:noWrap/>
            <w:vAlign w:val="bottom"/>
          </w:tcPr>
          <w:p w:rsidR="00446747" w:rsidRPr="007C2D51" w:rsidRDefault="00446747" w:rsidP="00B916C0">
            <w:pPr>
              <w:jc w:val="right"/>
              <w:cnfStyle w:val="000000100000"/>
              <w:rPr>
                <w:rFonts w:cs="Calibri"/>
                <w:color w:val="000000"/>
              </w:rPr>
            </w:pPr>
            <w:r w:rsidRPr="007C2D51">
              <w:rPr>
                <w:rFonts w:cs="Calibri"/>
                <w:color w:val="000000"/>
              </w:rPr>
              <w:t>44%</w:t>
            </w:r>
          </w:p>
        </w:tc>
        <w:tc>
          <w:tcPr>
            <w:tcW w:w="0" w:type="auto"/>
            <w:tcBorders>
              <w:top w:val="none" w:sz="0" w:space="0" w:color="auto"/>
              <w:bottom w:val="none" w:sz="0" w:space="0" w:color="auto"/>
              <w:right w:val="none" w:sz="0" w:space="0" w:color="auto"/>
            </w:tcBorders>
            <w:noWrap/>
            <w:vAlign w:val="bottom"/>
          </w:tcPr>
          <w:p w:rsidR="00446747" w:rsidRPr="007C2D51" w:rsidRDefault="00446747" w:rsidP="00B916C0">
            <w:pPr>
              <w:jc w:val="right"/>
              <w:cnfStyle w:val="000000100000"/>
            </w:pPr>
            <w:r w:rsidRPr="007C2D51">
              <w:t>100%</w:t>
            </w:r>
          </w:p>
        </w:tc>
      </w:tr>
      <w:tr w:rsidR="00446747" w:rsidRPr="007C2D51" w:rsidTr="00F15767">
        <w:trPr>
          <w:trHeight w:val="300"/>
        </w:trPr>
        <w:tc>
          <w:tcPr>
            <w:cnfStyle w:val="001000000000"/>
            <w:tcW w:w="0" w:type="auto"/>
            <w:noWrap/>
            <w:vAlign w:val="bottom"/>
          </w:tcPr>
          <w:p w:rsidR="00446747" w:rsidRPr="007C2D51" w:rsidRDefault="00446747" w:rsidP="00B916C0">
            <w:r w:rsidRPr="007C2D51">
              <w:t>Flexible routing</w:t>
            </w:r>
          </w:p>
        </w:tc>
        <w:tc>
          <w:tcPr>
            <w:tcW w:w="0" w:type="auto"/>
            <w:vAlign w:val="bottom"/>
          </w:tcPr>
          <w:p w:rsidR="00446747" w:rsidRPr="007C2D51" w:rsidRDefault="00446747" w:rsidP="00B916C0">
            <w:pPr>
              <w:jc w:val="right"/>
              <w:cnfStyle w:val="000000000000"/>
              <w:rPr>
                <w:rFonts w:cs="Calibri"/>
                <w:color w:val="000000"/>
              </w:rPr>
            </w:pPr>
            <w:r w:rsidRPr="007C2D51">
              <w:rPr>
                <w:rFonts w:cs="Calibri"/>
                <w:color w:val="000000"/>
              </w:rPr>
              <w:t>61</w:t>
            </w:r>
          </w:p>
        </w:tc>
        <w:tc>
          <w:tcPr>
            <w:tcW w:w="0" w:type="auto"/>
            <w:vAlign w:val="bottom"/>
          </w:tcPr>
          <w:p w:rsidR="00446747" w:rsidRPr="007C2D51" w:rsidRDefault="00446747" w:rsidP="00B916C0">
            <w:pPr>
              <w:jc w:val="right"/>
              <w:cnfStyle w:val="000000000000"/>
              <w:rPr>
                <w:rFonts w:cs="Calibri"/>
                <w:color w:val="000000"/>
              </w:rPr>
            </w:pPr>
            <w:r w:rsidRPr="007C2D51">
              <w:rPr>
                <w:rFonts w:cs="Calibri"/>
                <w:color w:val="000000"/>
              </w:rPr>
              <w:t xml:space="preserve">1,431,176 </w:t>
            </w:r>
          </w:p>
        </w:tc>
        <w:tc>
          <w:tcPr>
            <w:tcW w:w="1152" w:type="dxa"/>
            <w:noWrap/>
            <w:vAlign w:val="bottom"/>
          </w:tcPr>
          <w:p w:rsidR="00446747" w:rsidRPr="007C2D51" w:rsidRDefault="00446747" w:rsidP="00B916C0">
            <w:pPr>
              <w:jc w:val="right"/>
              <w:cnfStyle w:val="000000000000"/>
              <w:rPr>
                <w:rFonts w:cs="Calibri"/>
                <w:color w:val="000000"/>
              </w:rPr>
            </w:pPr>
            <w:r w:rsidRPr="007C2D51">
              <w:rPr>
                <w:rFonts w:cs="Calibri"/>
                <w:color w:val="000000"/>
              </w:rPr>
              <w:t>29%</w:t>
            </w:r>
          </w:p>
        </w:tc>
        <w:tc>
          <w:tcPr>
            <w:tcW w:w="1152" w:type="dxa"/>
            <w:noWrap/>
            <w:vAlign w:val="bottom"/>
          </w:tcPr>
          <w:p w:rsidR="00446747" w:rsidRPr="007C2D51" w:rsidRDefault="00446747" w:rsidP="00B916C0">
            <w:pPr>
              <w:jc w:val="right"/>
              <w:cnfStyle w:val="000000000000"/>
              <w:rPr>
                <w:rFonts w:cs="Calibri"/>
                <w:color w:val="000000"/>
              </w:rPr>
            </w:pPr>
            <w:r w:rsidRPr="007C2D51">
              <w:rPr>
                <w:rFonts w:cs="Calibri"/>
                <w:color w:val="000000"/>
              </w:rPr>
              <w:t>52%</w:t>
            </w:r>
          </w:p>
        </w:tc>
        <w:tc>
          <w:tcPr>
            <w:tcW w:w="1152" w:type="dxa"/>
            <w:noWrap/>
            <w:vAlign w:val="bottom"/>
          </w:tcPr>
          <w:p w:rsidR="00446747" w:rsidRPr="007C2D51" w:rsidRDefault="00446747" w:rsidP="00B916C0">
            <w:pPr>
              <w:jc w:val="right"/>
              <w:cnfStyle w:val="000000000000"/>
              <w:rPr>
                <w:rFonts w:cs="Calibri"/>
                <w:color w:val="000000"/>
              </w:rPr>
            </w:pPr>
            <w:r w:rsidRPr="007C2D51">
              <w:rPr>
                <w:rFonts w:cs="Calibri"/>
                <w:color w:val="000000"/>
              </w:rPr>
              <w:t>18%</w:t>
            </w:r>
          </w:p>
        </w:tc>
        <w:tc>
          <w:tcPr>
            <w:tcW w:w="0" w:type="auto"/>
            <w:noWrap/>
            <w:vAlign w:val="bottom"/>
          </w:tcPr>
          <w:p w:rsidR="00446747" w:rsidRPr="007C2D51" w:rsidRDefault="00446747" w:rsidP="00B916C0">
            <w:pPr>
              <w:jc w:val="right"/>
              <w:cnfStyle w:val="000000000000"/>
            </w:pPr>
            <w:r w:rsidRPr="007C2D51">
              <w:t>100%</w:t>
            </w:r>
          </w:p>
        </w:tc>
      </w:tr>
      <w:tr w:rsidR="00446747" w:rsidRPr="007C2D51" w:rsidTr="00F15767">
        <w:trPr>
          <w:cnfStyle w:val="000000100000"/>
          <w:trHeight w:val="300"/>
        </w:trPr>
        <w:tc>
          <w:tcPr>
            <w:cnfStyle w:val="001000000000"/>
            <w:tcW w:w="0" w:type="auto"/>
            <w:tcBorders>
              <w:top w:val="none" w:sz="0" w:space="0" w:color="auto"/>
              <w:left w:val="none" w:sz="0" w:space="0" w:color="auto"/>
              <w:bottom w:val="none" w:sz="0" w:space="0" w:color="auto"/>
            </w:tcBorders>
            <w:noWrap/>
            <w:vAlign w:val="bottom"/>
          </w:tcPr>
          <w:p w:rsidR="00446747" w:rsidRPr="007C2D51" w:rsidRDefault="00446747" w:rsidP="00B916C0">
            <w:r w:rsidRPr="007C2D51">
              <w:t>Shuttle/Feeder</w:t>
            </w:r>
          </w:p>
        </w:tc>
        <w:tc>
          <w:tcPr>
            <w:tcW w:w="0" w:type="auto"/>
            <w:tcBorders>
              <w:top w:val="none" w:sz="0" w:space="0" w:color="auto"/>
              <w:bottom w:val="none" w:sz="0" w:space="0" w:color="auto"/>
            </w:tcBorders>
            <w:vAlign w:val="bottom"/>
          </w:tcPr>
          <w:p w:rsidR="00446747" w:rsidRPr="007C2D51" w:rsidRDefault="00446747" w:rsidP="00B916C0">
            <w:pPr>
              <w:jc w:val="right"/>
              <w:cnfStyle w:val="000000100000"/>
              <w:rPr>
                <w:rFonts w:cs="Calibri"/>
                <w:color w:val="000000"/>
              </w:rPr>
            </w:pPr>
            <w:r w:rsidRPr="007C2D51">
              <w:rPr>
                <w:rFonts w:cs="Calibri"/>
                <w:color w:val="000000"/>
              </w:rPr>
              <w:t>52</w:t>
            </w:r>
          </w:p>
        </w:tc>
        <w:tc>
          <w:tcPr>
            <w:tcW w:w="0" w:type="auto"/>
            <w:tcBorders>
              <w:top w:val="none" w:sz="0" w:space="0" w:color="auto"/>
              <w:bottom w:val="none" w:sz="0" w:space="0" w:color="auto"/>
            </w:tcBorders>
            <w:vAlign w:val="bottom"/>
          </w:tcPr>
          <w:p w:rsidR="00446747" w:rsidRPr="007C2D51" w:rsidRDefault="00446747" w:rsidP="00B916C0">
            <w:pPr>
              <w:jc w:val="right"/>
              <w:cnfStyle w:val="000000100000"/>
              <w:rPr>
                <w:rFonts w:cs="Calibri"/>
                <w:color w:val="000000"/>
              </w:rPr>
            </w:pPr>
            <w:r w:rsidRPr="007C2D51">
              <w:rPr>
                <w:rFonts w:cs="Calibri"/>
                <w:color w:val="000000"/>
              </w:rPr>
              <w:t xml:space="preserve">1,229,871 </w:t>
            </w:r>
          </w:p>
        </w:tc>
        <w:tc>
          <w:tcPr>
            <w:tcW w:w="1152" w:type="dxa"/>
            <w:tcBorders>
              <w:top w:val="none" w:sz="0" w:space="0" w:color="auto"/>
              <w:bottom w:val="none" w:sz="0" w:space="0" w:color="auto"/>
            </w:tcBorders>
            <w:noWrap/>
            <w:vAlign w:val="bottom"/>
          </w:tcPr>
          <w:p w:rsidR="00446747" w:rsidRPr="007C2D51" w:rsidRDefault="00446747" w:rsidP="00B916C0">
            <w:pPr>
              <w:jc w:val="right"/>
              <w:cnfStyle w:val="000000100000"/>
              <w:rPr>
                <w:rFonts w:cs="Calibri"/>
                <w:color w:val="000000"/>
              </w:rPr>
            </w:pPr>
            <w:r w:rsidRPr="007C2D51">
              <w:rPr>
                <w:rFonts w:cs="Calibri"/>
                <w:color w:val="000000"/>
              </w:rPr>
              <w:t>63%</w:t>
            </w:r>
          </w:p>
        </w:tc>
        <w:tc>
          <w:tcPr>
            <w:tcW w:w="1152" w:type="dxa"/>
            <w:tcBorders>
              <w:top w:val="none" w:sz="0" w:space="0" w:color="auto"/>
              <w:bottom w:val="none" w:sz="0" w:space="0" w:color="auto"/>
            </w:tcBorders>
            <w:noWrap/>
            <w:vAlign w:val="bottom"/>
          </w:tcPr>
          <w:p w:rsidR="00446747" w:rsidRPr="007C2D51" w:rsidRDefault="00446747" w:rsidP="00B916C0">
            <w:pPr>
              <w:jc w:val="right"/>
              <w:cnfStyle w:val="000000100000"/>
              <w:rPr>
                <w:rFonts w:cs="Calibri"/>
                <w:color w:val="000000"/>
              </w:rPr>
            </w:pPr>
            <w:r w:rsidRPr="007C2D51">
              <w:rPr>
                <w:rFonts w:cs="Calibri"/>
                <w:color w:val="000000"/>
              </w:rPr>
              <w:t>16%</w:t>
            </w:r>
          </w:p>
        </w:tc>
        <w:tc>
          <w:tcPr>
            <w:tcW w:w="1152" w:type="dxa"/>
            <w:tcBorders>
              <w:top w:val="none" w:sz="0" w:space="0" w:color="auto"/>
              <w:bottom w:val="none" w:sz="0" w:space="0" w:color="auto"/>
            </w:tcBorders>
            <w:noWrap/>
            <w:vAlign w:val="bottom"/>
          </w:tcPr>
          <w:p w:rsidR="00446747" w:rsidRPr="007C2D51" w:rsidRDefault="00446747" w:rsidP="00B916C0">
            <w:pPr>
              <w:jc w:val="right"/>
              <w:cnfStyle w:val="000000100000"/>
              <w:rPr>
                <w:rFonts w:cs="Calibri"/>
                <w:color w:val="000000"/>
              </w:rPr>
            </w:pPr>
            <w:r w:rsidRPr="007C2D51">
              <w:rPr>
                <w:rFonts w:cs="Calibri"/>
                <w:color w:val="000000"/>
              </w:rPr>
              <w:t>21%</w:t>
            </w:r>
          </w:p>
        </w:tc>
        <w:tc>
          <w:tcPr>
            <w:tcW w:w="0" w:type="auto"/>
            <w:tcBorders>
              <w:top w:val="none" w:sz="0" w:space="0" w:color="auto"/>
              <w:bottom w:val="none" w:sz="0" w:space="0" w:color="auto"/>
              <w:right w:val="none" w:sz="0" w:space="0" w:color="auto"/>
            </w:tcBorders>
            <w:noWrap/>
            <w:vAlign w:val="bottom"/>
          </w:tcPr>
          <w:p w:rsidR="00446747" w:rsidRPr="007C2D51" w:rsidRDefault="00446747" w:rsidP="00B916C0">
            <w:pPr>
              <w:jc w:val="right"/>
              <w:cnfStyle w:val="000000100000"/>
            </w:pPr>
            <w:r w:rsidRPr="007C2D51">
              <w:t>100%</w:t>
            </w:r>
          </w:p>
        </w:tc>
      </w:tr>
      <w:tr w:rsidR="00446747" w:rsidRPr="007C2D51" w:rsidTr="00F15767">
        <w:trPr>
          <w:trHeight w:val="300"/>
        </w:trPr>
        <w:tc>
          <w:tcPr>
            <w:cnfStyle w:val="001000000000"/>
            <w:tcW w:w="0" w:type="auto"/>
            <w:noWrap/>
            <w:vAlign w:val="bottom"/>
          </w:tcPr>
          <w:p w:rsidR="00446747" w:rsidRPr="007C2D51" w:rsidRDefault="00446747" w:rsidP="00B916C0">
            <w:r w:rsidRPr="007C2D51">
              <w:t>Vanpool service</w:t>
            </w:r>
          </w:p>
        </w:tc>
        <w:tc>
          <w:tcPr>
            <w:tcW w:w="0" w:type="auto"/>
            <w:vAlign w:val="bottom"/>
          </w:tcPr>
          <w:p w:rsidR="00446747" w:rsidRPr="007C2D51" w:rsidRDefault="00446747" w:rsidP="00B916C0">
            <w:pPr>
              <w:jc w:val="right"/>
              <w:cnfStyle w:val="000000000000"/>
              <w:rPr>
                <w:rFonts w:cs="Calibri"/>
                <w:color w:val="000000"/>
              </w:rPr>
            </w:pPr>
            <w:r w:rsidRPr="007C2D51">
              <w:rPr>
                <w:rFonts w:cs="Calibri"/>
                <w:color w:val="000000"/>
              </w:rPr>
              <w:t>28</w:t>
            </w:r>
          </w:p>
        </w:tc>
        <w:tc>
          <w:tcPr>
            <w:tcW w:w="0" w:type="auto"/>
            <w:vAlign w:val="bottom"/>
          </w:tcPr>
          <w:p w:rsidR="00446747" w:rsidRPr="007C2D51" w:rsidRDefault="00446747" w:rsidP="00B916C0">
            <w:pPr>
              <w:jc w:val="right"/>
              <w:cnfStyle w:val="000000000000"/>
              <w:rPr>
                <w:rFonts w:cs="Calibri"/>
                <w:color w:val="000000"/>
              </w:rPr>
            </w:pPr>
            <w:r w:rsidRPr="007C2D51">
              <w:rPr>
                <w:rFonts w:cs="Calibri"/>
                <w:color w:val="000000"/>
              </w:rPr>
              <w:t xml:space="preserve"> 870,453 </w:t>
            </w:r>
          </w:p>
        </w:tc>
        <w:tc>
          <w:tcPr>
            <w:tcW w:w="1152" w:type="dxa"/>
            <w:noWrap/>
            <w:vAlign w:val="bottom"/>
          </w:tcPr>
          <w:p w:rsidR="00446747" w:rsidRPr="007C2D51" w:rsidRDefault="00446747" w:rsidP="00B916C0">
            <w:pPr>
              <w:jc w:val="right"/>
              <w:cnfStyle w:val="000000000000"/>
              <w:rPr>
                <w:rFonts w:cs="Calibri"/>
                <w:color w:val="000000"/>
              </w:rPr>
            </w:pPr>
            <w:r w:rsidRPr="007C2D51">
              <w:rPr>
                <w:rFonts w:cs="Calibri"/>
                <w:color w:val="000000"/>
              </w:rPr>
              <w:t>88%</w:t>
            </w:r>
          </w:p>
        </w:tc>
        <w:tc>
          <w:tcPr>
            <w:tcW w:w="1152" w:type="dxa"/>
            <w:noWrap/>
            <w:vAlign w:val="bottom"/>
          </w:tcPr>
          <w:p w:rsidR="00446747" w:rsidRPr="007C2D51" w:rsidRDefault="00446747" w:rsidP="00B916C0">
            <w:pPr>
              <w:jc w:val="right"/>
              <w:cnfStyle w:val="000000000000"/>
              <w:rPr>
                <w:rFonts w:cs="Calibri"/>
                <w:color w:val="000000"/>
              </w:rPr>
            </w:pPr>
            <w:r w:rsidRPr="007C2D51">
              <w:rPr>
                <w:rFonts w:cs="Calibri"/>
                <w:color w:val="000000"/>
              </w:rPr>
              <w:t>3%</w:t>
            </w:r>
          </w:p>
        </w:tc>
        <w:tc>
          <w:tcPr>
            <w:tcW w:w="1152" w:type="dxa"/>
            <w:noWrap/>
            <w:vAlign w:val="bottom"/>
          </w:tcPr>
          <w:p w:rsidR="00446747" w:rsidRPr="007C2D51" w:rsidRDefault="00446747" w:rsidP="00B916C0">
            <w:pPr>
              <w:jc w:val="right"/>
              <w:cnfStyle w:val="000000000000"/>
              <w:rPr>
                <w:rFonts w:cs="Calibri"/>
                <w:color w:val="000000"/>
              </w:rPr>
            </w:pPr>
            <w:r w:rsidRPr="007C2D51">
              <w:rPr>
                <w:rFonts w:cs="Calibri"/>
                <w:color w:val="000000"/>
              </w:rPr>
              <w:t>9%</w:t>
            </w:r>
          </w:p>
        </w:tc>
        <w:tc>
          <w:tcPr>
            <w:tcW w:w="0" w:type="auto"/>
            <w:noWrap/>
            <w:vAlign w:val="bottom"/>
          </w:tcPr>
          <w:p w:rsidR="00446747" w:rsidRPr="007C2D51" w:rsidRDefault="00446747" w:rsidP="00B916C0">
            <w:pPr>
              <w:jc w:val="right"/>
              <w:cnfStyle w:val="000000000000"/>
            </w:pPr>
            <w:r w:rsidRPr="007C2D51">
              <w:t>100%</w:t>
            </w:r>
          </w:p>
        </w:tc>
      </w:tr>
      <w:tr w:rsidR="00446747" w:rsidRPr="007C2D51" w:rsidTr="00F15767">
        <w:trPr>
          <w:cnfStyle w:val="000000100000"/>
          <w:trHeight w:val="300"/>
        </w:trPr>
        <w:tc>
          <w:tcPr>
            <w:cnfStyle w:val="001000000000"/>
            <w:tcW w:w="0" w:type="auto"/>
            <w:tcBorders>
              <w:top w:val="none" w:sz="0" w:space="0" w:color="auto"/>
              <w:left w:val="none" w:sz="0" w:space="0" w:color="auto"/>
              <w:bottom w:val="none" w:sz="0" w:space="0" w:color="auto"/>
            </w:tcBorders>
            <w:noWrap/>
            <w:vAlign w:val="bottom"/>
          </w:tcPr>
          <w:p w:rsidR="00446747" w:rsidRPr="007C2D51" w:rsidRDefault="00446747" w:rsidP="00B916C0">
            <w:r w:rsidRPr="007C2D51">
              <w:t>User-side subsidy</w:t>
            </w:r>
          </w:p>
        </w:tc>
        <w:tc>
          <w:tcPr>
            <w:tcW w:w="0" w:type="auto"/>
            <w:tcBorders>
              <w:top w:val="none" w:sz="0" w:space="0" w:color="auto"/>
              <w:bottom w:val="none" w:sz="0" w:space="0" w:color="auto"/>
            </w:tcBorders>
            <w:vAlign w:val="bottom"/>
          </w:tcPr>
          <w:p w:rsidR="00446747" w:rsidRPr="007C2D51" w:rsidRDefault="00446747" w:rsidP="00B916C0">
            <w:pPr>
              <w:jc w:val="right"/>
              <w:cnfStyle w:val="000000100000"/>
              <w:rPr>
                <w:rFonts w:cs="Calibri"/>
                <w:color w:val="000000"/>
              </w:rPr>
            </w:pPr>
            <w:r w:rsidRPr="007C2D51">
              <w:rPr>
                <w:rFonts w:cs="Calibri"/>
                <w:color w:val="000000"/>
              </w:rPr>
              <w:t>38</w:t>
            </w:r>
          </w:p>
        </w:tc>
        <w:tc>
          <w:tcPr>
            <w:tcW w:w="0" w:type="auto"/>
            <w:tcBorders>
              <w:top w:val="none" w:sz="0" w:space="0" w:color="auto"/>
              <w:bottom w:val="none" w:sz="0" w:space="0" w:color="auto"/>
            </w:tcBorders>
            <w:vAlign w:val="bottom"/>
          </w:tcPr>
          <w:p w:rsidR="00446747" w:rsidRPr="007C2D51" w:rsidRDefault="00446747" w:rsidP="00B916C0">
            <w:pPr>
              <w:jc w:val="right"/>
              <w:cnfStyle w:val="000000100000"/>
              <w:rPr>
                <w:rFonts w:cs="Calibri"/>
                <w:color w:val="000000"/>
              </w:rPr>
            </w:pPr>
            <w:r w:rsidRPr="007C2D51">
              <w:rPr>
                <w:rFonts w:cs="Calibri"/>
                <w:color w:val="000000"/>
              </w:rPr>
              <w:t xml:space="preserve">572,997 </w:t>
            </w:r>
          </w:p>
        </w:tc>
        <w:tc>
          <w:tcPr>
            <w:tcW w:w="1152" w:type="dxa"/>
            <w:tcBorders>
              <w:top w:val="none" w:sz="0" w:space="0" w:color="auto"/>
              <w:bottom w:val="none" w:sz="0" w:space="0" w:color="auto"/>
            </w:tcBorders>
            <w:noWrap/>
            <w:vAlign w:val="bottom"/>
          </w:tcPr>
          <w:p w:rsidR="00446747" w:rsidRPr="007C2D51" w:rsidRDefault="00446747" w:rsidP="00B916C0">
            <w:pPr>
              <w:jc w:val="right"/>
              <w:cnfStyle w:val="000000100000"/>
              <w:rPr>
                <w:rFonts w:cs="Calibri"/>
                <w:color w:val="000000"/>
              </w:rPr>
            </w:pPr>
            <w:r w:rsidRPr="007C2D51">
              <w:rPr>
                <w:rFonts w:cs="Calibri"/>
                <w:color w:val="000000"/>
              </w:rPr>
              <w:t>86%</w:t>
            </w:r>
          </w:p>
        </w:tc>
        <w:tc>
          <w:tcPr>
            <w:tcW w:w="1152" w:type="dxa"/>
            <w:tcBorders>
              <w:top w:val="none" w:sz="0" w:space="0" w:color="auto"/>
              <w:bottom w:val="none" w:sz="0" w:space="0" w:color="auto"/>
            </w:tcBorders>
            <w:noWrap/>
            <w:vAlign w:val="bottom"/>
          </w:tcPr>
          <w:p w:rsidR="00446747" w:rsidRPr="007C2D51" w:rsidRDefault="00446747" w:rsidP="00B916C0">
            <w:pPr>
              <w:jc w:val="right"/>
              <w:cnfStyle w:val="000000100000"/>
              <w:rPr>
                <w:rFonts w:cs="Calibri"/>
                <w:color w:val="000000"/>
              </w:rPr>
            </w:pPr>
            <w:r w:rsidRPr="007C2D51">
              <w:rPr>
                <w:rFonts w:cs="Calibri"/>
                <w:color w:val="000000"/>
              </w:rPr>
              <w:t>7%</w:t>
            </w:r>
          </w:p>
        </w:tc>
        <w:tc>
          <w:tcPr>
            <w:tcW w:w="1152" w:type="dxa"/>
            <w:tcBorders>
              <w:top w:val="none" w:sz="0" w:space="0" w:color="auto"/>
              <w:bottom w:val="none" w:sz="0" w:space="0" w:color="auto"/>
            </w:tcBorders>
            <w:noWrap/>
            <w:vAlign w:val="bottom"/>
          </w:tcPr>
          <w:p w:rsidR="00446747" w:rsidRPr="007C2D51" w:rsidRDefault="00446747" w:rsidP="00B916C0">
            <w:pPr>
              <w:jc w:val="right"/>
              <w:cnfStyle w:val="000000100000"/>
              <w:rPr>
                <w:rFonts w:cs="Calibri"/>
                <w:color w:val="000000"/>
              </w:rPr>
            </w:pPr>
            <w:r w:rsidRPr="007C2D51">
              <w:rPr>
                <w:rFonts w:cs="Calibri"/>
                <w:color w:val="000000"/>
              </w:rPr>
              <w:t>7%</w:t>
            </w:r>
          </w:p>
        </w:tc>
        <w:tc>
          <w:tcPr>
            <w:tcW w:w="0" w:type="auto"/>
            <w:tcBorders>
              <w:top w:val="none" w:sz="0" w:space="0" w:color="auto"/>
              <w:bottom w:val="none" w:sz="0" w:space="0" w:color="auto"/>
              <w:right w:val="none" w:sz="0" w:space="0" w:color="auto"/>
            </w:tcBorders>
            <w:noWrap/>
            <w:vAlign w:val="bottom"/>
          </w:tcPr>
          <w:p w:rsidR="00446747" w:rsidRPr="007C2D51" w:rsidRDefault="00446747" w:rsidP="00B916C0">
            <w:pPr>
              <w:jc w:val="right"/>
              <w:cnfStyle w:val="000000100000"/>
            </w:pPr>
            <w:r w:rsidRPr="007C2D51">
              <w:t>100%</w:t>
            </w:r>
          </w:p>
        </w:tc>
      </w:tr>
      <w:tr w:rsidR="00446747" w:rsidRPr="007C2D51" w:rsidTr="00F15767">
        <w:trPr>
          <w:trHeight w:val="300"/>
        </w:trPr>
        <w:tc>
          <w:tcPr>
            <w:cnfStyle w:val="001000000000"/>
            <w:tcW w:w="0" w:type="auto"/>
            <w:shd w:val="clear" w:color="auto" w:fill="475A8D" w:themeFill="accent6"/>
            <w:noWrap/>
            <w:vAlign w:val="bottom"/>
          </w:tcPr>
          <w:p w:rsidR="00446747" w:rsidRPr="007C2D51" w:rsidRDefault="00446747" w:rsidP="00B916C0">
            <w:pPr>
              <w:rPr>
                <w:color w:val="FFFFFF" w:themeColor="background1"/>
              </w:rPr>
            </w:pPr>
            <w:r w:rsidRPr="007C2D51">
              <w:rPr>
                <w:color w:val="FFFFFF" w:themeColor="background1"/>
              </w:rPr>
              <w:t>Information-Based Services</w:t>
            </w:r>
          </w:p>
        </w:tc>
        <w:tc>
          <w:tcPr>
            <w:tcW w:w="0" w:type="auto"/>
            <w:shd w:val="clear" w:color="auto" w:fill="475A8D" w:themeFill="accent6"/>
            <w:vAlign w:val="bottom"/>
          </w:tcPr>
          <w:p w:rsidR="00446747" w:rsidRPr="007C2D51" w:rsidRDefault="00446747" w:rsidP="00B916C0">
            <w:pPr>
              <w:jc w:val="right"/>
              <w:cnfStyle w:val="000000000000"/>
              <w:rPr>
                <w:rFonts w:cs="Calibri"/>
                <w:b/>
                <w:bCs/>
                <w:color w:val="FFFFFF" w:themeColor="background1"/>
              </w:rPr>
            </w:pPr>
            <w:r w:rsidRPr="007C2D51">
              <w:rPr>
                <w:rFonts w:cs="Calibri"/>
                <w:b/>
                <w:bCs/>
                <w:color w:val="FFFFFF" w:themeColor="background1"/>
              </w:rPr>
              <w:t>120</w:t>
            </w:r>
          </w:p>
        </w:tc>
        <w:tc>
          <w:tcPr>
            <w:tcW w:w="0" w:type="auto"/>
            <w:shd w:val="clear" w:color="auto" w:fill="475A8D" w:themeFill="accent6"/>
            <w:vAlign w:val="bottom"/>
          </w:tcPr>
          <w:p w:rsidR="00446747" w:rsidRPr="007C2D51" w:rsidRDefault="00446747" w:rsidP="00B916C0">
            <w:pPr>
              <w:jc w:val="right"/>
              <w:cnfStyle w:val="000000000000"/>
              <w:rPr>
                <w:rFonts w:cs="Calibri"/>
                <w:b/>
                <w:color w:val="FFFFFF" w:themeColor="background1"/>
              </w:rPr>
            </w:pPr>
            <w:r w:rsidRPr="007C2D51">
              <w:rPr>
                <w:rFonts w:cs="Calibri"/>
                <w:b/>
                <w:color w:val="FFFFFF" w:themeColor="background1"/>
              </w:rPr>
              <w:t xml:space="preserve">375,254 </w:t>
            </w:r>
          </w:p>
        </w:tc>
        <w:tc>
          <w:tcPr>
            <w:tcW w:w="1152" w:type="dxa"/>
            <w:shd w:val="clear" w:color="auto" w:fill="475A8D" w:themeFill="accent6"/>
            <w:noWrap/>
            <w:vAlign w:val="bottom"/>
          </w:tcPr>
          <w:p w:rsidR="00446747" w:rsidRPr="007C2D51" w:rsidRDefault="00B916C0" w:rsidP="00B916C0">
            <w:pPr>
              <w:jc w:val="right"/>
              <w:cnfStyle w:val="000000000000"/>
              <w:rPr>
                <w:b/>
                <w:color w:val="FFFFFF" w:themeColor="background1"/>
              </w:rPr>
            </w:pPr>
            <w:r w:rsidRPr="007C2D51">
              <w:rPr>
                <w:b/>
                <w:color w:val="FFFFFF" w:themeColor="background1"/>
              </w:rPr>
              <w:t>61%</w:t>
            </w:r>
            <w:r w:rsidR="00446747" w:rsidRPr="007C2D51">
              <w:rPr>
                <w:b/>
                <w:color w:val="FFFFFF" w:themeColor="background1"/>
              </w:rPr>
              <w:t>%</w:t>
            </w:r>
          </w:p>
        </w:tc>
        <w:tc>
          <w:tcPr>
            <w:tcW w:w="1152" w:type="dxa"/>
            <w:shd w:val="clear" w:color="auto" w:fill="475A8D" w:themeFill="accent6"/>
            <w:noWrap/>
            <w:vAlign w:val="bottom"/>
          </w:tcPr>
          <w:p w:rsidR="00446747" w:rsidRPr="007C2D51" w:rsidRDefault="00B916C0" w:rsidP="00B916C0">
            <w:pPr>
              <w:jc w:val="right"/>
              <w:cnfStyle w:val="000000000000"/>
              <w:rPr>
                <w:b/>
                <w:color w:val="FFFFFF" w:themeColor="background1"/>
              </w:rPr>
            </w:pPr>
            <w:r w:rsidRPr="007C2D51">
              <w:rPr>
                <w:b/>
                <w:color w:val="FFFFFF" w:themeColor="background1"/>
              </w:rPr>
              <w:t>0</w:t>
            </w:r>
            <w:r w:rsidR="00446747" w:rsidRPr="007C2D51">
              <w:rPr>
                <w:b/>
                <w:color w:val="FFFFFF" w:themeColor="background1"/>
              </w:rPr>
              <w:t>%</w:t>
            </w:r>
          </w:p>
        </w:tc>
        <w:tc>
          <w:tcPr>
            <w:tcW w:w="1152" w:type="dxa"/>
            <w:shd w:val="clear" w:color="auto" w:fill="475A8D" w:themeFill="accent6"/>
            <w:noWrap/>
            <w:vAlign w:val="bottom"/>
          </w:tcPr>
          <w:p w:rsidR="00446747" w:rsidRPr="007C2D51" w:rsidRDefault="00446747" w:rsidP="00B916C0">
            <w:pPr>
              <w:jc w:val="right"/>
              <w:cnfStyle w:val="000000000000"/>
              <w:rPr>
                <w:b/>
                <w:color w:val="FFFFFF" w:themeColor="background1"/>
              </w:rPr>
            </w:pPr>
            <w:r w:rsidRPr="007C2D51">
              <w:rPr>
                <w:b/>
                <w:color w:val="FFFFFF" w:themeColor="background1"/>
              </w:rPr>
              <w:t>3</w:t>
            </w:r>
            <w:r w:rsidR="00B916C0" w:rsidRPr="007C2D51">
              <w:rPr>
                <w:b/>
                <w:color w:val="FFFFFF" w:themeColor="background1"/>
              </w:rPr>
              <w:t>9</w:t>
            </w:r>
            <w:r w:rsidRPr="007C2D51">
              <w:rPr>
                <w:b/>
                <w:color w:val="FFFFFF" w:themeColor="background1"/>
              </w:rPr>
              <w:t>%</w:t>
            </w:r>
          </w:p>
        </w:tc>
        <w:tc>
          <w:tcPr>
            <w:tcW w:w="0" w:type="auto"/>
            <w:shd w:val="clear" w:color="auto" w:fill="475A8D" w:themeFill="accent6"/>
            <w:noWrap/>
            <w:vAlign w:val="bottom"/>
          </w:tcPr>
          <w:p w:rsidR="00446747" w:rsidRPr="007C2D51" w:rsidRDefault="00446747" w:rsidP="00B916C0">
            <w:pPr>
              <w:jc w:val="right"/>
              <w:cnfStyle w:val="000000000000"/>
              <w:rPr>
                <w:b/>
                <w:color w:val="FFFFFF" w:themeColor="background1"/>
              </w:rPr>
            </w:pPr>
            <w:r w:rsidRPr="007C2D51">
              <w:rPr>
                <w:b/>
                <w:color w:val="FFFFFF" w:themeColor="background1"/>
              </w:rPr>
              <w:t>100%</w:t>
            </w:r>
          </w:p>
        </w:tc>
      </w:tr>
      <w:tr w:rsidR="00446747" w:rsidRPr="007C2D51" w:rsidTr="00F15767">
        <w:trPr>
          <w:cnfStyle w:val="000000100000"/>
          <w:trHeight w:val="300"/>
        </w:trPr>
        <w:tc>
          <w:tcPr>
            <w:cnfStyle w:val="001000000000"/>
            <w:tcW w:w="0" w:type="auto"/>
            <w:tcBorders>
              <w:top w:val="none" w:sz="0" w:space="0" w:color="auto"/>
              <w:left w:val="none" w:sz="0" w:space="0" w:color="auto"/>
              <w:bottom w:val="none" w:sz="0" w:space="0" w:color="auto"/>
            </w:tcBorders>
            <w:shd w:val="clear" w:color="auto" w:fill="auto"/>
            <w:noWrap/>
            <w:vAlign w:val="bottom"/>
          </w:tcPr>
          <w:p w:rsidR="00446747" w:rsidRPr="007C2D51" w:rsidRDefault="00446747" w:rsidP="00B916C0">
            <w:r w:rsidRPr="007C2D51">
              <w:t>Mobility manager</w:t>
            </w:r>
          </w:p>
        </w:tc>
        <w:tc>
          <w:tcPr>
            <w:tcW w:w="0" w:type="auto"/>
            <w:tcBorders>
              <w:top w:val="none" w:sz="0" w:space="0" w:color="auto"/>
              <w:bottom w:val="none" w:sz="0" w:space="0" w:color="auto"/>
            </w:tcBorders>
            <w:shd w:val="clear" w:color="auto" w:fill="auto"/>
            <w:vAlign w:val="bottom"/>
          </w:tcPr>
          <w:p w:rsidR="00446747" w:rsidRPr="007C2D51" w:rsidRDefault="00446747" w:rsidP="00B916C0">
            <w:pPr>
              <w:jc w:val="right"/>
              <w:cnfStyle w:val="000000100000"/>
              <w:rPr>
                <w:rFonts w:cs="Calibri"/>
                <w:color w:val="000000"/>
              </w:rPr>
            </w:pPr>
            <w:r w:rsidRPr="007C2D51">
              <w:rPr>
                <w:rFonts w:cs="Calibri"/>
                <w:color w:val="000000"/>
              </w:rPr>
              <w:t>65</w:t>
            </w:r>
          </w:p>
        </w:tc>
        <w:tc>
          <w:tcPr>
            <w:tcW w:w="0" w:type="auto"/>
            <w:tcBorders>
              <w:top w:val="none" w:sz="0" w:space="0" w:color="auto"/>
              <w:bottom w:val="none" w:sz="0" w:space="0" w:color="auto"/>
            </w:tcBorders>
            <w:shd w:val="clear" w:color="auto" w:fill="auto"/>
            <w:vAlign w:val="bottom"/>
          </w:tcPr>
          <w:p w:rsidR="00446747" w:rsidRPr="007C2D51" w:rsidRDefault="00446747" w:rsidP="00B916C0">
            <w:pPr>
              <w:jc w:val="right"/>
              <w:cnfStyle w:val="000000100000"/>
              <w:rPr>
                <w:rFonts w:cs="Calibri"/>
                <w:color w:val="000000"/>
              </w:rPr>
            </w:pPr>
            <w:r w:rsidRPr="007C2D51">
              <w:rPr>
                <w:rFonts w:cs="Calibri"/>
                <w:color w:val="000000"/>
              </w:rPr>
              <w:t xml:space="preserve">375,254 </w:t>
            </w:r>
          </w:p>
        </w:tc>
        <w:tc>
          <w:tcPr>
            <w:tcW w:w="1152" w:type="dxa"/>
            <w:tcBorders>
              <w:top w:val="none" w:sz="0" w:space="0" w:color="auto"/>
              <w:bottom w:val="none" w:sz="0" w:space="0" w:color="auto"/>
            </w:tcBorders>
            <w:shd w:val="clear" w:color="auto" w:fill="auto"/>
            <w:noWrap/>
            <w:vAlign w:val="bottom"/>
          </w:tcPr>
          <w:p w:rsidR="00446747" w:rsidRPr="007C2D51" w:rsidRDefault="00B916C0" w:rsidP="00B916C0">
            <w:pPr>
              <w:jc w:val="right"/>
              <w:cnfStyle w:val="000000100000"/>
            </w:pPr>
            <w:r w:rsidRPr="007C2D51">
              <w:t>61%</w:t>
            </w:r>
          </w:p>
        </w:tc>
        <w:tc>
          <w:tcPr>
            <w:tcW w:w="1152" w:type="dxa"/>
            <w:tcBorders>
              <w:top w:val="none" w:sz="0" w:space="0" w:color="auto"/>
              <w:bottom w:val="none" w:sz="0" w:space="0" w:color="auto"/>
            </w:tcBorders>
            <w:shd w:val="clear" w:color="auto" w:fill="auto"/>
            <w:noWrap/>
            <w:vAlign w:val="bottom"/>
          </w:tcPr>
          <w:p w:rsidR="00446747" w:rsidRPr="007C2D51" w:rsidRDefault="00B916C0" w:rsidP="00B916C0">
            <w:pPr>
              <w:jc w:val="right"/>
              <w:cnfStyle w:val="000000100000"/>
            </w:pPr>
            <w:r w:rsidRPr="007C2D51">
              <w:t>0%</w:t>
            </w:r>
          </w:p>
        </w:tc>
        <w:tc>
          <w:tcPr>
            <w:tcW w:w="1152" w:type="dxa"/>
            <w:tcBorders>
              <w:top w:val="none" w:sz="0" w:space="0" w:color="auto"/>
              <w:bottom w:val="none" w:sz="0" w:space="0" w:color="auto"/>
            </w:tcBorders>
            <w:shd w:val="clear" w:color="auto" w:fill="auto"/>
            <w:noWrap/>
            <w:vAlign w:val="bottom"/>
          </w:tcPr>
          <w:p w:rsidR="00446747" w:rsidRPr="007C2D51" w:rsidRDefault="00B916C0" w:rsidP="00B916C0">
            <w:pPr>
              <w:jc w:val="right"/>
              <w:cnfStyle w:val="000000100000"/>
            </w:pPr>
            <w:r w:rsidRPr="007C2D51">
              <w:t>39%</w:t>
            </w:r>
          </w:p>
        </w:tc>
        <w:tc>
          <w:tcPr>
            <w:tcW w:w="0" w:type="auto"/>
            <w:tcBorders>
              <w:top w:val="none" w:sz="0" w:space="0" w:color="auto"/>
              <w:bottom w:val="none" w:sz="0" w:space="0" w:color="auto"/>
              <w:right w:val="none" w:sz="0" w:space="0" w:color="auto"/>
            </w:tcBorders>
            <w:shd w:val="clear" w:color="auto" w:fill="auto"/>
            <w:noWrap/>
            <w:vAlign w:val="bottom"/>
          </w:tcPr>
          <w:p w:rsidR="00446747" w:rsidRPr="007C2D51" w:rsidRDefault="00B916C0" w:rsidP="00B916C0">
            <w:pPr>
              <w:jc w:val="right"/>
              <w:cnfStyle w:val="000000100000"/>
            </w:pPr>
            <w:r w:rsidRPr="007C2D51">
              <w:t>100%</w:t>
            </w:r>
          </w:p>
        </w:tc>
      </w:tr>
      <w:tr w:rsidR="00B916C0" w:rsidRPr="007C2D51" w:rsidTr="00F15767">
        <w:trPr>
          <w:trHeight w:val="300"/>
        </w:trPr>
        <w:tc>
          <w:tcPr>
            <w:cnfStyle w:val="001000000000"/>
            <w:tcW w:w="0" w:type="auto"/>
            <w:shd w:val="clear" w:color="auto" w:fill="auto"/>
            <w:noWrap/>
            <w:vAlign w:val="bottom"/>
          </w:tcPr>
          <w:p w:rsidR="00B916C0" w:rsidRPr="007C2D51" w:rsidRDefault="00B916C0" w:rsidP="00B916C0">
            <w:r w:rsidRPr="007C2D51">
              <w:t>Other information-based</w:t>
            </w:r>
          </w:p>
        </w:tc>
        <w:tc>
          <w:tcPr>
            <w:tcW w:w="0" w:type="auto"/>
            <w:shd w:val="clear" w:color="auto" w:fill="auto"/>
            <w:vAlign w:val="bottom"/>
          </w:tcPr>
          <w:p w:rsidR="00B916C0" w:rsidRPr="007C2D51" w:rsidRDefault="00B916C0" w:rsidP="00B916C0">
            <w:pPr>
              <w:jc w:val="right"/>
              <w:cnfStyle w:val="000000000000"/>
              <w:rPr>
                <w:rFonts w:cs="Calibri"/>
                <w:color w:val="000000"/>
              </w:rPr>
            </w:pPr>
            <w:r w:rsidRPr="007C2D51">
              <w:rPr>
                <w:rFonts w:cs="Calibri"/>
                <w:color w:val="000000"/>
              </w:rPr>
              <w:t>55</w:t>
            </w:r>
          </w:p>
        </w:tc>
        <w:tc>
          <w:tcPr>
            <w:tcW w:w="0" w:type="auto"/>
            <w:shd w:val="clear" w:color="auto" w:fill="auto"/>
            <w:vAlign w:val="bottom"/>
          </w:tcPr>
          <w:p w:rsidR="00B916C0" w:rsidRPr="007C2D51" w:rsidRDefault="00B916C0" w:rsidP="00B916C0">
            <w:pPr>
              <w:jc w:val="right"/>
              <w:cnfStyle w:val="000000000000"/>
              <w:rPr>
                <w:rFonts w:cs="Calibri"/>
                <w:color w:val="000000"/>
              </w:rPr>
            </w:pPr>
            <w:r w:rsidRPr="007C2D51">
              <w:rPr>
                <w:rFonts w:cs="Calibri"/>
                <w:color w:val="000000"/>
              </w:rPr>
              <w:t>0</w:t>
            </w:r>
          </w:p>
        </w:tc>
        <w:tc>
          <w:tcPr>
            <w:tcW w:w="1152" w:type="dxa"/>
            <w:shd w:val="clear" w:color="auto" w:fill="auto"/>
            <w:noWrap/>
            <w:vAlign w:val="bottom"/>
          </w:tcPr>
          <w:p w:rsidR="00B916C0" w:rsidRPr="007C2D51" w:rsidRDefault="00B916C0" w:rsidP="00B916C0">
            <w:pPr>
              <w:jc w:val="right"/>
              <w:cnfStyle w:val="000000000000"/>
            </w:pPr>
            <w:r w:rsidRPr="007C2D51">
              <w:t>0%</w:t>
            </w:r>
          </w:p>
        </w:tc>
        <w:tc>
          <w:tcPr>
            <w:tcW w:w="1152" w:type="dxa"/>
            <w:shd w:val="clear" w:color="auto" w:fill="auto"/>
            <w:noWrap/>
            <w:vAlign w:val="bottom"/>
          </w:tcPr>
          <w:p w:rsidR="00B916C0" w:rsidRPr="007C2D51" w:rsidRDefault="00B916C0" w:rsidP="00B916C0">
            <w:pPr>
              <w:jc w:val="right"/>
              <w:cnfStyle w:val="000000000000"/>
            </w:pPr>
            <w:r w:rsidRPr="007C2D51">
              <w:t>0%</w:t>
            </w:r>
          </w:p>
        </w:tc>
        <w:tc>
          <w:tcPr>
            <w:tcW w:w="1152" w:type="dxa"/>
            <w:shd w:val="clear" w:color="auto" w:fill="auto"/>
            <w:noWrap/>
            <w:vAlign w:val="bottom"/>
          </w:tcPr>
          <w:p w:rsidR="00B916C0" w:rsidRPr="007C2D51" w:rsidRDefault="00B916C0" w:rsidP="00B916C0">
            <w:pPr>
              <w:jc w:val="right"/>
              <w:cnfStyle w:val="000000000000"/>
            </w:pPr>
            <w:r w:rsidRPr="007C2D51">
              <w:t>0%</w:t>
            </w:r>
          </w:p>
        </w:tc>
        <w:tc>
          <w:tcPr>
            <w:tcW w:w="0" w:type="auto"/>
            <w:shd w:val="clear" w:color="auto" w:fill="auto"/>
            <w:noWrap/>
            <w:vAlign w:val="bottom"/>
          </w:tcPr>
          <w:p w:rsidR="00B916C0" w:rsidRPr="007C2D51" w:rsidRDefault="00B916C0" w:rsidP="00B916C0">
            <w:pPr>
              <w:jc w:val="right"/>
              <w:cnfStyle w:val="000000000000"/>
            </w:pPr>
            <w:r w:rsidRPr="007C2D51">
              <w:t>0%</w:t>
            </w:r>
          </w:p>
        </w:tc>
      </w:tr>
      <w:tr w:rsidR="00B916C0" w:rsidRPr="007C2D51" w:rsidTr="00F15767">
        <w:trPr>
          <w:cnfStyle w:val="000000100000"/>
          <w:trHeight w:val="300"/>
        </w:trPr>
        <w:tc>
          <w:tcPr>
            <w:cnfStyle w:val="001000000000"/>
            <w:tcW w:w="0" w:type="auto"/>
            <w:tcBorders>
              <w:top w:val="none" w:sz="0" w:space="0" w:color="auto"/>
              <w:left w:val="none" w:sz="0" w:space="0" w:color="auto"/>
              <w:bottom w:val="none" w:sz="0" w:space="0" w:color="auto"/>
            </w:tcBorders>
            <w:shd w:val="clear" w:color="auto" w:fill="475A8D" w:themeFill="accent6"/>
            <w:noWrap/>
            <w:vAlign w:val="bottom"/>
          </w:tcPr>
          <w:p w:rsidR="00B916C0" w:rsidRPr="007C2D51" w:rsidRDefault="00B916C0" w:rsidP="00B916C0">
            <w:pPr>
              <w:rPr>
                <w:color w:val="FFFFFF" w:themeColor="background1"/>
              </w:rPr>
            </w:pPr>
            <w:r w:rsidRPr="007C2D51">
              <w:rPr>
                <w:color w:val="FFFFFF" w:themeColor="background1"/>
              </w:rPr>
              <w:t>Capital Investment Projects</w:t>
            </w:r>
          </w:p>
        </w:tc>
        <w:tc>
          <w:tcPr>
            <w:tcW w:w="0" w:type="auto"/>
            <w:tcBorders>
              <w:top w:val="none" w:sz="0" w:space="0" w:color="auto"/>
              <w:bottom w:val="none" w:sz="0" w:space="0" w:color="auto"/>
            </w:tcBorders>
            <w:shd w:val="clear" w:color="auto" w:fill="475A8D" w:themeFill="accent6"/>
            <w:vAlign w:val="bottom"/>
          </w:tcPr>
          <w:p w:rsidR="00B916C0" w:rsidRPr="007C2D51" w:rsidRDefault="00B916C0" w:rsidP="00B916C0">
            <w:pPr>
              <w:jc w:val="right"/>
              <w:cnfStyle w:val="000000100000"/>
              <w:rPr>
                <w:rFonts w:cs="Calibri"/>
                <w:b/>
                <w:bCs/>
                <w:color w:val="FFFFFF" w:themeColor="background1"/>
              </w:rPr>
            </w:pPr>
            <w:r w:rsidRPr="007C2D51">
              <w:rPr>
                <w:rFonts w:cs="Calibri"/>
                <w:b/>
                <w:bCs/>
                <w:color w:val="FFFFFF" w:themeColor="background1"/>
              </w:rPr>
              <w:t>83</w:t>
            </w:r>
          </w:p>
        </w:tc>
        <w:tc>
          <w:tcPr>
            <w:tcW w:w="0" w:type="auto"/>
            <w:tcBorders>
              <w:top w:val="none" w:sz="0" w:space="0" w:color="auto"/>
              <w:bottom w:val="none" w:sz="0" w:space="0" w:color="auto"/>
            </w:tcBorders>
            <w:shd w:val="clear" w:color="auto" w:fill="475A8D" w:themeFill="accent6"/>
            <w:vAlign w:val="bottom"/>
          </w:tcPr>
          <w:p w:rsidR="00B916C0" w:rsidRPr="007C2D51" w:rsidRDefault="00B916C0" w:rsidP="00B916C0">
            <w:pPr>
              <w:jc w:val="right"/>
              <w:cnfStyle w:val="000000100000"/>
              <w:rPr>
                <w:rFonts w:cs="Calibri"/>
                <w:b/>
                <w:bCs/>
                <w:color w:val="FFFFFF" w:themeColor="background1"/>
              </w:rPr>
            </w:pPr>
            <w:r w:rsidRPr="007C2D51">
              <w:rPr>
                <w:rFonts w:cs="Calibri"/>
                <w:b/>
                <w:bCs/>
                <w:color w:val="FFFFFF" w:themeColor="background1"/>
              </w:rPr>
              <w:t xml:space="preserve">377,959 </w:t>
            </w:r>
          </w:p>
        </w:tc>
        <w:tc>
          <w:tcPr>
            <w:tcW w:w="1152" w:type="dxa"/>
            <w:tcBorders>
              <w:top w:val="none" w:sz="0" w:space="0" w:color="auto"/>
              <w:bottom w:val="none" w:sz="0" w:space="0" w:color="auto"/>
            </w:tcBorders>
            <w:shd w:val="clear" w:color="auto" w:fill="475A8D" w:themeFill="accent6"/>
            <w:noWrap/>
            <w:vAlign w:val="bottom"/>
          </w:tcPr>
          <w:p w:rsidR="00B916C0" w:rsidRPr="007C2D51" w:rsidRDefault="00B916C0" w:rsidP="00B916C0">
            <w:pPr>
              <w:jc w:val="right"/>
              <w:cnfStyle w:val="000000100000"/>
              <w:rPr>
                <w:rFonts w:cs="Calibri"/>
                <w:b/>
                <w:bCs/>
                <w:color w:val="FFFFFF" w:themeColor="background1"/>
              </w:rPr>
            </w:pPr>
            <w:r w:rsidRPr="007C2D51">
              <w:rPr>
                <w:rFonts w:cs="Calibri"/>
                <w:b/>
                <w:bCs/>
                <w:color w:val="FFFFFF" w:themeColor="background1"/>
              </w:rPr>
              <w:t>71%</w:t>
            </w:r>
          </w:p>
        </w:tc>
        <w:tc>
          <w:tcPr>
            <w:tcW w:w="1152" w:type="dxa"/>
            <w:tcBorders>
              <w:top w:val="none" w:sz="0" w:space="0" w:color="auto"/>
              <w:bottom w:val="none" w:sz="0" w:space="0" w:color="auto"/>
            </w:tcBorders>
            <w:shd w:val="clear" w:color="auto" w:fill="475A8D" w:themeFill="accent6"/>
            <w:noWrap/>
            <w:vAlign w:val="bottom"/>
          </w:tcPr>
          <w:p w:rsidR="00B916C0" w:rsidRPr="007C2D51" w:rsidRDefault="00B916C0" w:rsidP="00B916C0">
            <w:pPr>
              <w:jc w:val="right"/>
              <w:cnfStyle w:val="000000100000"/>
              <w:rPr>
                <w:rFonts w:cs="Calibri"/>
                <w:b/>
                <w:bCs/>
                <w:color w:val="FFFFFF" w:themeColor="background1"/>
              </w:rPr>
            </w:pPr>
            <w:r w:rsidRPr="007C2D51">
              <w:rPr>
                <w:rFonts w:cs="Calibri"/>
                <w:b/>
                <w:bCs/>
                <w:color w:val="FFFFFF" w:themeColor="background1"/>
              </w:rPr>
              <w:t>12%</w:t>
            </w:r>
          </w:p>
        </w:tc>
        <w:tc>
          <w:tcPr>
            <w:tcW w:w="1152" w:type="dxa"/>
            <w:tcBorders>
              <w:top w:val="none" w:sz="0" w:space="0" w:color="auto"/>
              <w:bottom w:val="none" w:sz="0" w:space="0" w:color="auto"/>
            </w:tcBorders>
            <w:shd w:val="clear" w:color="auto" w:fill="475A8D" w:themeFill="accent6"/>
            <w:noWrap/>
            <w:vAlign w:val="bottom"/>
          </w:tcPr>
          <w:p w:rsidR="00B916C0" w:rsidRPr="007C2D51" w:rsidRDefault="00B916C0" w:rsidP="00B916C0">
            <w:pPr>
              <w:jc w:val="right"/>
              <w:cnfStyle w:val="000000100000"/>
              <w:rPr>
                <w:rFonts w:cs="Calibri"/>
                <w:b/>
                <w:bCs/>
                <w:color w:val="FFFFFF" w:themeColor="background1"/>
              </w:rPr>
            </w:pPr>
            <w:r w:rsidRPr="007C2D51">
              <w:rPr>
                <w:rFonts w:cs="Calibri"/>
                <w:b/>
                <w:bCs/>
                <w:color w:val="FFFFFF" w:themeColor="background1"/>
              </w:rPr>
              <w:t>17%</w:t>
            </w:r>
          </w:p>
        </w:tc>
        <w:tc>
          <w:tcPr>
            <w:tcW w:w="0" w:type="auto"/>
            <w:tcBorders>
              <w:top w:val="none" w:sz="0" w:space="0" w:color="auto"/>
              <w:bottom w:val="none" w:sz="0" w:space="0" w:color="auto"/>
              <w:right w:val="none" w:sz="0" w:space="0" w:color="auto"/>
            </w:tcBorders>
            <w:shd w:val="clear" w:color="auto" w:fill="475A8D" w:themeFill="accent6"/>
            <w:noWrap/>
            <w:vAlign w:val="bottom"/>
          </w:tcPr>
          <w:p w:rsidR="00B916C0" w:rsidRPr="007C2D51" w:rsidRDefault="00B916C0" w:rsidP="00B916C0">
            <w:pPr>
              <w:jc w:val="right"/>
              <w:cnfStyle w:val="000000100000"/>
              <w:rPr>
                <w:b/>
                <w:color w:val="FFFFFF" w:themeColor="background1"/>
              </w:rPr>
            </w:pPr>
            <w:r w:rsidRPr="007C2D51">
              <w:rPr>
                <w:b/>
                <w:color w:val="FFFFFF" w:themeColor="background1"/>
              </w:rPr>
              <w:t>100%</w:t>
            </w:r>
          </w:p>
        </w:tc>
      </w:tr>
      <w:tr w:rsidR="00B916C0" w:rsidRPr="007C2D51" w:rsidTr="00F15767">
        <w:trPr>
          <w:trHeight w:val="300"/>
        </w:trPr>
        <w:tc>
          <w:tcPr>
            <w:cnfStyle w:val="001000000000"/>
            <w:tcW w:w="0" w:type="auto"/>
            <w:shd w:val="clear" w:color="auto" w:fill="auto"/>
            <w:noWrap/>
            <w:vAlign w:val="bottom"/>
          </w:tcPr>
          <w:p w:rsidR="00B916C0" w:rsidRPr="007C2D51" w:rsidRDefault="00B916C0" w:rsidP="00B916C0">
            <w:r w:rsidRPr="007C2D51">
              <w:t>Vehicle for individual</w:t>
            </w:r>
          </w:p>
        </w:tc>
        <w:tc>
          <w:tcPr>
            <w:tcW w:w="0" w:type="auto"/>
            <w:shd w:val="clear" w:color="auto" w:fill="auto"/>
            <w:vAlign w:val="bottom"/>
          </w:tcPr>
          <w:p w:rsidR="00B916C0" w:rsidRPr="007C2D51" w:rsidRDefault="00B916C0" w:rsidP="00B916C0">
            <w:pPr>
              <w:jc w:val="right"/>
              <w:cnfStyle w:val="000000000000"/>
              <w:rPr>
                <w:rFonts w:cs="Calibri"/>
                <w:color w:val="000000"/>
              </w:rPr>
            </w:pPr>
            <w:r w:rsidRPr="007C2D51">
              <w:rPr>
                <w:rFonts w:cs="Calibri"/>
                <w:color w:val="000000"/>
              </w:rPr>
              <w:t>31</w:t>
            </w:r>
          </w:p>
        </w:tc>
        <w:tc>
          <w:tcPr>
            <w:tcW w:w="0" w:type="auto"/>
            <w:shd w:val="clear" w:color="auto" w:fill="auto"/>
            <w:vAlign w:val="bottom"/>
          </w:tcPr>
          <w:p w:rsidR="00B916C0" w:rsidRPr="007C2D51" w:rsidRDefault="00B916C0" w:rsidP="00B916C0">
            <w:pPr>
              <w:jc w:val="right"/>
              <w:cnfStyle w:val="000000000000"/>
              <w:rPr>
                <w:rFonts w:cs="Calibri"/>
                <w:color w:val="000000"/>
              </w:rPr>
            </w:pPr>
            <w:r w:rsidRPr="007C2D51">
              <w:rPr>
                <w:rFonts w:cs="Calibri"/>
                <w:color w:val="000000"/>
              </w:rPr>
              <w:t xml:space="preserve">265,831 </w:t>
            </w:r>
          </w:p>
        </w:tc>
        <w:tc>
          <w:tcPr>
            <w:tcW w:w="1152" w:type="dxa"/>
            <w:shd w:val="clear" w:color="auto" w:fill="auto"/>
            <w:noWrap/>
            <w:vAlign w:val="bottom"/>
          </w:tcPr>
          <w:p w:rsidR="00B916C0" w:rsidRPr="007C2D51" w:rsidRDefault="00B916C0" w:rsidP="00B916C0">
            <w:pPr>
              <w:jc w:val="right"/>
              <w:cnfStyle w:val="000000000000"/>
              <w:rPr>
                <w:rFonts w:cs="Calibri"/>
                <w:color w:val="000000"/>
              </w:rPr>
            </w:pPr>
            <w:r w:rsidRPr="007C2D51">
              <w:rPr>
                <w:rFonts w:cs="Calibri"/>
                <w:color w:val="000000"/>
              </w:rPr>
              <w:t>91%</w:t>
            </w:r>
          </w:p>
        </w:tc>
        <w:tc>
          <w:tcPr>
            <w:tcW w:w="1152" w:type="dxa"/>
            <w:shd w:val="clear" w:color="auto" w:fill="auto"/>
            <w:noWrap/>
            <w:vAlign w:val="bottom"/>
          </w:tcPr>
          <w:p w:rsidR="00B916C0" w:rsidRPr="007C2D51" w:rsidRDefault="00B916C0" w:rsidP="00B916C0">
            <w:pPr>
              <w:jc w:val="right"/>
              <w:cnfStyle w:val="000000000000"/>
              <w:rPr>
                <w:rFonts w:cs="Calibri"/>
                <w:color w:val="000000"/>
              </w:rPr>
            </w:pPr>
            <w:r w:rsidRPr="007C2D51">
              <w:rPr>
                <w:rFonts w:cs="Calibri"/>
                <w:color w:val="000000"/>
              </w:rPr>
              <w:t>5%</w:t>
            </w:r>
          </w:p>
        </w:tc>
        <w:tc>
          <w:tcPr>
            <w:tcW w:w="1152" w:type="dxa"/>
            <w:shd w:val="clear" w:color="auto" w:fill="auto"/>
            <w:noWrap/>
            <w:vAlign w:val="bottom"/>
          </w:tcPr>
          <w:p w:rsidR="00B916C0" w:rsidRPr="007C2D51" w:rsidRDefault="00B916C0" w:rsidP="00B916C0">
            <w:pPr>
              <w:jc w:val="right"/>
              <w:cnfStyle w:val="000000000000"/>
              <w:rPr>
                <w:rFonts w:cs="Calibri"/>
                <w:color w:val="000000"/>
              </w:rPr>
            </w:pPr>
            <w:r w:rsidRPr="007C2D51">
              <w:rPr>
                <w:rFonts w:cs="Calibri"/>
                <w:color w:val="000000"/>
              </w:rPr>
              <w:t>4%</w:t>
            </w:r>
          </w:p>
        </w:tc>
        <w:tc>
          <w:tcPr>
            <w:tcW w:w="0" w:type="auto"/>
            <w:shd w:val="clear" w:color="auto" w:fill="auto"/>
            <w:noWrap/>
            <w:vAlign w:val="bottom"/>
          </w:tcPr>
          <w:p w:rsidR="00B916C0" w:rsidRPr="007C2D51" w:rsidRDefault="00B916C0" w:rsidP="00B916C0">
            <w:pPr>
              <w:jc w:val="right"/>
              <w:cnfStyle w:val="000000000000"/>
            </w:pPr>
            <w:r w:rsidRPr="007C2D51">
              <w:t>100%</w:t>
            </w:r>
          </w:p>
        </w:tc>
      </w:tr>
      <w:tr w:rsidR="00B916C0" w:rsidRPr="007C2D51" w:rsidTr="00F15767">
        <w:trPr>
          <w:cnfStyle w:val="000000100000"/>
          <w:trHeight w:val="300"/>
        </w:trPr>
        <w:tc>
          <w:tcPr>
            <w:cnfStyle w:val="001000000000"/>
            <w:tcW w:w="0" w:type="auto"/>
            <w:tcBorders>
              <w:top w:val="none" w:sz="0" w:space="0" w:color="auto"/>
              <w:left w:val="none" w:sz="0" w:space="0" w:color="auto"/>
              <w:bottom w:val="none" w:sz="0" w:space="0" w:color="auto"/>
            </w:tcBorders>
            <w:shd w:val="clear" w:color="auto" w:fill="auto"/>
            <w:noWrap/>
            <w:vAlign w:val="bottom"/>
          </w:tcPr>
          <w:p w:rsidR="00B916C0" w:rsidRPr="007C2D51" w:rsidRDefault="00B916C0" w:rsidP="00B916C0">
            <w:r w:rsidRPr="007C2D51">
              <w:t>Vehicle for agency</w:t>
            </w:r>
          </w:p>
        </w:tc>
        <w:tc>
          <w:tcPr>
            <w:tcW w:w="0" w:type="auto"/>
            <w:tcBorders>
              <w:top w:val="none" w:sz="0" w:space="0" w:color="auto"/>
              <w:bottom w:val="none" w:sz="0" w:space="0" w:color="auto"/>
            </w:tcBorders>
            <w:shd w:val="clear" w:color="auto" w:fill="auto"/>
            <w:vAlign w:val="bottom"/>
          </w:tcPr>
          <w:p w:rsidR="00B916C0" w:rsidRPr="007C2D51" w:rsidRDefault="00B916C0" w:rsidP="00B916C0">
            <w:pPr>
              <w:jc w:val="right"/>
              <w:cnfStyle w:val="000000100000"/>
              <w:rPr>
                <w:rFonts w:cs="Calibri"/>
                <w:color w:val="000000"/>
              </w:rPr>
            </w:pPr>
            <w:r w:rsidRPr="007C2D51">
              <w:rPr>
                <w:rFonts w:cs="Calibri"/>
                <w:color w:val="000000"/>
              </w:rPr>
              <w:t>32</w:t>
            </w:r>
          </w:p>
        </w:tc>
        <w:tc>
          <w:tcPr>
            <w:tcW w:w="0" w:type="auto"/>
            <w:tcBorders>
              <w:top w:val="none" w:sz="0" w:space="0" w:color="auto"/>
              <w:bottom w:val="none" w:sz="0" w:space="0" w:color="auto"/>
            </w:tcBorders>
            <w:shd w:val="clear" w:color="auto" w:fill="auto"/>
            <w:vAlign w:val="bottom"/>
          </w:tcPr>
          <w:p w:rsidR="00B916C0" w:rsidRPr="007C2D51" w:rsidRDefault="00B916C0" w:rsidP="00B916C0">
            <w:pPr>
              <w:jc w:val="right"/>
              <w:cnfStyle w:val="000000100000"/>
              <w:rPr>
                <w:rFonts w:cs="Calibri"/>
                <w:color w:val="000000"/>
              </w:rPr>
            </w:pPr>
            <w:r w:rsidRPr="007C2D51">
              <w:rPr>
                <w:rFonts w:cs="Calibri"/>
                <w:color w:val="000000"/>
              </w:rPr>
              <w:t xml:space="preserve">112,090 </w:t>
            </w:r>
          </w:p>
        </w:tc>
        <w:tc>
          <w:tcPr>
            <w:tcW w:w="1152" w:type="dxa"/>
            <w:tcBorders>
              <w:top w:val="none" w:sz="0" w:space="0" w:color="auto"/>
              <w:bottom w:val="none" w:sz="0" w:space="0" w:color="auto"/>
            </w:tcBorders>
            <w:shd w:val="clear" w:color="auto" w:fill="auto"/>
            <w:noWrap/>
            <w:vAlign w:val="bottom"/>
          </w:tcPr>
          <w:p w:rsidR="00B916C0" w:rsidRPr="007C2D51" w:rsidRDefault="00B916C0" w:rsidP="00B916C0">
            <w:pPr>
              <w:jc w:val="right"/>
              <w:cnfStyle w:val="000000100000"/>
              <w:rPr>
                <w:rFonts w:cs="Calibri"/>
                <w:color w:val="000000"/>
              </w:rPr>
            </w:pPr>
            <w:r w:rsidRPr="007C2D51">
              <w:rPr>
                <w:rFonts w:cs="Calibri"/>
                <w:color w:val="000000"/>
              </w:rPr>
              <w:t>24%</w:t>
            </w:r>
          </w:p>
        </w:tc>
        <w:tc>
          <w:tcPr>
            <w:tcW w:w="1152" w:type="dxa"/>
            <w:tcBorders>
              <w:top w:val="none" w:sz="0" w:space="0" w:color="auto"/>
              <w:bottom w:val="none" w:sz="0" w:space="0" w:color="auto"/>
            </w:tcBorders>
            <w:shd w:val="clear" w:color="auto" w:fill="auto"/>
            <w:noWrap/>
            <w:vAlign w:val="bottom"/>
          </w:tcPr>
          <w:p w:rsidR="00B916C0" w:rsidRPr="007C2D51" w:rsidRDefault="00B916C0" w:rsidP="00B916C0">
            <w:pPr>
              <w:jc w:val="right"/>
              <w:cnfStyle w:val="000000100000"/>
              <w:rPr>
                <w:rFonts w:cs="Calibri"/>
                <w:color w:val="000000"/>
              </w:rPr>
            </w:pPr>
            <w:r w:rsidRPr="007C2D51">
              <w:rPr>
                <w:rFonts w:cs="Calibri"/>
                <w:color w:val="000000"/>
              </w:rPr>
              <w:t>28%</w:t>
            </w:r>
          </w:p>
        </w:tc>
        <w:tc>
          <w:tcPr>
            <w:tcW w:w="1152" w:type="dxa"/>
            <w:tcBorders>
              <w:top w:val="none" w:sz="0" w:space="0" w:color="auto"/>
              <w:bottom w:val="none" w:sz="0" w:space="0" w:color="auto"/>
            </w:tcBorders>
            <w:shd w:val="clear" w:color="auto" w:fill="auto"/>
            <w:noWrap/>
            <w:vAlign w:val="bottom"/>
          </w:tcPr>
          <w:p w:rsidR="00B916C0" w:rsidRPr="007C2D51" w:rsidRDefault="00B916C0" w:rsidP="00B916C0">
            <w:pPr>
              <w:jc w:val="right"/>
              <w:cnfStyle w:val="000000100000"/>
              <w:rPr>
                <w:rFonts w:cs="Calibri"/>
                <w:color w:val="000000"/>
              </w:rPr>
            </w:pPr>
            <w:r w:rsidRPr="007C2D51">
              <w:rPr>
                <w:rFonts w:cs="Calibri"/>
                <w:color w:val="000000"/>
              </w:rPr>
              <w:t>48%</w:t>
            </w:r>
          </w:p>
        </w:tc>
        <w:tc>
          <w:tcPr>
            <w:tcW w:w="0" w:type="auto"/>
            <w:tcBorders>
              <w:top w:val="none" w:sz="0" w:space="0" w:color="auto"/>
              <w:bottom w:val="none" w:sz="0" w:space="0" w:color="auto"/>
              <w:right w:val="none" w:sz="0" w:space="0" w:color="auto"/>
            </w:tcBorders>
            <w:shd w:val="clear" w:color="auto" w:fill="auto"/>
            <w:noWrap/>
            <w:vAlign w:val="bottom"/>
          </w:tcPr>
          <w:p w:rsidR="00B916C0" w:rsidRPr="007C2D51" w:rsidRDefault="00B916C0" w:rsidP="00B916C0">
            <w:pPr>
              <w:jc w:val="right"/>
              <w:cnfStyle w:val="000000100000"/>
            </w:pPr>
            <w:r w:rsidRPr="007C2D51">
              <w:t>100%</w:t>
            </w:r>
          </w:p>
        </w:tc>
      </w:tr>
      <w:tr w:rsidR="00B916C0" w:rsidRPr="007C2D51" w:rsidTr="00F15767">
        <w:trPr>
          <w:trHeight w:val="300"/>
        </w:trPr>
        <w:tc>
          <w:tcPr>
            <w:cnfStyle w:val="001000000000"/>
            <w:tcW w:w="0" w:type="auto"/>
            <w:shd w:val="clear" w:color="auto" w:fill="auto"/>
            <w:noWrap/>
            <w:vAlign w:val="bottom"/>
          </w:tcPr>
          <w:p w:rsidR="00B916C0" w:rsidRPr="007C2D51" w:rsidRDefault="00B916C0" w:rsidP="00B916C0">
            <w:r w:rsidRPr="007C2D51">
              <w:t>Vanpool vehicles</w:t>
            </w:r>
          </w:p>
        </w:tc>
        <w:tc>
          <w:tcPr>
            <w:tcW w:w="0" w:type="auto"/>
            <w:shd w:val="clear" w:color="auto" w:fill="auto"/>
            <w:vAlign w:val="bottom"/>
          </w:tcPr>
          <w:p w:rsidR="00B916C0" w:rsidRPr="007C2D51" w:rsidRDefault="00B916C0" w:rsidP="00B916C0">
            <w:pPr>
              <w:jc w:val="right"/>
              <w:cnfStyle w:val="000000000000"/>
              <w:rPr>
                <w:rFonts w:cs="Calibri"/>
                <w:color w:val="000000"/>
              </w:rPr>
            </w:pPr>
            <w:r w:rsidRPr="007C2D51">
              <w:rPr>
                <w:rFonts w:cs="Calibri"/>
                <w:color w:val="000000"/>
              </w:rPr>
              <w:t>4</w:t>
            </w:r>
          </w:p>
        </w:tc>
        <w:tc>
          <w:tcPr>
            <w:tcW w:w="0" w:type="auto"/>
            <w:shd w:val="clear" w:color="auto" w:fill="auto"/>
            <w:vAlign w:val="bottom"/>
          </w:tcPr>
          <w:p w:rsidR="00B916C0" w:rsidRPr="007C2D51" w:rsidRDefault="00B916C0" w:rsidP="00B916C0">
            <w:pPr>
              <w:jc w:val="right"/>
              <w:cnfStyle w:val="000000000000"/>
              <w:rPr>
                <w:rFonts w:cs="Calibri"/>
                <w:color w:val="000000"/>
              </w:rPr>
            </w:pPr>
            <w:r w:rsidRPr="007C2D51">
              <w:rPr>
                <w:rFonts w:cs="Calibri"/>
                <w:color w:val="000000"/>
              </w:rPr>
              <w:t xml:space="preserve">38 </w:t>
            </w:r>
          </w:p>
        </w:tc>
        <w:tc>
          <w:tcPr>
            <w:tcW w:w="1152" w:type="dxa"/>
            <w:shd w:val="clear" w:color="auto" w:fill="auto"/>
            <w:noWrap/>
            <w:vAlign w:val="bottom"/>
          </w:tcPr>
          <w:p w:rsidR="00B916C0" w:rsidRPr="007C2D51" w:rsidRDefault="00B916C0" w:rsidP="00B916C0">
            <w:pPr>
              <w:jc w:val="right"/>
              <w:cnfStyle w:val="000000000000"/>
              <w:rPr>
                <w:rFonts w:cs="Calibri"/>
                <w:color w:val="000000"/>
              </w:rPr>
            </w:pPr>
            <w:r w:rsidRPr="007C2D51">
              <w:rPr>
                <w:rFonts w:cs="Calibri"/>
                <w:color w:val="000000"/>
              </w:rPr>
              <w:t>100%</w:t>
            </w:r>
          </w:p>
        </w:tc>
        <w:tc>
          <w:tcPr>
            <w:tcW w:w="1152" w:type="dxa"/>
            <w:shd w:val="clear" w:color="auto" w:fill="auto"/>
            <w:noWrap/>
            <w:vAlign w:val="bottom"/>
          </w:tcPr>
          <w:p w:rsidR="00B916C0" w:rsidRPr="007C2D51" w:rsidRDefault="00B916C0" w:rsidP="00B916C0">
            <w:pPr>
              <w:jc w:val="right"/>
              <w:cnfStyle w:val="000000000000"/>
              <w:rPr>
                <w:rFonts w:cs="Calibri"/>
                <w:color w:val="000000"/>
              </w:rPr>
            </w:pPr>
            <w:r w:rsidRPr="007C2D51">
              <w:rPr>
                <w:rFonts w:cs="Calibri"/>
                <w:color w:val="000000"/>
              </w:rPr>
              <w:t>0%</w:t>
            </w:r>
          </w:p>
        </w:tc>
        <w:tc>
          <w:tcPr>
            <w:tcW w:w="1152" w:type="dxa"/>
            <w:shd w:val="clear" w:color="auto" w:fill="auto"/>
            <w:noWrap/>
            <w:vAlign w:val="bottom"/>
          </w:tcPr>
          <w:p w:rsidR="00B916C0" w:rsidRPr="007C2D51" w:rsidRDefault="00B916C0" w:rsidP="00B916C0">
            <w:pPr>
              <w:jc w:val="right"/>
              <w:cnfStyle w:val="000000000000"/>
              <w:rPr>
                <w:rFonts w:cs="Calibri"/>
                <w:color w:val="000000"/>
              </w:rPr>
            </w:pPr>
            <w:r w:rsidRPr="007C2D51">
              <w:rPr>
                <w:rFonts w:cs="Calibri"/>
                <w:color w:val="000000"/>
              </w:rPr>
              <w:t>0%</w:t>
            </w:r>
          </w:p>
        </w:tc>
        <w:tc>
          <w:tcPr>
            <w:tcW w:w="0" w:type="auto"/>
            <w:shd w:val="clear" w:color="auto" w:fill="auto"/>
            <w:noWrap/>
            <w:vAlign w:val="bottom"/>
          </w:tcPr>
          <w:p w:rsidR="00B916C0" w:rsidRPr="007C2D51" w:rsidRDefault="00B916C0" w:rsidP="00B916C0">
            <w:pPr>
              <w:jc w:val="right"/>
              <w:cnfStyle w:val="000000000000"/>
            </w:pPr>
            <w:r w:rsidRPr="007C2D51">
              <w:t>100%</w:t>
            </w:r>
          </w:p>
        </w:tc>
      </w:tr>
      <w:tr w:rsidR="00B916C0" w:rsidRPr="007C2D51" w:rsidTr="00F15767">
        <w:trPr>
          <w:cnfStyle w:val="000000100000"/>
          <w:trHeight w:val="300"/>
        </w:trPr>
        <w:tc>
          <w:tcPr>
            <w:cnfStyle w:val="001000000000"/>
            <w:tcW w:w="0" w:type="auto"/>
            <w:tcBorders>
              <w:top w:val="none" w:sz="0" w:space="0" w:color="auto"/>
              <w:left w:val="none" w:sz="0" w:space="0" w:color="auto"/>
              <w:bottom w:val="none" w:sz="0" w:space="0" w:color="auto"/>
            </w:tcBorders>
            <w:shd w:val="clear" w:color="auto" w:fill="auto"/>
            <w:noWrap/>
            <w:vAlign w:val="bottom"/>
          </w:tcPr>
          <w:p w:rsidR="00B916C0" w:rsidRPr="007C2D51" w:rsidRDefault="00B916C0" w:rsidP="00B916C0">
            <w:r w:rsidRPr="007C2D51">
              <w:t>Other capital investments</w:t>
            </w:r>
          </w:p>
        </w:tc>
        <w:tc>
          <w:tcPr>
            <w:tcW w:w="0" w:type="auto"/>
            <w:tcBorders>
              <w:top w:val="none" w:sz="0" w:space="0" w:color="auto"/>
              <w:bottom w:val="none" w:sz="0" w:space="0" w:color="auto"/>
            </w:tcBorders>
            <w:shd w:val="clear" w:color="auto" w:fill="auto"/>
            <w:vAlign w:val="bottom"/>
          </w:tcPr>
          <w:p w:rsidR="00B916C0" w:rsidRPr="007C2D51" w:rsidRDefault="00B916C0" w:rsidP="00B916C0">
            <w:pPr>
              <w:jc w:val="right"/>
              <w:cnfStyle w:val="000000100000"/>
              <w:rPr>
                <w:rFonts w:cs="Calibri"/>
                <w:color w:val="000000"/>
              </w:rPr>
            </w:pPr>
            <w:r w:rsidRPr="007C2D51">
              <w:rPr>
                <w:rFonts w:cs="Calibri"/>
                <w:color w:val="000000"/>
              </w:rPr>
              <w:t>16</w:t>
            </w:r>
          </w:p>
        </w:tc>
        <w:tc>
          <w:tcPr>
            <w:tcW w:w="0" w:type="auto"/>
            <w:tcBorders>
              <w:top w:val="none" w:sz="0" w:space="0" w:color="auto"/>
              <w:bottom w:val="none" w:sz="0" w:space="0" w:color="auto"/>
            </w:tcBorders>
            <w:shd w:val="clear" w:color="auto" w:fill="auto"/>
            <w:vAlign w:val="bottom"/>
          </w:tcPr>
          <w:p w:rsidR="00B916C0" w:rsidRPr="007C2D51" w:rsidRDefault="00B916C0" w:rsidP="00B916C0">
            <w:pPr>
              <w:jc w:val="right"/>
              <w:cnfStyle w:val="000000100000"/>
              <w:rPr>
                <w:rFonts w:cs="Calibri"/>
                <w:color w:val="000000"/>
              </w:rPr>
            </w:pPr>
            <w:r w:rsidRPr="007C2D51">
              <w:rPr>
                <w:rFonts w:cs="Calibri"/>
                <w:color w:val="000000"/>
              </w:rPr>
              <w:t>0</w:t>
            </w:r>
          </w:p>
        </w:tc>
        <w:tc>
          <w:tcPr>
            <w:tcW w:w="1152" w:type="dxa"/>
            <w:tcBorders>
              <w:top w:val="none" w:sz="0" w:space="0" w:color="auto"/>
              <w:bottom w:val="none" w:sz="0" w:space="0" w:color="auto"/>
            </w:tcBorders>
            <w:shd w:val="clear" w:color="auto" w:fill="auto"/>
            <w:noWrap/>
            <w:vAlign w:val="bottom"/>
          </w:tcPr>
          <w:p w:rsidR="00B916C0" w:rsidRPr="007C2D51" w:rsidRDefault="00B916C0" w:rsidP="00B916C0">
            <w:pPr>
              <w:jc w:val="right"/>
              <w:cnfStyle w:val="000000100000"/>
            </w:pPr>
            <w:r w:rsidRPr="007C2D51">
              <w:t>0%</w:t>
            </w:r>
          </w:p>
        </w:tc>
        <w:tc>
          <w:tcPr>
            <w:tcW w:w="1152" w:type="dxa"/>
            <w:tcBorders>
              <w:top w:val="none" w:sz="0" w:space="0" w:color="auto"/>
              <w:bottom w:val="none" w:sz="0" w:space="0" w:color="auto"/>
            </w:tcBorders>
            <w:shd w:val="clear" w:color="auto" w:fill="auto"/>
            <w:noWrap/>
            <w:vAlign w:val="bottom"/>
          </w:tcPr>
          <w:p w:rsidR="00B916C0" w:rsidRPr="007C2D51" w:rsidRDefault="00B916C0" w:rsidP="00B916C0">
            <w:pPr>
              <w:jc w:val="right"/>
              <w:cnfStyle w:val="000000100000"/>
            </w:pPr>
            <w:r w:rsidRPr="007C2D51">
              <w:t>0%</w:t>
            </w:r>
          </w:p>
        </w:tc>
        <w:tc>
          <w:tcPr>
            <w:tcW w:w="1152" w:type="dxa"/>
            <w:tcBorders>
              <w:top w:val="none" w:sz="0" w:space="0" w:color="auto"/>
              <w:bottom w:val="none" w:sz="0" w:space="0" w:color="auto"/>
            </w:tcBorders>
            <w:shd w:val="clear" w:color="auto" w:fill="auto"/>
            <w:noWrap/>
            <w:vAlign w:val="bottom"/>
          </w:tcPr>
          <w:p w:rsidR="00B916C0" w:rsidRPr="007C2D51" w:rsidRDefault="00B916C0" w:rsidP="00B916C0">
            <w:pPr>
              <w:jc w:val="right"/>
              <w:cnfStyle w:val="000000100000"/>
            </w:pPr>
            <w:r w:rsidRPr="007C2D51">
              <w:t>0%</w:t>
            </w:r>
          </w:p>
        </w:tc>
        <w:tc>
          <w:tcPr>
            <w:tcW w:w="0" w:type="auto"/>
            <w:tcBorders>
              <w:top w:val="none" w:sz="0" w:space="0" w:color="auto"/>
              <w:bottom w:val="none" w:sz="0" w:space="0" w:color="auto"/>
              <w:right w:val="none" w:sz="0" w:space="0" w:color="auto"/>
            </w:tcBorders>
            <w:shd w:val="clear" w:color="auto" w:fill="auto"/>
            <w:noWrap/>
            <w:vAlign w:val="bottom"/>
          </w:tcPr>
          <w:p w:rsidR="00B916C0" w:rsidRPr="007C2D51" w:rsidRDefault="00B916C0" w:rsidP="00B916C0">
            <w:pPr>
              <w:jc w:val="right"/>
              <w:cnfStyle w:val="000000100000"/>
            </w:pPr>
            <w:r w:rsidRPr="007C2D51">
              <w:t>0%</w:t>
            </w:r>
          </w:p>
        </w:tc>
      </w:tr>
      <w:tr w:rsidR="00B916C0" w:rsidRPr="007C2D51" w:rsidTr="00F15767">
        <w:trPr>
          <w:trHeight w:val="300"/>
        </w:trPr>
        <w:tc>
          <w:tcPr>
            <w:cnfStyle w:val="001000000000"/>
            <w:tcW w:w="0" w:type="auto"/>
            <w:shd w:val="clear" w:color="auto" w:fill="475A8D" w:themeFill="accent6"/>
            <w:noWrap/>
            <w:vAlign w:val="bottom"/>
          </w:tcPr>
          <w:p w:rsidR="00B916C0" w:rsidRPr="007C2D51" w:rsidRDefault="00B916C0" w:rsidP="00B916C0">
            <w:pPr>
              <w:rPr>
                <w:color w:val="FFFFFF" w:themeColor="background1"/>
              </w:rPr>
            </w:pPr>
            <w:r w:rsidRPr="007C2D51">
              <w:rPr>
                <w:color w:val="FFFFFF" w:themeColor="background1"/>
              </w:rPr>
              <w:t>Planning Projects</w:t>
            </w:r>
          </w:p>
        </w:tc>
        <w:tc>
          <w:tcPr>
            <w:tcW w:w="0" w:type="auto"/>
            <w:shd w:val="clear" w:color="auto" w:fill="475A8D" w:themeFill="accent6"/>
            <w:vAlign w:val="bottom"/>
          </w:tcPr>
          <w:p w:rsidR="00B916C0" w:rsidRPr="007C2D51" w:rsidRDefault="00B916C0" w:rsidP="00B916C0">
            <w:pPr>
              <w:jc w:val="right"/>
              <w:cnfStyle w:val="000000000000"/>
              <w:rPr>
                <w:rFonts w:cs="Calibri"/>
                <w:b/>
                <w:color w:val="FFFFFF" w:themeColor="background1"/>
              </w:rPr>
            </w:pPr>
            <w:r w:rsidRPr="007C2D51">
              <w:rPr>
                <w:rFonts w:cs="Calibri"/>
                <w:b/>
                <w:color w:val="FFFFFF" w:themeColor="background1"/>
              </w:rPr>
              <w:t>11</w:t>
            </w:r>
          </w:p>
        </w:tc>
        <w:tc>
          <w:tcPr>
            <w:tcW w:w="0" w:type="auto"/>
            <w:shd w:val="clear" w:color="auto" w:fill="475A8D" w:themeFill="accent6"/>
            <w:vAlign w:val="bottom"/>
          </w:tcPr>
          <w:p w:rsidR="00B916C0" w:rsidRPr="007C2D51" w:rsidRDefault="00B916C0" w:rsidP="00B916C0">
            <w:pPr>
              <w:jc w:val="right"/>
              <w:cnfStyle w:val="000000000000"/>
              <w:rPr>
                <w:b/>
                <w:color w:val="FFFFFF" w:themeColor="background1"/>
              </w:rPr>
            </w:pPr>
            <w:r w:rsidRPr="007C2D51">
              <w:rPr>
                <w:b/>
                <w:color w:val="FFFFFF" w:themeColor="background1"/>
              </w:rPr>
              <w:t>0</w:t>
            </w:r>
          </w:p>
        </w:tc>
        <w:tc>
          <w:tcPr>
            <w:tcW w:w="1152" w:type="dxa"/>
            <w:shd w:val="clear" w:color="auto" w:fill="475A8D" w:themeFill="accent6"/>
            <w:noWrap/>
            <w:vAlign w:val="bottom"/>
          </w:tcPr>
          <w:p w:rsidR="00B916C0" w:rsidRPr="007C2D51" w:rsidRDefault="00B916C0" w:rsidP="00B916C0">
            <w:pPr>
              <w:jc w:val="right"/>
              <w:cnfStyle w:val="000000000000"/>
              <w:rPr>
                <w:rFonts w:cs="Calibri"/>
                <w:b/>
                <w:color w:val="FFFFFF" w:themeColor="background1"/>
              </w:rPr>
            </w:pPr>
            <w:r w:rsidRPr="007C2D51">
              <w:rPr>
                <w:rFonts w:cs="Calibri"/>
                <w:b/>
                <w:color w:val="FFFFFF" w:themeColor="background1"/>
              </w:rPr>
              <w:t>0%</w:t>
            </w:r>
          </w:p>
        </w:tc>
        <w:tc>
          <w:tcPr>
            <w:tcW w:w="1152" w:type="dxa"/>
            <w:shd w:val="clear" w:color="auto" w:fill="475A8D" w:themeFill="accent6"/>
            <w:noWrap/>
            <w:vAlign w:val="bottom"/>
          </w:tcPr>
          <w:p w:rsidR="00B916C0" w:rsidRPr="007C2D51" w:rsidRDefault="00B916C0" w:rsidP="00B916C0">
            <w:pPr>
              <w:jc w:val="right"/>
              <w:cnfStyle w:val="000000000000"/>
              <w:rPr>
                <w:b/>
                <w:color w:val="FFFFFF" w:themeColor="background1"/>
              </w:rPr>
            </w:pPr>
            <w:r w:rsidRPr="007C2D51">
              <w:rPr>
                <w:b/>
                <w:color w:val="FFFFFF" w:themeColor="background1"/>
              </w:rPr>
              <w:t>0%</w:t>
            </w:r>
          </w:p>
        </w:tc>
        <w:tc>
          <w:tcPr>
            <w:tcW w:w="1152" w:type="dxa"/>
            <w:shd w:val="clear" w:color="auto" w:fill="475A8D" w:themeFill="accent6"/>
            <w:noWrap/>
            <w:vAlign w:val="bottom"/>
          </w:tcPr>
          <w:p w:rsidR="00B916C0" w:rsidRPr="007C2D51" w:rsidRDefault="00B916C0" w:rsidP="00B916C0">
            <w:pPr>
              <w:jc w:val="right"/>
              <w:cnfStyle w:val="000000000000"/>
              <w:rPr>
                <w:b/>
                <w:color w:val="FFFFFF" w:themeColor="background1"/>
              </w:rPr>
            </w:pPr>
            <w:r w:rsidRPr="007C2D51">
              <w:rPr>
                <w:b/>
                <w:color w:val="FFFFFF" w:themeColor="background1"/>
              </w:rPr>
              <w:t>0%</w:t>
            </w:r>
          </w:p>
        </w:tc>
        <w:tc>
          <w:tcPr>
            <w:tcW w:w="0" w:type="auto"/>
            <w:shd w:val="clear" w:color="auto" w:fill="475A8D" w:themeFill="accent6"/>
            <w:noWrap/>
            <w:vAlign w:val="bottom"/>
          </w:tcPr>
          <w:p w:rsidR="00B916C0" w:rsidRPr="007C2D51" w:rsidRDefault="00B916C0" w:rsidP="00B916C0">
            <w:pPr>
              <w:jc w:val="right"/>
              <w:cnfStyle w:val="000000000000"/>
              <w:rPr>
                <w:b/>
                <w:color w:val="FFFFFF" w:themeColor="background1"/>
              </w:rPr>
            </w:pPr>
            <w:r w:rsidRPr="007C2D51">
              <w:rPr>
                <w:b/>
                <w:color w:val="FFFFFF" w:themeColor="background1"/>
              </w:rPr>
              <w:t>0%</w:t>
            </w:r>
          </w:p>
        </w:tc>
      </w:tr>
      <w:tr w:rsidR="00B916C0" w:rsidRPr="007C2D51" w:rsidTr="00F15767">
        <w:trPr>
          <w:cnfStyle w:val="000000100000"/>
          <w:trHeight w:val="300"/>
        </w:trPr>
        <w:tc>
          <w:tcPr>
            <w:cnfStyle w:val="001000000000"/>
            <w:tcW w:w="0" w:type="auto"/>
            <w:tcBorders>
              <w:top w:val="none" w:sz="0" w:space="0" w:color="auto"/>
              <w:left w:val="none" w:sz="0" w:space="0" w:color="auto"/>
              <w:bottom w:val="none" w:sz="0" w:space="0" w:color="auto"/>
            </w:tcBorders>
            <w:shd w:val="clear" w:color="auto" w:fill="auto"/>
            <w:noWrap/>
            <w:vAlign w:val="bottom"/>
          </w:tcPr>
          <w:p w:rsidR="00B916C0" w:rsidRPr="007C2D51" w:rsidRDefault="00B916C0" w:rsidP="00B916C0">
            <w:r w:rsidRPr="007C2D51">
              <w:t>Feasibility studies</w:t>
            </w:r>
          </w:p>
        </w:tc>
        <w:tc>
          <w:tcPr>
            <w:tcW w:w="0" w:type="auto"/>
            <w:tcBorders>
              <w:top w:val="none" w:sz="0" w:space="0" w:color="auto"/>
              <w:bottom w:val="none" w:sz="0" w:space="0" w:color="auto"/>
            </w:tcBorders>
            <w:shd w:val="clear" w:color="auto" w:fill="auto"/>
            <w:vAlign w:val="bottom"/>
          </w:tcPr>
          <w:p w:rsidR="00B916C0" w:rsidRPr="007C2D51" w:rsidRDefault="00B916C0" w:rsidP="00B916C0">
            <w:pPr>
              <w:jc w:val="right"/>
              <w:cnfStyle w:val="000000100000"/>
              <w:rPr>
                <w:rFonts w:cs="Calibri"/>
                <w:color w:val="000000"/>
              </w:rPr>
            </w:pPr>
            <w:r w:rsidRPr="007C2D51">
              <w:rPr>
                <w:rFonts w:cs="Calibri"/>
                <w:color w:val="000000"/>
              </w:rPr>
              <w:t>11</w:t>
            </w:r>
          </w:p>
        </w:tc>
        <w:tc>
          <w:tcPr>
            <w:tcW w:w="0" w:type="auto"/>
            <w:tcBorders>
              <w:top w:val="none" w:sz="0" w:space="0" w:color="auto"/>
              <w:bottom w:val="none" w:sz="0" w:space="0" w:color="auto"/>
            </w:tcBorders>
            <w:shd w:val="clear" w:color="auto" w:fill="auto"/>
            <w:vAlign w:val="bottom"/>
          </w:tcPr>
          <w:p w:rsidR="00B916C0" w:rsidRPr="007C2D51" w:rsidRDefault="00B916C0" w:rsidP="00B916C0">
            <w:pPr>
              <w:jc w:val="right"/>
              <w:cnfStyle w:val="000000100000"/>
            </w:pPr>
            <w:r w:rsidRPr="007C2D51">
              <w:t>0</w:t>
            </w:r>
          </w:p>
        </w:tc>
        <w:tc>
          <w:tcPr>
            <w:tcW w:w="1152" w:type="dxa"/>
            <w:tcBorders>
              <w:top w:val="none" w:sz="0" w:space="0" w:color="auto"/>
              <w:bottom w:val="none" w:sz="0" w:space="0" w:color="auto"/>
            </w:tcBorders>
            <w:shd w:val="clear" w:color="auto" w:fill="auto"/>
            <w:noWrap/>
            <w:vAlign w:val="bottom"/>
          </w:tcPr>
          <w:p w:rsidR="00B916C0" w:rsidRPr="007C2D51" w:rsidRDefault="00B916C0" w:rsidP="00B916C0">
            <w:pPr>
              <w:jc w:val="right"/>
              <w:cnfStyle w:val="000000100000"/>
              <w:rPr>
                <w:rFonts w:cs="Calibri"/>
                <w:color w:val="000000"/>
              </w:rPr>
            </w:pPr>
            <w:r w:rsidRPr="007C2D51">
              <w:rPr>
                <w:rFonts w:cs="Calibri"/>
                <w:color w:val="000000"/>
              </w:rPr>
              <w:t>0%</w:t>
            </w:r>
          </w:p>
        </w:tc>
        <w:tc>
          <w:tcPr>
            <w:tcW w:w="1152" w:type="dxa"/>
            <w:tcBorders>
              <w:top w:val="none" w:sz="0" w:space="0" w:color="auto"/>
              <w:bottom w:val="none" w:sz="0" w:space="0" w:color="auto"/>
            </w:tcBorders>
            <w:shd w:val="clear" w:color="auto" w:fill="auto"/>
            <w:noWrap/>
            <w:vAlign w:val="bottom"/>
          </w:tcPr>
          <w:p w:rsidR="00B916C0" w:rsidRPr="007C2D51" w:rsidRDefault="00B916C0" w:rsidP="00B916C0">
            <w:pPr>
              <w:jc w:val="right"/>
              <w:cnfStyle w:val="000000100000"/>
            </w:pPr>
            <w:r w:rsidRPr="007C2D51">
              <w:t>0%</w:t>
            </w:r>
          </w:p>
        </w:tc>
        <w:tc>
          <w:tcPr>
            <w:tcW w:w="1152" w:type="dxa"/>
            <w:tcBorders>
              <w:top w:val="none" w:sz="0" w:space="0" w:color="auto"/>
              <w:bottom w:val="none" w:sz="0" w:space="0" w:color="auto"/>
            </w:tcBorders>
            <w:shd w:val="clear" w:color="auto" w:fill="auto"/>
            <w:noWrap/>
            <w:vAlign w:val="bottom"/>
          </w:tcPr>
          <w:p w:rsidR="00B916C0" w:rsidRPr="007C2D51" w:rsidRDefault="00B916C0" w:rsidP="00B916C0">
            <w:pPr>
              <w:jc w:val="right"/>
              <w:cnfStyle w:val="000000100000"/>
            </w:pPr>
            <w:r w:rsidRPr="007C2D51">
              <w:t>0%</w:t>
            </w:r>
          </w:p>
        </w:tc>
        <w:tc>
          <w:tcPr>
            <w:tcW w:w="0" w:type="auto"/>
            <w:tcBorders>
              <w:top w:val="none" w:sz="0" w:space="0" w:color="auto"/>
              <w:bottom w:val="none" w:sz="0" w:space="0" w:color="auto"/>
              <w:right w:val="none" w:sz="0" w:space="0" w:color="auto"/>
            </w:tcBorders>
            <w:shd w:val="clear" w:color="auto" w:fill="auto"/>
            <w:noWrap/>
            <w:vAlign w:val="bottom"/>
          </w:tcPr>
          <w:p w:rsidR="00B916C0" w:rsidRPr="007C2D51" w:rsidRDefault="00B916C0" w:rsidP="00B916C0">
            <w:pPr>
              <w:jc w:val="right"/>
              <w:cnfStyle w:val="000000100000"/>
            </w:pPr>
            <w:r w:rsidRPr="007C2D51">
              <w:t>0%</w:t>
            </w:r>
          </w:p>
        </w:tc>
      </w:tr>
      <w:tr w:rsidR="00B916C0" w:rsidRPr="007C2D51" w:rsidTr="00F15767">
        <w:trPr>
          <w:trHeight w:val="300"/>
        </w:trPr>
        <w:tc>
          <w:tcPr>
            <w:cnfStyle w:val="001000000000"/>
            <w:tcW w:w="0" w:type="auto"/>
            <w:shd w:val="clear" w:color="auto" w:fill="475A8D" w:themeFill="accent6"/>
            <w:noWrap/>
            <w:vAlign w:val="bottom"/>
          </w:tcPr>
          <w:p w:rsidR="00B916C0" w:rsidRPr="007C2D51" w:rsidRDefault="00B916C0" w:rsidP="00B916C0">
            <w:pPr>
              <w:rPr>
                <w:color w:val="FFFFFF" w:themeColor="background1"/>
              </w:rPr>
            </w:pPr>
            <w:r w:rsidRPr="007C2D51">
              <w:rPr>
                <w:color w:val="FFFFFF" w:themeColor="background1"/>
              </w:rPr>
              <w:t>Total</w:t>
            </w:r>
          </w:p>
        </w:tc>
        <w:tc>
          <w:tcPr>
            <w:tcW w:w="0" w:type="auto"/>
            <w:shd w:val="clear" w:color="auto" w:fill="475A8D" w:themeFill="accent6"/>
            <w:vAlign w:val="bottom"/>
          </w:tcPr>
          <w:p w:rsidR="00B916C0" w:rsidRPr="007C2D51" w:rsidRDefault="00B916C0" w:rsidP="00B916C0">
            <w:pPr>
              <w:jc w:val="right"/>
              <w:cnfStyle w:val="000000000000"/>
              <w:rPr>
                <w:rFonts w:cs="Calibri"/>
                <w:b/>
                <w:bCs/>
                <w:color w:val="FFFFFF" w:themeColor="background1"/>
              </w:rPr>
            </w:pPr>
            <w:r w:rsidRPr="007C2D51">
              <w:rPr>
                <w:rFonts w:cs="Calibri"/>
                <w:b/>
                <w:bCs/>
                <w:color w:val="FFFFFF" w:themeColor="background1"/>
              </w:rPr>
              <w:t>1027</w:t>
            </w:r>
          </w:p>
        </w:tc>
        <w:tc>
          <w:tcPr>
            <w:tcW w:w="0" w:type="auto"/>
            <w:shd w:val="clear" w:color="auto" w:fill="475A8D" w:themeFill="accent6"/>
            <w:vAlign w:val="bottom"/>
          </w:tcPr>
          <w:p w:rsidR="00B916C0" w:rsidRPr="007C2D51" w:rsidRDefault="00B916C0" w:rsidP="00B916C0">
            <w:pPr>
              <w:jc w:val="right"/>
              <w:cnfStyle w:val="000000000000"/>
              <w:rPr>
                <w:b/>
                <w:color w:val="FFFFFF" w:themeColor="background1"/>
              </w:rPr>
            </w:pPr>
            <w:r w:rsidRPr="007C2D51">
              <w:rPr>
                <w:rFonts w:cs="Calibri"/>
                <w:b/>
                <w:bCs/>
                <w:color w:val="FFFFFF" w:themeColor="background1"/>
              </w:rPr>
              <w:t xml:space="preserve"> 55,275,245</w:t>
            </w:r>
          </w:p>
        </w:tc>
        <w:tc>
          <w:tcPr>
            <w:tcW w:w="1152" w:type="dxa"/>
            <w:shd w:val="clear" w:color="auto" w:fill="475A8D" w:themeFill="accent6"/>
            <w:noWrap/>
            <w:vAlign w:val="bottom"/>
          </w:tcPr>
          <w:p w:rsidR="00B916C0" w:rsidRPr="007C2D51" w:rsidRDefault="00B916C0" w:rsidP="00B916C0">
            <w:pPr>
              <w:jc w:val="right"/>
              <w:cnfStyle w:val="000000000000"/>
              <w:rPr>
                <w:b/>
                <w:color w:val="FFFFFF" w:themeColor="background1"/>
              </w:rPr>
            </w:pPr>
            <w:r w:rsidRPr="007C2D51">
              <w:rPr>
                <w:b/>
                <w:color w:val="FFFFFF" w:themeColor="background1"/>
              </w:rPr>
              <w:t>81%</w:t>
            </w:r>
          </w:p>
        </w:tc>
        <w:tc>
          <w:tcPr>
            <w:tcW w:w="1152" w:type="dxa"/>
            <w:shd w:val="clear" w:color="auto" w:fill="475A8D" w:themeFill="accent6"/>
            <w:noWrap/>
            <w:vAlign w:val="bottom"/>
          </w:tcPr>
          <w:p w:rsidR="00B916C0" w:rsidRPr="007C2D51" w:rsidRDefault="00B916C0" w:rsidP="00B916C0">
            <w:pPr>
              <w:jc w:val="right"/>
              <w:cnfStyle w:val="000000000000"/>
              <w:rPr>
                <w:b/>
                <w:color w:val="FFFFFF" w:themeColor="background1"/>
              </w:rPr>
            </w:pPr>
            <w:r w:rsidRPr="007C2D51">
              <w:rPr>
                <w:b/>
                <w:color w:val="FFFFFF" w:themeColor="background1"/>
              </w:rPr>
              <w:t>12%</w:t>
            </w:r>
          </w:p>
        </w:tc>
        <w:tc>
          <w:tcPr>
            <w:tcW w:w="1152" w:type="dxa"/>
            <w:shd w:val="clear" w:color="auto" w:fill="475A8D" w:themeFill="accent6"/>
            <w:noWrap/>
            <w:vAlign w:val="bottom"/>
          </w:tcPr>
          <w:p w:rsidR="00B916C0" w:rsidRPr="007C2D51" w:rsidRDefault="00B916C0" w:rsidP="00B916C0">
            <w:pPr>
              <w:jc w:val="right"/>
              <w:cnfStyle w:val="000000000000"/>
              <w:rPr>
                <w:b/>
                <w:color w:val="FFFFFF" w:themeColor="background1"/>
              </w:rPr>
            </w:pPr>
            <w:r w:rsidRPr="007C2D51">
              <w:rPr>
                <w:b/>
                <w:color w:val="FFFFFF" w:themeColor="background1"/>
              </w:rPr>
              <w:t>7%</w:t>
            </w:r>
          </w:p>
        </w:tc>
        <w:tc>
          <w:tcPr>
            <w:tcW w:w="0" w:type="auto"/>
            <w:shd w:val="clear" w:color="auto" w:fill="475A8D" w:themeFill="accent6"/>
            <w:noWrap/>
            <w:vAlign w:val="bottom"/>
          </w:tcPr>
          <w:p w:rsidR="00B916C0" w:rsidRPr="007C2D51" w:rsidRDefault="00B916C0" w:rsidP="00B916C0">
            <w:pPr>
              <w:jc w:val="right"/>
              <w:cnfStyle w:val="000000000000"/>
              <w:rPr>
                <w:b/>
                <w:color w:val="FFFFFF" w:themeColor="background1"/>
              </w:rPr>
            </w:pPr>
            <w:r w:rsidRPr="007C2D51">
              <w:rPr>
                <w:b/>
                <w:color w:val="FFFFFF" w:themeColor="background1"/>
              </w:rPr>
              <w:t>100%</w:t>
            </w:r>
          </w:p>
        </w:tc>
      </w:tr>
    </w:tbl>
    <w:p w:rsidR="00441C03" w:rsidRPr="007C2D51" w:rsidRDefault="001E4BB1" w:rsidP="00441C03">
      <w:pPr>
        <w:pStyle w:val="Caption"/>
      </w:pPr>
      <w:bookmarkStart w:id="102" w:name="_Toc304967473"/>
      <w:r w:rsidRPr="007C2D51">
        <w:t xml:space="preserve">Table </w:t>
      </w:r>
      <w:r w:rsidR="00022E2F" w:rsidRPr="007C2D51">
        <w:fldChar w:fldCharType="begin"/>
      </w:r>
      <w:r w:rsidR="00FB3E36" w:rsidRPr="007C2D51">
        <w:instrText xml:space="preserve"> STYLEREF 1 \s </w:instrText>
      </w:r>
      <w:r w:rsidR="00022E2F" w:rsidRPr="007C2D51">
        <w:fldChar w:fldCharType="separate"/>
      </w:r>
      <w:r w:rsidR="00F35ACC">
        <w:rPr>
          <w:noProof/>
        </w:rPr>
        <w:t>4</w:t>
      </w:r>
      <w:r w:rsidR="00022E2F" w:rsidRPr="007C2D51">
        <w:fldChar w:fldCharType="end"/>
      </w:r>
      <w:r w:rsidR="00FB3E36" w:rsidRPr="007C2D51">
        <w:noBreakHyphen/>
      </w:r>
      <w:r w:rsidR="00022E2F" w:rsidRPr="007C2D51">
        <w:fldChar w:fldCharType="begin"/>
      </w:r>
      <w:r w:rsidR="00FB3E36" w:rsidRPr="007C2D51">
        <w:instrText xml:space="preserve"> SEQ Table \* ARABIC \s 1 </w:instrText>
      </w:r>
      <w:r w:rsidR="00022E2F" w:rsidRPr="007C2D51">
        <w:fldChar w:fldCharType="separate"/>
      </w:r>
      <w:r w:rsidR="00F35ACC">
        <w:rPr>
          <w:noProof/>
        </w:rPr>
        <w:t>2</w:t>
      </w:r>
      <w:r w:rsidR="00022E2F" w:rsidRPr="007C2D51">
        <w:fldChar w:fldCharType="end"/>
      </w:r>
      <w:r w:rsidRPr="007C2D51">
        <w:br/>
      </w:r>
      <w:r w:rsidR="007017E3" w:rsidRPr="007C2D51">
        <w:t xml:space="preserve">One-Way Trips by Service Type and </w:t>
      </w:r>
      <w:r w:rsidR="0093728D" w:rsidRPr="007C2D51">
        <w:t xml:space="preserve">Size of </w:t>
      </w:r>
      <w:r w:rsidR="00044543" w:rsidRPr="007C2D51">
        <w:t xml:space="preserve">Urbanized </w:t>
      </w:r>
      <w:r w:rsidR="0093728D" w:rsidRPr="007C2D51">
        <w:t xml:space="preserve">Area </w:t>
      </w:r>
      <w:r w:rsidR="00441C03" w:rsidRPr="007C2D51">
        <w:br/>
        <w:t>(Percentage by Row)</w:t>
      </w:r>
      <w:bookmarkEnd w:id="102"/>
    </w:p>
    <w:p w:rsidR="007017E3" w:rsidRPr="007C2D51" w:rsidRDefault="007017E3" w:rsidP="007017E3">
      <w:pPr>
        <w:pStyle w:val="TableTitle"/>
      </w:pPr>
    </w:p>
    <w:p w:rsidR="009905BB" w:rsidRPr="007C2D51" w:rsidRDefault="00C1707A">
      <w:pPr>
        <w:pStyle w:val="TableTitle"/>
      </w:pPr>
      <w:r w:rsidRPr="007C2D51">
        <w:br w:type="page"/>
      </w:r>
      <w:bookmarkEnd w:id="100"/>
      <w:bookmarkEnd w:id="101"/>
    </w:p>
    <w:p w:rsidR="00863534" w:rsidRPr="007C2D51" w:rsidRDefault="00BF0876" w:rsidP="00B14838">
      <w:pPr>
        <w:pStyle w:val="TableTitle"/>
      </w:pPr>
      <w:bookmarkStart w:id="103" w:name="_Toc242773534"/>
      <w:bookmarkStart w:id="104" w:name="_Toc242869960"/>
      <w:bookmarkStart w:id="105" w:name="_Toc244658155"/>
      <w:bookmarkStart w:id="106" w:name="_Toc244658278"/>
      <w:r w:rsidRPr="007C2D51">
        <w:rPr>
          <w:noProof/>
        </w:rPr>
        <w:lastRenderedPageBreak/>
        <w:drawing>
          <wp:anchor distT="0" distB="0" distL="114300" distR="114300" simplePos="0" relativeHeight="251732992" behindDoc="0" locked="0" layoutInCell="1" allowOverlap="1">
            <wp:simplePos x="0" y="0"/>
            <wp:positionH relativeFrom="margin">
              <wp:align>center</wp:align>
            </wp:positionH>
            <wp:positionV relativeFrom="paragraph">
              <wp:posOffset>0</wp:posOffset>
            </wp:positionV>
            <wp:extent cx="4572000" cy="4924425"/>
            <wp:effectExtent l="0" t="0" r="0" b="0"/>
            <wp:wrapTopAndBottom/>
            <wp:docPr id="1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p>
    <w:p w:rsidR="00A921AA" w:rsidRPr="007C2D51" w:rsidRDefault="00A921AA" w:rsidP="00B14838">
      <w:pPr>
        <w:pStyle w:val="TableTitle"/>
      </w:pPr>
      <w:bookmarkStart w:id="107" w:name="_Toc304967491"/>
      <w:r w:rsidRPr="007C2D51">
        <w:t xml:space="preserve">Figure </w:t>
      </w:r>
      <w:fldSimple w:instr=" STYLEREF 1 \s ">
        <w:r w:rsidR="00F35ACC">
          <w:rPr>
            <w:noProof/>
          </w:rPr>
          <w:t>4</w:t>
        </w:r>
      </w:fldSimple>
      <w:r w:rsidR="0009713B" w:rsidRPr="007C2D51">
        <w:noBreakHyphen/>
      </w:r>
      <w:fldSimple w:instr=" SEQ Figure \* ARABIC \s 1 ">
        <w:r w:rsidR="00F35ACC">
          <w:rPr>
            <w:noProof/>
          </w:rPr>
          <w:t>2</w:t>
        </w:r>
      </w:fldSimple>
      <w:r w:rsidR="00B46770" w:rsidRPr="007C2D51">
        <w:br/>
      </w:r>
      <w:r w:rsidRPr="007C2D51">
        <w:t xml:space="preserve">One-Way Trips by Service Type and </w:t>
      </w:r>
      <w:r w:rsidR="00B027E7" w:rsidRPr="007C2D51">
        <w:t xml:space="preserve">Size of </w:t>
      </w:r>
      <w:r w:rsidRPr="007C2D51">
        <w:t>Urbanized Area</w:t>
      </w:r>
      <w:r w:rsidR="00B027E7" w:rsidRPr="007C2D51" w:rsidDel="00B027E7">
        <w:t xml:space="preserve"> </w:t>
      </w:r>
      <w:r w:rsidR="0029388F" w:rsidRPr="007C2D51">
        <w:br/>
      </w:r>
      <w:r w:rsidRPr="007C2D51">
        <w:t>(</w:t>
      </w:r>
      <w:bookmarkEnd w:id="103"/>
      <w:bookmarkEnd w:id="104"/>
      <w:bookmarkEnd w:id="105"/>
      <w:bookmarkEnd w:id="106"/>
      <w:r w:rsidR="00B46770" w:rsidRPr="007C2D51">
        <w:t>Percentage by Row</w:t>
      </w:r>
      <w:r w:rsidR="00B14838" w:rsidRPr="007C2D51">
        <w:t>)</w:t>
      </w:r>
      <w:bookmarkEnd w:id="107"/>
    </w:p>
    <w:p w:rsidR="00A921AA" w:rsidRPr="007C2D51" w:rsidRDefault="00B14838" w:rsidP="00FB490A">
      <w:pPr>
        <w:pStyle w:val="Caption"/>
      </w:pPr>
      <w:r w:rsidRPr="007C2D51">
        <w:br w:type="page"/>
      </w:r>
      <w:bookmarkStart w:id="108" w:name="OLE_LINK19"/>
      <w:bookmarkStart w:id="109" w:name="OLE_LINK20"/>
      <w:bookmarkStart w:id="110" w:name="_Toc242869961"/>
      <w:bookmarkStart w:id="111" w:name="_Toc244658133"/>
      <w:bookmarkStart w:id="112" w:name="_Toc304967474"/>
      <w:r w:rsidR="00A921AA" w:rsidRPr="007C2D51">
        <w:lastRenderedPageBreak/>
        <w:t xml:space="preserve">Table </w:t>
      </w:r>
      <w:r w:rsidR="00022E2F" w:rsidRPr="007C2D51">
        <w:fldChar w:fldCharType="begin"/>
      </w:r>
      <w:r w:rsidR="00FB3E36" w:rsidRPr="007C2D51">
        <w:instrText xml:space="preserve"> STYLEREF 1 \s </w:instrText>
      </w:r>
      <w:r w:rsidR="00022E2F" w:rsidRPr="007C2D51">
        <w:fldChar w:fldCharType="separate"/>
      </w:r>
      <w:r w:rsidR="00F35ACC">
        <w:rPr>
          <w:noProof/>
        </w:rPr>
        <w:t>4</w:t>
      </w:r>
      <w:r w:rsidR="00022E2F" w:rsidRPr="007C2D51">
        <w:fldChar w:fldCharType="end"/>
      </w:r>
      <w:r w:rsidR="00FB3E36" w:rsidRPr="007C2D51">
        <w:noBreakHyphen/>
      </w:r>
      <w:r w:rsidR="00022E2F" w:rsidRPr="007C2D51">
        <w:fldChar w:fldCharType="begin"/>
      </w:r>
      <w:r w:rsidR="00FB3E36" w:rsidRPr="007C2D51">
        <w:instrText xml:space="preserve"> SEQ Table \* ARABIC \s 1 </w:instrText>
      </w:r>
      <w:r w:rsidR="00022E2F" w:rsidRPr="007C2D51">
        <w:fldChar w:fldCharType="separate"/>
      </w:r>
      <w:r w:rsidR="00F35ACC">
        <w:rPr>
          <w:noProof/>
        </w:rPr>
        <w:t>3</w:t>
      </w:r>
      <w:r w:rsidR="00022E2F" w:rsidRPr="007C2D51">
        <w:fldChar w:fldCharType="end"/>
      </w:r>
      <w:r w:rsidR="00A921AA" w:rsidRPr="007C2D51">
        <w:br/>
        <w:t xml:space="preserve">One-Way Trips by Service Type and </w:t>
      </w:r>
      <w:r w:rsidR="00B027E7" w:rsidRPr="007C2D51">
        <w:t xml:space="preserve">Size of </w:t>
      </w:r>
      <w:r w:rsidR="00A921AA" w:rsidRPr="007C2D51">
        <w:t>Urbanized Area</w:t>
      </w:r>
      <w:bookmarkEnd w:id="108"/>
      <w:bookmarkEnd w:id="109"/>
      <w:r w:rsidR="008844B6" w:rsidRPr="007C2D51">
        <w:t xml:space="preserve"> </w:t>
      </w:r>
      <w:r w:rsidR="00A921AA" w:rsidRPr="007C2D51">
        <w:br/>
        <w:t>(</w:t>
      </w:r>
      <w:r w:rsidR="002652A1" w:rsidRPr="007C2D51">
        <w:t>Percentage by Column</w:t>
      </w:r>
      <w:r w:rsidR="00A921AA" w:rsidRPr="007C2D51">
        <w:t>)</w:t>
      </w:r>
      <w:bookmarkEnd w:id="110"/>
      <w:bookmarkEnd w:id="111"/>
      <w:bookmarkEnd w:id="112"/>
    </w:p>
    <w:tbl>
      <w:tblPr>
        <w:tblStyle w:val="LightList-Accent6"/>
        <w:tblpPr w:leftFromText="180" w:rightFromText="180" w:vertAnchor="page" w:horzAnchor="margin" w:tblpXSpec="center" w:tblpY="22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3"/>
        <w:gridCol w:w="658"/>
        <w:gridCol w:w="1263"/>
        <w:gridCol w:w="1152"/>
        <w:gridCol w:w="1152"/>
        <w:gridCol w:w="1152"/>
        <w:gridCol w:w="721"/>
      </w:tblGrid>
      <w:tr w:rsidR="00251EE7" w:rsidRPr="007C2D51" w:rsidTr="00F15767">
        <w:trPr>
          <w:cnfStyle w:val="100000000000"/>
          <w:trHeight w:val="300"/>
        </w:trPr>
        <w:tc>
          <w:tcPr>
            <w:cnfStyle w:val="001000000000"/>
            <w:tcW w:w="0" w:type="auto"/>
            <w:noWrap/>
            <w:vAlign w:val="bottom"/>
          </w:tcPr>
          <w:p w:rsidR="00251EE7" w:rsidRPr="007C2D51" w:rsidRDefault="00251EE7" w:rsidP="00251EE7">
            <w:r w:rsidRPr="007C2D51">
              <w:t>Service Type</w:t>
            </w:r>
          </w:p>
        </w:tc>
        <w:tc>
          <w:tcPr>
            <w:tcW w:w="0" w:type="auto"/>
            <w:vAlign w:val="bottom"/>
          </w:tcPr>
          <w:p w:rsidR="00251EE7" w:rsidRPr="007C2D51" w:rsidRDefault="00251EE7" w:rsidP="00E9105A">
            <w:pPr>
              <w:jc w:val="center"/>
              <w:cnfStyle w:val="100000000000"/>
            </w:pPr>
            <w:r w:rsidRPr="007C2D51">
              <w:t>#</w:t>
            </w:r>
          </w:p>
        </w:tc>
        <w:tc>
          <w:tcPr>
            <w:tcW w:w="0" w:type="auto"/>
            <w:vAlign w:val="bottom"/>
          </w:tcPr>
          <w:p w:rsidR="00251EE7" w:rsidRPr="007C2D51" w:rsidRDefault="00251EE7" w:rsidP="00E9105A">
            <w:pPr>
              <w:jc w:val="center"/>
              <w:cnfStyle w:val="100000000000"/>
            </w:pPr>
            <w:r w:rsidRPr="007C2D51">
              <w:t>Trips</w:t>
            </w:r>
          </w:p>
        </w:tc>
        <w:tc>
          <w:tcPr>
            <w:tcW w:w="1152" w:type="dxa"/>
            <w:noWrap/>
            <w:vAlign w:val="bottom"/>
          </w:tcPr>
          <w:p w:rsidR="00251EE7" w:rsidRPr="007C2D51" w:rsidRDefault="00251EE7" w:rsidP="00E9105A">
            <w:pPr>
              <w:jc w:val="center"/>
              <w:cnfStyle w:val="100000000000"/>
            </w:pPr>
            <w:r w:rsidRPr="007C2D51">
              <w:t>Large Urban</w:t>
            </w:r>
          </w:p>
        </w:tc>
        <w:tc>
          <w:tcPr>
            <w:tcW w:w="1152" w:type="dxa"/>
            <w:noWrap/>
            <w:vAlign w:val="bottom"/>
          </w:tcPr>
          <w:p w:rsidR="00251EE7" w:rsidRPr="007C2D51" w:rsidRDefault="00251EE7" w:rsidP="00E9105A">
            <w:pPr>
              <w:jc w:val="center"/>
              <w:cnfStyle w:val="100000000000"/>
            </w:pPr>
            <w:r w:rsidRPr="007C2D51">
              <w:t>Small Urban</w:t>
            </w:r>
          </w:p>
        </w:tc>
        <w:tc>
          <w:tcPr>
            <w:tcW w:w="1152" w:type="dxa"/>
            <w:noWrap/>
            <w:vAlign w:val="bottom"/>
          </w:tcPr>
          <w:p w:rsidR="00251EE7" w:rsidRPr="007C2D51" w:rsidRDefault="00251EE7" w:rsidP="00E9105A">
            <w:pPr>
              <w:jc w:val="center"/>
              <w:cnfStyle w:val="100000000000"/>
            </w:pPr>
            <w:r w:rsidRPr="007C2D51">
              <w:t>Non-Urban</w:t>
            </w:r>
          </w:p>
        </w:tc>
        <w:tc>
          <w:tcPr>
            <w:tcW w:w="0" w:type="auto"/>
            <w:noWrap/>
            <w:vAlign w:val="bottom"/>
          </w:tcPr>
          <w:p w:rsidR="00251EE7" w:rsidRPr="007C2D51" w:rsidRDefault="00251EE7" w:rsidP="00E9105A">
            <w:pPr>
              <w:jc w:val="center"/>
              <w:cnfStyle w:val="100000000000"/>
            </w:pPr>
            <w:r w:rsidRPr="007C2D51">
              <w:t>Total</w:t>
            </w:r>
          </w:p>
        </w:tc>
      </w:tr>
      <w:tr w:rsidR="0009209A" w:rsidRPr="007C2D51" w:rsidTr="00F15767">
        <w:trPr>
          <w:cnfStyle w:val="000000100000"/>
          <w:trHeight w:val="300"/>
        </w:trPr>
        <w:tc>
          <w:tcPr>
            <w:cnfStyle w:val="001000000000"/>
            <w:tcW w:w="0" w:type="auto"/>
            <w:tcBorders>
              <w:top w:val="none" w:sz="0" w:space="0" w:color="auto"/>
              <w:left w:val="none" w:sz="0" w:space="0" w:color="auto"/>
              <w:bottom w:val="none" w:sz="0" w:space="0" w:color="auto"/>
            </w:tcBorders>
            <w:shd w:val="clear" w:color="auto" w:fill="475A8D" w:themeFill="accent6"/>
            <w:noWrap/>
            <w:vAlign w:val="bottom"/>
          </w:tcPr>
          <w:p w:rsidR="0009209A" w:rsidRPr="007C2D51" w:rsidRDefault="0009209A" w:rsidP="00251EE7">
            <w:pPr>
              <w:rPr>
                <w:color w:val="FFFFFF" w:themeColor="background1"/>
              </w:rPr>
            </w:pPr>
            <w:r w:rsidRPr="007C2D51">
              <w:rPr>
                <w:color w:val="FFFFFF" w:themeColor="background1"/>
              </w:rPr>
              <w:t>Trip-Based Services</w:t>
            </w:r>
          </w:p>
        </w:tc>
        <w:tc>
          <w:tcPr>
            <w:tcW w:w="0" w:type="auto"/>
            <w:tcBorders>
              <w:top w:val="none" w:sz="0" w:space="0" w:color="auto"/>
              <w:bottom w:val="none" w:sz="0" w:space="0" w:color="auto"/>
            </w:tcBorders>
            <w:shd w:val="clear" w:color="auto" w:fill="475A8D" w:themeFill="accent6"/>
            <w:vAlign w:val="bottom"/>
          </w:tcPr>
          <w:p w:rsidR="0009209A" w:rsidRPr="007C2D51" w:rsidRDefault="0009209A" w:rsidP="00E9105A">
            <w:pPr>
              <w:jc w:val="right"/>
              <w:cnfStyle w:val="000000100000"/>
              <w:rPr>
                <w:b/>
                <w:color w:val="FFFFFF" w:themeColor="background1"/>
              </w:rPr>
            </w:pPr>
            <w:r w:rsidRPr="007C2D51">
              <w:rPr>
                <w:b/>
                <w:color w:val="FFFFFF" w:themeColor="background1"/>
              </w:rPr>
              <w:t>813</w:t>
            </w:r>
          </w:p>
        </w:tc>
        <w:tc>
          <w:tcPr>
            <w:tcW w:w="0" w:type="auto"/>
            <w:tcBorders>
              <w:top w:val="none" w:sz="0" w:space="0" w:color="auto"/>
              <w:bottom w:val="none" w:sz="0" w:space="0" w:color="auto"/>
            </w:tcBorders>
            <w:shd w:val="clear" w:color="auto" w:fill="475A8D" w:themeFill="accent6"/>
            <w:vAlign w:val="bottom"/>
          </w:tcPr>
          <w:p w:rsidR="0009209A" w:rsidRPr="007C2D51" w:rsidRDefault="0009209A" w:rsidP="00E9105A">
            <w:pPr>
              <w:jc w:val="right"/>
              <w:cnfStyle w:val="000000100000"/>
              <w:rPr>
                <w:rFonts w:cs="Calibri"/>
                <w:b/>
                <w:bCs/>
                <w:color w:val="FFFFFF" w:themeColor="background1"/>
              </w:rPr>
            </w:pPr>
            <w:r w:rsidRPr="007C2D51">
              <w:rPr>
                <w:rFonts w:cs="Calibri"/>
                <w:b/>
                <w:bCs/>
                <w:color w:val="FFFFFF" w:themeColor="background1"/>
              </w:rPr>
              <w:t xml:space="preserve">54,522,032 </w:t>
            </w:r>
          </w:p>
        </w:tc>
        <w:tc>
          <w:tcPr>
            <w:tcW w:w="1152" w:type="dxa"/>
            <w:tcBorders>
              <w:top w:val="none" w:sz="0" w:space="0" w:color="auto"/>
              <w:bottom w:val="none" w:sz="0" w:space="0" w:color="auto"/>
            </w:tcBorders>
            <w:shd w:val="clear" w:color="auto" w:fill="475A8D" w:themeFill="accent6"/>
            <w:noWrap/>
            <w:vAlign w:val="bottom"/>
          </w:tcPr>
          <w:p w:rsidR="0009209A" w:rsidRPr="007C2D51" w:rsidRDefault="0009209A" w:rsidP="00E9105A">
            <w:pPr>
              <w:jc w:val="right"/>
              <w:cnfStyle w:val="000000100000"/>
              <w:rPr>
                <w:rFonts w:cs="Calibri"/>
                <w:b/>
                <w:bCs/>
                <w:color w:val="FFFFFF" w:themeColor="background1"/>
              </w:rPr>
            </w:pPr>
            <w:r w:rsidRPr="007C2D51">
              <w:rPr>
                <w:rFonts w:cs="Calibri"/>
                <w:b/>
                <w:bCs/>
                <w:color w:val="FFFFFF" w:themeColor="background1"/>
              </w:rPr>
              <w:t>99%</w:t>
            </w:r>
          </w:p>
        </w:tc>
        <w:tc>
          <w:tcPr>
            <w:tcW w:w="1152" w:type="dxa"/>
            <w:tcBorders>
              <w:top w:val="none" w:sz="0" w:space="0" w:color="auto"/>
              <w:bottom w:val="none" w:sz="0" w:space="0" w:color="auto"/>
            </w:tcBorders>
            <w:shd w:val="clear" w:color="auto" w:fill="475A8D" w:themeFill="accent6"/>
            <w:noWrap/>
            <w:vAlign w:val="bottom"/>
          </w:tcPr>
          <w:p w:rsidR="0009209A" w:rsidRPr="007C2D51" w:rsidRDefault="0009209A" w:rsidP="00E9105A">
            <w:pPr>
              <w:jc w:val="right"/>
              <w:cnfStyle w:val="000000100000"/>
              <w:rPr>
                <w:rFonts w:cs="Calibri"/>
                <w:b/>
                <w:bCs/>
                <w:color w:val="FFFFFF" w:themeColor="background1"/>
              </w:rPr>
            </w:pPr>
            <w:r w:rsidRPr="007C2D51">
              <w:rPr>
                <w:rFonts w:cs="Calibri"/>
                <w:b/>
                <w:bCs/>
                <w:color w:val="FFFFFF" w:themeColor="background1"/>
              </w:rPr>
              <w:t>99%</w:t>
            </w:r>
          </w:p>
        </w:tc>
        <w:tc>
          <w:tcPr>
            <w:tcW w:w="1152" w:type="dxa"/>
            <w:tcBorders>
              <w:top w:val="none" w:sz="0" w:space="0" w:color="auto"/>
              <w:bottom w:val="none" w:sz="0" w:space="0" w:color="auto"/>
            </w:tcBorders>
            <w:shd w:val="clear" w:color="auto" w:fill="475A8D" w:themeFill="accent6"/>
            <w:noWrap/>
            <w:vAlign w:val="bottom"/>
          </w:tcPr>
          <w:p w:rsidR="0009209A" w:rsidRPr="007C2D51" w:rsidRDefault="0009209A" w:rsidP="00E9105A">
            <w:pPr>
              <w:jc w:val="right"/>
              <w:cnfStyle w:val="000000100000"/>
              <w:rPr>
                <w:rFonts w:cs="Calibri"/>
                <w:b/>
                <w:bCs/>
                <w:color w:val="FFFFFF" w:themeColor="background1"/>
              </w:rPr>
            </w:pPr>
            <w:r w:rsidRPr="007C2D51">
              <w:rPr>
                <w:rFonts w:cs="Calibri"/>
                <w:b/>
                <w:bCs/>
                <w:color w:val="FFFFFF" w:themeColor="background1"/>
              </w:rPr>
              <w:t>94%</w:t>
            </w:r>
          </w:p>
        </w:tc>
        <w:tc>
          <w:tcPr>
            <w:tcW w:w="0" w:type="auto"/>
            <w:tcBorders>
              <w:top w:val="none" w:sz="0" w:space="0" w:color="auto"/>
              <w:bottom w:val="none" w:sz="0" w:space="0" w:color="auto"/>
              <w:right w:val="none" w:sz="0" w:space="0" w:color="auto"/>
            </w:tcBorders>
            <w:shd w:val="clear" w:color="auto" w:fill="475A8D" w:themeFill="accent6"/>
            <w:noWrap/>
            <w:vAlign w:val="bottom"/>
          </w:tcPr>
          <w:p w:rsidR="0009209A" w:rsidRPr="007C2D51" w:rsidRDefault="0009209A" w:rsidP="00E9105A">
            <w:pPr>
              <w:jc w:val="right"/>
              <w:cnfStyle w:val="000000100000"/>
              <w:rPr>
                <w:rFonts w:cs="Calibri"/>
                <w:b/>
                <w:bCs/>
                <w:color w:val="FFFFFF" w:themeColor="background1"/>
              </w:rPr>
            </w:pPr>
            <w:r w:rsidRPr="007C2D51">
              <w:rPr>
                <w:rFonts w:cs="Calibri"/>
                <w:b/>
                <w:bCs/>
                <w:color w:val="FFFFFF" w:themeColor="background1"/>
              </w:rPr>
              <w:t>99%</w:t>
            </w:r>
          </w:p>
        </w:tc>
      </w:tr>
      <w:tr w:rsidR="0009209A" w:rsidRPr="007C2D51" w:rsidTr="00F15767">
        <w:trPr>
          <w:trHeight w:val="300"/>
        </w:trPr>
        <w:tc>
          <w:tcPr>
            <w:cnfStyle w:val="001000000000"/>
            <w:tcW w:w="0" w:type="auto"/>
            <w:noWrap/>
            <w:vAlign w:val="bottom"/>
          </w:tcPr>
          <w:p w:rsidR="0009209A" w:rsidRPr="007C2D51" w:rsidRDefault="0009209A" w:rsidP="00251EE7">
            <w:r w:rsidRPr="007C2D51">
              <w:t>Fixed route</w:t>
            </w:r>
          </w:p>
        </w:tc>
        <w:tc>
          <w:tcPr>
            <w:tcW w:w="0" w:type="auto"/>
            <w:vAlign w:val="bottom"/>
          </w:tcPr>
          <w:p w:rsidR="0009209A" w:rsidRPr="007C2D51" w:rsidRDefault="0009209A" w:rsidP="00E9105A">
            <w:pPr>
              <w:jc w:val="right"/>
              <w:cnfStyle w:val="000000000000"/>
              <w:rPr>
                <w:rFonts w:cs="Calibri"/>
                <w:color w:val="000000"/>
              </w:rPr>
            </w:pPr>
            <w:r w:rsidRPr="007C2D51">
              <w:rPr>
                <w:rFonts w:cs="Calibri"/>
                <w:color w:val="000000"/>
              </w:rPr>
              <w:t>397</w:t>
            </w:r>
          </w:p>
        </w:tc>
        <w:tc>
          <w:tcPr>
            <w:tcW w:w="0" w:type="auto"/>
            <w:vAlign w:val="bottom"/>
          </w:tcPr>
          <w:p w:rsidR="0009209A" w:rsidRPr="007C2D51" w:rsidRDefault="0009209A" w:rsidP="00E9105A">
            <w:pPr>
              <w:jc w:val="right"/>
              <w:cnfStyle w:val="000000000000"/>
              <w:rPr>
                <w:rFonts w:cs="Calibri"/>
                <w:color w:val="000000"/>
              </w:rPr>
            </w:pPr>
            <w:r w:rsidRPr="007C2D51">
              <w:rPr>
                <w:rFonts w:cs="Calibri"/>
                <w:color w:val="000000"/>
              </w:rPr>
              <w:t xml:space="preserve">47,363,009 </w:t>
            </w:r>
          </w:p>
        </w:tc>
        <w:tc>
          <w:tcPr>
            <w:tcW w:w="1152" w:type="dxa"/>
            <w:noWrap/>
            <w:vAlign w:val="bottom"/>
          </w:tcPr>
          <w:p w:rsidR="0009209A" w:rsidRPr="007C2D51" w:rsidRDefault="0009209A" w:rsidP="00E9105A">
            <w:pPr>
              <w:jc w:val="right"/>
              <w:cnfStyle w:val="000000000000"/>
              <w:rPr>
                <w:rFonts w:cs="Calibri"/>
                <w:color w:val="000000"/>
              </w:rPr>
            </w:pPr>
            <w:r w:rsidRPr="007C2D51">
              <w:rPr>
                <w:rFonts w:cs="Calibri"/>
                <w:color w:val="000000"/>
              </w:rPr>
              <w:t>91%</w:t>
            </w:r>
          </w:p>
        </w:tc>
        <w:tc>
          <w:tcPr>
            <w:tcW w:w="1152" w:type="dxa"/>
            <w:noWrap/>
            <w:vAlign w:val="bottom"/>
          </w:tcPr>
          <w:p w:rsidR="0009209A" w:rsidRPr="007C2D51" w:rsidRDefault="0009209A" w:rsidP="00E9105A">
            <w:pPr>
              <w:jc w:val="right"/>
              <w:cnfStyle w:val="000000000000"/>
              <w:rPr>
                <w:rFonts w:cs="Calibri"/>
                <w:color w:val="000000"/>
              </w:rPr>
            </w:pPr>
            <w:r w:rsidRPr="007C2D51">
              <w:rPr>
                <w:rFonts w:cs="Calibri"/>
                <w:color w:val="000000"/>
              </w:rPr>
              <w:t>74%</w:t>
            </w:r>
          </w:p>
        </w:tc>
        <w:tc>
          <w:tcPr>
            <w:tcW w:w="1152" w:type="dxa"/>
            <w:noWrap/>
            <w:vAlign w:val="bottom"/>
          </w:tcPr>
          <w:p w:rsidR="0009209A" w:rsidRPr="007C2D51" w:rsidRDefault="0009209A" w:rsidP="00E9105A">
            <w:pPr>
              <w:jc w:val="right"/>
              <w:cnfStyle w:val="000000000000"/>
              <w:rPr>
                <w:rFonts w:cs="Calibri"/>
                <w:color w:val="000000"/>
              </w:rPr>
            </w:pPr>
            <w:r w:rsidRPr="007C2D51">
              <w:rPr>
                <w:rFonts w:cs="Calibri"/>
                <w:color w:val="000000"/>
              </w:rPr>
              <w:t>43%</w:t>
            </w:r>
          </w:p>
        </w:tc>
        <w:tc>
          <w:tcPr>
            <w:tcW w:w="0" w:type="auto"/>
            <w:noWrap/>
            <w:vAlign w:val="bottom"/>
          </w:tcPr>
          <w:p w:rsidR="0009209A" w:rsidRPr="007C2D51" w:rsidRDefault="0009209A" w:rsidP="00E9105A">
            <w:pPr>
              <w:jc w:val="right"/>
              <w:cnfStyle w:val="000000000000"/>
              <w:rPr>
                <w:rFonts w:cs="Calibri"/>
                <w:color w:val="000000"/>
              </w:rPr>
            </w:pPr>
            <w:r w:rsidRPr="007C2D51">
              <w:rPr>
                <w:rFonts w:cs="Calibri"/>
                <w:color w:val="000000"/>
              </w:rPr>
              <w:t>86%</w:t>
            </w:r>
          </w:p>
        </w:tc>
      </w:tr>
      <w:tr w:rsidR="0009209A" w:rsidRPr="007C2D51" w:rsidTr="00F15767">
        <w:trPr>
          <w:cnfStyle w:val="000000100000"/>
          <w:trHeight w:val="300"/>
        </w:trPr>
        <w:tc>
          <w:tcPr>
            <w:cnfStyle w:val="001000000000"/>
            <w:tcW w:w="0" w:type="auto"/>
            <w:tcBorders>
              <w:top w:val="none" w:sz="0" w:space="0" w:color="auto"/>
              <w:left w:val="none" w:sz="0" w:space="0" w:color="auto"/>
              <w:bottom w:val="none" w:sz="0" w:space="0" w:color="auto"/>
            </w:tcBorders>
            <w:noWrap/>
            <w:vAlign w:val="bottom"/>
          </w:tcPr>
          <w:p w:rsidR="0009209A" w:rsidRPr="007C2D51" w:rsidRDefault="0009209A" w:rsidP="00251EE7">
            <w:r w:rsidRPr="007C2D51">
              <w:t>Demand response</w:t>
            </w:r>
          </w:p>
        </w:tc>
        <w:tc>
          <w:tcPr>
            <w:tcW w:w="0" w:type="auto"/>
            <w:tcBorders>
              <w:top w:val="none" w:sz="0" w:space="0" w:color="auto"/>
              <w:bottom w:val="none" w:sz="0" w:space="0" w:color="auto"/>
            </w:tcBorders>
            <w:vAlign w:val="bottom"/>
          </w:tcPr>
          <w:p w:rsidR="0009209A" w:rsidRPr="007C2D51" w:rsidRDefault="0009209A" w:rsidP="00E9105A">
            <w:pPr>
              <w:jc w:val="right"/>
              <w:cnfStyle w:val="000000100000"/>
              <w:rPr>
                <w:rFonts w:cs="Calibri"/>
                <w:color w:val="000000"/>
              </w:rPr>
            </w:pPr>
            <w:r w:rsidRPr="007C2D51">
              <w:rPr>
                <w:rFonts w:cs="Calibri"/>
                <w:color w:val="000000"/>
              </w:rPr>
              <w:t>237</w:t>
            </w:r>
          </w:p>
        </w:tc>
        <w:tc>
          <w:tcPr>
            <w:tcW w:w="0" w:type="auto"/>
            <w:tcBorders>
              <w:top w:val="none" w:sz="0" w:space="0" w:color="auto"/>
              <w:bottom w:val="none" w:sz="0" w:space="0" w:color="auto"/>
            </w:tcBorders>
            <w:vAlign w:val="bottom"/>
          </w:tcPr>
          <w:p w:rsidR="0009209A" w:rsidRPr="007C2D51" w:rsidRDefault="0009209A" w:rsidP="00E9105A">
            <w:pPr>
              <w:jc w:val="right"/>
              <w:cnfStyle w:val="000000100000"/>
              <w:rPr>
                <w:rFonts w:cs="Calibri"/>
                <w:color w:val="000000"/>
              </w:rPr>
            </w:pPr>
            <w:r w:rsidRPr="007C2D51">
              <w:rPr>
                <w:rFonts w:cs="Calibri"/>
                <w:color w:val="000000"/>
              </w:rPr>
              <w:t xml:space="preserve">3,054,526 </w:t>
            </w:r>
          </w:p>
        </w:tc>
        <w:tc>
          <w:tcPr>
            <w:tcW w:w="1152" w:type="dxa"/>
            <w:tcBorders>
              <w:top w:val="none" w:sz="0" w:space="0" w:color="auto"/>
              <w:bottom w:val="none" w:sz="0" w:space="0" w:color="auto"/>
            </w:tcBorders>
            <w:noWrap/>
            <w:vAlign w:val="bottom"/>
          </w:tcPr>
          <w:p w:rsidR="0009209A" w:rsidRPr="007C2D51" w:rsidRDefault="0009209A" w:rsidP="00E9105A">
            <w:pPr>
              <w:jc w:val="right"/>
              <w:cnfStyle w:val="000000100000"/>
              <w:rPr>
                <w:rFonts w:cs="Calibri"/>
                <w:color w:val="000000"/>
              </w:rPr>
            </w:pPr>
            <w:r w:rsidRPr="007C2D51">
              <w:rPr>
                <w:rFonts w:cs="Calibri"/>
                <w:color w:val="000000"/>
              </w:rPr>
              <w:t>2%</w:t>
            </w:r>
          </w:p>
        </w:tc>
        <w:tc>
          <w:tcPr>
            <w:tcW w:w="1152" w:type="dxa"/>
            <w:tcBorders>
              <w:top w:val="none" w:sz="0" w:space="0" w:color="auto"/>
              <w:bottom w:val="none" w:sz="0" w:space="0" w:color="auto"/>
            </w:tcBorders>
            <w:noWrap/>
            <w:vAlign w:val="bottom"/>
          </w:tcPr>
          <w:p w:rsidR="0009209A" w:rsidRPr="007C2D51" w:rsidRDefault="0009209A" w:rsidP="00E9105A">
            <w:pPr>
              <w:jc w:val="right"/>
              <w:cnfStyle w:val="000000100000"/>
              <w:rPr>
                <w:rFonts w:cs="Calibri"/>
                <w:color w:val="000000"/>
              </w:rPr>
            </w:pPr>
            <w:r w:rsidRPr="007C2D51">
              <w:rPr>
                <w:rFonts w:cs="Calibri"/>
                <w:color w:val="000000"/>
              </w:rPr>
              <w:t>10%</w:t>
            </w:r>
          </w:p>
        </w:tc>
        <w:tc>
          <w:tcPr>
            <w:tcW w:w="1152" w:type="dxa"/>
            <w:tcBorders>
              <w:top w:val="none" w:sz="0" w:space="0" w:color="auto"/>
              <w:bottom w:val="none" w:sz="0" w:space="0" w:color="auto"/>
            </w:tcBorders>
            <w:noWrap/>
            <w:vAlign w:val="bottom"/>
          </w:tcPr>
          <w:p w:rsidR="0009209A" w:rsidRPr="007C2D51" w:rsidRDefault="0009209A" w:rsidP="00E9105A">
            <w:pPr>
              <w:jc w:val="right"/>
              <w:cnfStyle w:val="000000100000"/>
              <w:rPr>
                <w:rFonts w:cs="Calibri"/>
                <w:color w:val="000000"/>
              </w:rPr>
            </w:pPr>
            <w:r w:rsidRPr="007C2D51">
              <w:rPr>
                <w:rFonts w:cs="Calibri"/>
                <w:color w:val="000000"/>
              </w:rPr>
              <w:t>35%</w:t>
            </w:r>
          </w:p>
        </w:tc>
        <w:tc>
          <w:tcPr>
            <w:tcW w:w="0" w:type="auto"/>
            <w:tcBorders>
              <w:top w:val="none" w:sz="0" w:space="0" w:color="auto"/>
              <w:bottom w:val="none" w:sz="0" w:space="0" w:color="auto"/>
              <w:right w:val="none" w:sz="0" w:space="0" w:color="auto"/>
            </w:tcBorders>
            <w:noWrap/>
            <w:vAlign w:val="bottom"/>
          </w:tcPr>
          <w:p w:rsidR="0009209A" w:rsidRPr="007C2D51" w:rsidRDefault="0009209A" w:rsidP="00E9105A">
            <w:pPr>
              <w:jc w:val="right"/>
              <w:cnfStyle w:val="000000100000"/>
              <w:rPr>
                <w:rFonts w:cs="Calibri"/>
                <w:color w:val="000000"/>
              </w:rPr>
            </w:pPr>
            <w:r w:rsidRPr="007C2D51">
              <w:rPr>
                <w:rFonts w:cs="Calibri"/>
                <w:color w:val="000000"/>
              </w:rPr>
              <w:t>6%</w:t>
            </w:r>
          </w:p>
        </w:tc>
      </w:tr>
      <w:tr w:rsidR="0009209A" w:rsidRPr="007C2D51" w:rsidTr="00F15767">
        <w:trPr>
          <w:trHeight w:val="300"/>
        </w:trPr>
        <w:tc>
          <w:tcPr>
            <w:cnfStyle w:val="001000000000"/>
            <w:tcW w:w="0" w:type="auto"/>
            <w:noWrap/>
            <w:vAlign w:val="bottom"/>
          </w:tcPr>
          <w:p w:rsidR="0009209A" w:rsidRPr="007C2D51" w:rsidRDefault="0009209A" w:rsidP="00251EE7">
            <w:r w:rsidRPr="007C2D51">
              <w:t>Flexible routing</w:t>
            </w:r>
          </w:p>
        </w:tc>
        <w:tc>
          <w:tcPr>
            <w:tcW w:w="0" w:type="auto"/>
            <w:vAlign w:val="bottom"/>
          </w:tcPr>
          <w:p w:rsidR="0009209A" w:rsidRPr="007C2D51" w:rsidRDefault="0009209A" w:rsidP="00E9105A">
            <w:pPr>
              <w:jc w:val="right"/>
              <w:cnfStyle w:val="000000000000"/>
              <w:rPr>
                <w:rFonts w:cs="Calibri"/>
                <w:color w:val="000000"/>
              </w:rPr>
            </w:pPr>
            <w:r w:rsidRPr="007C2D51">
              <w:rPr>
                <w:rFonts w:cs="Calibri"/>
                <w:color w:val="000000"/>
              </w:rPr>
              <w:t>61</w:t>
            </w:r>
          </w:p>
        </w:tc>
        <w:tc>
          <w:tcPr>
            <w:tcW w:w="0" w:type="auto"/>
            <w:vAlign w:val="bottom"/>
          </w:tcPr>
          <w:p w:rsidR="0009209A" w:rsidRPr="007C2D51" w:rsidRDefault="0009209A" w:rsidP="00E9105A">
            <w:pPr>
              <w:jc w:val="right"/>
              <w:cnfStyle w:val="000000000000"/>
              <w:rPr>
                <w:rFonts w:cs="Calibri"/>
                <w:color w:val="000000"/>
              </w:rPr>
            </w:pPr>
            <w:r w:rsidRPr="007C2D51">
              <w:rPr>
                <w:rFonts w:cs="Calibri"/>
                <w:color w:val="000000"/>
              </w:rPr>
              <w:t xml:space="preserve">1,431,176 </w:t>
            </w:r>
          </w:p>
        </w:tc>
        <w:tc>
          <w:tcPr>
            <w:tcW w:w="1152" w:type="dxa"/>
            <w:noWrap/>
            <w:vAlign w:val="bottom"/>
          </w:tcPr>
          <w:p w:rsidR="0009209A" w:rsidRPr="007C2D51" w:rsidRDefault="0009209A" w:rsidP="00E9105A">
            <w:pPr>
              <w:jc w:val="right"/>
              <w:cnfStyle w:val="000000000000"/>
              <w:rPr>
                <w:rFonts w:cs="Calibri"/>
                <w:color w:val="000000"/>
              </w:rPr>
            </w:pPr>
            <w:r w:rsidRPr="007C2D51">
              <w:rPr>
                <w:rFonts w:cs="Calibri"/>
                <w:color w:val="000000"/>
              </w:rPr>
              <w:t>1%</w:t>
            </w:r>
          </w:p>
        </w:tc>
        <w:tc>
          <w:tcPr>
            <w:tcW w:w="1152" w:type="dxa"/>
            <w:noWrap/>
            <w:vAlign w:val="bottom"/>
          </w:tcPr>
          <w:p w:rsidR="0009209A" w:rsidRPr="007C2D51" w:rsidRDefault="0009209A" w:rsidP="00E9105A">
            <w:pPr>
              <w:jc w:val="right"/>
              <w:cnfStyle w:val="000000000000"/>
              <w:rPr>
                <w:rFonts w:cs="Calibri"/>
                <w:color w:val="000000"/>
              </w:rPr>
            </w:pPr>
            <w:r w:rsidRPr="007C2D51">
              <w:rPr>
                <w:rFonts w:cs="Calibri"/>
                <w:color w:val="000000"/>
              </w:rPr>
              <w:t>12%</w:t>
            </w:r>
          </w:p>
        </w:tc>
        <w:tc>
          <w:tcPr>
            <w:tcW w:w="1152" w:type="dxa"/>
            <w:noWrap/>
            <w:vAlign w:val="bottom"/>
          </w:tcPr>
          <w:p w:rsidR="0009209A" w:rsidRPr="007C2D51" w:rsidRDefault="0009209A" w:rsidP="00E9105A">
            <w:pPr>
              <w:jc w:val="right"/>
              <w:cnfStyle w:val="000000000000"/>
              <w:rPr>
                <w:rFonts w:cs="Calibri"/>
                <w:color w:val="000000"/>
              </w:rPr>
            </w:pPr>
            <w:r w:rsidRPr="007C2D51">
              <w:rPr>
                <w:rFonts w:cs="Calibri"/>
                <w:color w:val="000000"/>
              </w:rPr>
              <w:t>7%</w:t>
            </w:r>
          </w:p>
        </w:tc>
        <w:tc>
          <w:tcPr>
            <w:tcW w:w="0" w:type="auto"/>
            <w:noWrap/>
            <w:vAlign w:val="bottom"/>
          </w:tcPr>
          <w:p w:rsidR="0009209A" w:rsidRPr="007C2D51" w:rsidRDefault="0009209A" w:rsidP="00E9105A">
            <w:pPr>
              <w:jc w:val="right"/>
              <w:cnfStyle w:val="000000000000"/>
              <w:rPr>
                <w:rFonts w:cs="Calibri"/>
                <w:color w:val="000000"/>
              </w:rPr>
            </w:pPr>
            <w:r w:rsidRPr="007C2D51">
              <w:rPr>
                <w:rFonts w:cs="Calibri"/>
                <w:color w:val="000000"/>
              </w:rPr>
              <w:t>3%</w:t>
            </w:r>
          </w:p>
        </w:tc>
      </w:tr>
      <w:tr w:rsidR="0009209A" w:rsidRPr="007C2D51" w:rsidTr="00F15767">
        <w:trPr>
          <w:cnfStyle w:val="000000100000"/>
          <w:trHeight w:val="300"/>
        </w:trPr>
        <w:tc>
          <w:tcPr>
            <w:cnfStyle w:val="001000000000"/>
            <w:tcW w:w="0" w:type="auto"/>
            <w:tcBorders>
              <w:top w:val="none" w:sz="0" w:space="0" w:color="auto"/>
              <w:left w:val="none" w:sz="0" w:space="0" w:color="auto"/>
              <w:bottom w:val="none" w:sz="0" w:space="0" w:color="auto"/>
            </w:tcBorders>
            <w:noWrap/>
            <w:vAlign w:val="bottom"/>
          </w:tcPr>
          <w:p w:rsidR="0009209A" w:rsidRPr="007C2D51" w:rsidRDefault="0009209A" w:rsidP="00251EE7">
            <w:r w:rsidRPr="007C2D51">
              <w:t>Shuttle/Feeder</w:t>
            </w:r>
          </w:p>
        </w:tc>
        <w:tc>
          <w:tcPr>
            <w:tcW w:w="0" w:type="auto"/>
            <w:tcBorders>
              <w:top w:val="none" w:sz="0" w:space="0" w:color="auto"/>
              <w:bottom w:val="none" w:sz="0" w:space="0" w:color="auto"/>
            </w:tcBorders>
            <w:vAlign w:val="bottom"/>
          </w:tcPr>
          <w:p w:rsidR="0009209A" w:rsidRPr="007C2D51" w:rsidRDefault="0009209A" w:rsidP="00E9105A">
            <w:pPr>
              <w:jc w:val="right"/>
              <w:cnfStyle w:val="000000100000"/>
              <w:rPr>
                <w:rFonts w:cs="Calibri"/>
                <w:color w:val="000000"/>
              </w:rPr>
            </w:pPr>
            <w:r w:rsidRPr="007C2D51">
              <w:rPr>
                <w:rFonts w:cs="Calibri"/>
                <w:color w:val="000000"/>
              </w:rPr>
              <w:t>52</w:t>
            </w:r>
          </w:p>
        </w:tc>
        <w:tc>
          <w:tcPr>
            <w:tcW w:w="0" w:type="auto"/>
            <w:tcBorders>
              <w:top w:val="none" w:sz="0" w:space="0" w:color="auto"/>
              <w:bottom w:val="none" w:sz="0" w:space="0" w:color="auto"/>
            </w:tcBorders>
            <w:vAlign w:val="bottom"/>
          </w:tcPr>
          <w:p w:rsidR="0009209A" w:rsidRPr="007C2D51" w:rsidRDefault="0009209A" w:rsidP="00E9105A">
            <w:pPr>
              <w:jc w:val="right"/>
              <w:cnfStyle w:val="000000100000"/>
              <w:rPr>
                <w:rFonts w:cs="Calibri"/>
                <w:color w:val="000000"/>
              </w:rPr>
            </w:pPr>
            <w:r w:rsidRPr="007C2D51">
              <w:rPr>
                <w:rFonts w:cs="Calibri"/>
                <w:color w:val="000000"/>
              </w:rPr>
              <w:t xml:space="preserve">1,229,871 </w:t>
            </w:r>
          </w:p>
        </w:tc>
        <w:tc>
          <w:tcPr>
            <w:tcW w:w="1152" w:type="dxa"/>
            <w:tcBorders>
              <w:top w:val="none" w:sz="0" w:space="0" w:color="auto"/>
              <w:bottom w:val="none" w:sz="0" w:space="0" w:color="auto"/>
            </w:tcBorders>
            <w:noWrap/>
            <w:vAlign w:val="bottom"/>
          </w:tcPr>
          <w:p w:rsidR="0009209A" w:rsidRPr="007C2D51" w:rsidRDefault="0009209A" w:rsidP="00E9105A">
            <w:pPr>
              <w:jc w:val="right"/>
              <w:cnfStyle w:val="000000100000"/>
              <w:rPr>
                <w:rFonts w:cs="Calibri"/>
                <w:color w:val="000000"/>
              </w:rPr>
            </w:pPr>
            <w:r w:rsidRPr="007C2D51">
              <w:rPr>
                <w:rFonts w:cs="Calibri"/>
                <w:color w:val="000000"/>
              </w:rPr>
              <w:t>2%</w:t>
            </w:r>
          </w:p>
        </w:tc>
        <w:tc>
          <w:tcPr>
            <w:tcW w:w="1152" w:type="dxa"/>
            <w:tcBorders>
              <w:top w:val="none" w:sz="0" w:space="0" w:color="auto"/>
              <w:bottom w:val="none" w:sz="0" w:space="0" w:color="auto"/>
            </w:tcBorders>
            <w:noWrap/>
            <w:vAlign w:val="bottom"/>
          </w:tcPr>
          <w:p w:rsidR="0009209A" w:rsidRPr="007C2D51" w:rsidRDefault="0009209A" w:rsidP="00E9105A">
            <w:pPr>
              <w:jc w:val="right"/>
              <w:cnfStyle w:val="000000100000"/>
              <w:rPr>
                <w:rFonts w:cs="Calibri"/>
                <w:color w:val="000000"/>
              </w:rPr>
            </w:pPr>
            <w:r w:rsidRPr="007C2D51">
              <w:rPr>
                <w:rFonts w:cs="Calibri"/>
                <w:color w:val="000000"/>
              </w:rPr>
              <w:t>3%</w:t>
            </w:r>
          </w:p>
        </w:tc>
        <w:tc>
          <w:tcPr>
            <w:tcW w:w="1152" w:type="dxa"/>
            <w:tcBorders>
              <w:top w:val="none" w:sz="0" w:space="0" w:color="auto"/>
              <w:bottom w:val="none" w:sz="0" w:space="0" w:color="auto"/>
            </w:tcBorders>
            <w:noWrap/>
            <w:vAlign w:val="bottom"/>
          </w:tcPr>
          <w:p w:rsidR="0009209A" w:rsidRPr="007C2D51" w:rsidRDefault="0009209A" w:rsidP="00E9105A">
            <w:pPr>
              <w:jc w:val="right"/>
              <w:cnfStyle w:val="000000100000"/>
              <w:rPr>
                <w:rFonts w:cs="Calibri"/>
                <w:color w:val="000000"/>
              </w:rPr>
            </w:pPr>
            <w:r w:rsidRPr="007C2D51">
              <w:rPr>
                <w:rFonts w:cs="Calibri"/>
                <w:color w:val="000000"/>
              </w:rPr>
              <w:t>7%</w:t>
            </w:r>
          </w:p>
        </w:tc>
        <w:tc>
          <w:tcPr>
            <w:tcW w:w="0" w:type="auto"/>
            <w:tcBorders>
              <w:top w:val="none" w:sz="0" w:space="0" w:color="auto"/>
              <w:bottom w:val="none" w:sz="0" w:space="0" w:color="auto"/>
              <w:right w:val="none" w:sz="0" w:space="0" w:color="auto"/>
            </w:tcBorders>
            <w:noWrap/>
            <w:vAlign w:val="bottom"/>
          </w:tcPr>
          <w:p w:rsidR="0009209A" w:rsidRPr="007C2D51" w:rsidRDefault="0009209A" w:rsidP="00E9105A">
            <w:pPr>
              <w:jc w:val="right"/>
              <w:cnfStyle w:val="000000100000"/>
              <w:rPr>
                <w:rFonts w:cs="Calibri"/>
                <w:color w:val="000000"/>
              </w:rPr>
            </w:pPr>
            <w:r w:rsidRPr="007C2D51">
              <w:rPr>
                <w:rFonts w:cs="Calibri"/>
                <w:color w:val="000000"/>
              </w:rPr>
              <w:t>2%</w:t>
            </w:r>
          </w:p>
        </w:tc>
      </w:tr>
      <w:tr w:rsidR="0009209A" w:rsidRPr="007C2D51" w:rsidTr="00F15767">
        <w:trPr>
          <w:trHeight w:val="300"/>
        </w:trPr>
        <w:tc>
          <w:tcPr>
            <w:cnfStyle w:val="001000000000"/>
            <w:tcW w:w="0" w:type="auto"/>
            <w:noWrap/>
            <w:vAlign w:val="bottom"/>
          </w:tcPr>
          <w:p w:rsidR="0009209A" w:rsidRPr="007C2D51" w:rsidRDefault="0009209A" w:rsidP="00251EE7">
            <w:r w:rsidRPr="007C2D51">
              <w:t>Vanpool service</w:t>
            </w:r>
          </w:p>
        </w:tc>
        <w:tc>
          <w:tcPr>
            <w:tcW w:w="0" w:type="auto"/>
            <w:vAlign w:val="bottom"/>
          </w:tcPr>
          <w:p w:rsidR="0009209A" w:rsidRPr="007C2D51" w:rsidRDefault="0009209A" w:rsidP="00E9105A">
            <w:pPr>
              <w:jc w:val="right"/>
              <w:cnfStyle w:val="000000000000"/>
              <w:rPr>
                <w:rFonts w:cs="Calibri"/>
                <w:color w:val="000000"/>
              </w:rPr>
            </w:pPr>
            <w:r w:rsidRPr="007C2D51">
              <w:rPr>
                <w:rFonts w:cs="Calibri"/>
                <w:color w:val="000000"/>
              </w:rPr>
              <w:t>28</w:t>
            </w:r>
          </w:p>
        </w:tc>
        <w:tc>
          <w:tcPr>
            <w:tcW w:w="0" w:type="auto"/>
            <w:vAlign w:val="bottom"/>
          </w:tcPr>
          <w:p w:rsidR="0009209A" w:rsidRPr="007C2D51" w:rsidRDefault="0009209A" w:rsidP="00E9105A">
            <w:pPr>
              <w:jc w:val="right"/>
              <w:cnfStyle w:val="000000000000"/>
              <w:rPr>
                <w:rFonts w:cs="Calibri"/>
                <w:color w:val="000000"/>
              </w:rPr>
            </w:pPr>
            <w:r w:rsidRPr="007C2D51">
              <w:rPr>
                <w:rFonts w:cs="Calibri"/>
                <w:color w:val="000000"/>
              </w:rPr>
              <w:t xml:space="preserve"> 870,453 </w:t>
            </w:r>
          </w:p>
        </w:tc>
        <w:tc>
          <w:tcPr>
            <w:tcW w:w="1152" w:type="dxa"/>
            <w:noWrap/>
            <w:vAlign w:val="bottom"/>
          </w:tcPr>
          <w:p w:rsidR="0009209A" w:rsidRPr="007C2D51" w:rsidRDefault="0009209A" w:rsidP="00E9105A">
            <w:pPr>
              <w:jc w:val="right"/>
              <w:cnfStyle w:val="000000000000"/>
              <w:rPr>
                <w:rFonts w:cs="Calibri"/>
                <w:color w:val="000000"/>
              </w:rPr>
            </w:pPr>
            <w:r w:rsidRPr="007C2D51">
              <w:rPr>
                <w:rFonts w:cs="Calibri"/>
                <w:color w:val="000000"/>
              </w:rPr>
              <w:t>2%</w:t>
            </w:r>
          </w:p>
        </w:tc>
        <w:tc>
          <w:tcPr>
            <w:tcW w:w="1152" w:type="dxa"/>
            <w:noWrap/>
            <w:vAlign w:val="bottom"/>
          </w:tcPr>
          <w:p w:rsidR="0009209A" w:rsidRPr="007C2D51" w:rsidRDefault="0009209A" w:rsidP="00E9105A">
            <w:pPr>
              <w:jc w:val="right"/>
              <w:cnfStyle w:val="000000000000"/>
              <w:rPr>
                <w:rFonts w:cs="Calibri"/>
                <w:color w:val="000000"/>
              </w:rPr>
            </w:pPr>
            <w:r w:rsidRPr="007C2D51">
              <w:rPr>
                <w:rFonts w:cs="Calibri"/>
                <w:color w:val="000000"/>
              </w:rPr>
              <w:t>0%</w:t>
            </w:r>
          </w:p>
        </w:tc>
        <w:tc>
          <w:tcPr>
            <w:tcW w:w="1152" w:type="dxa"/>
            <w:noWrap/>
            <w:vAlign w:val="bottom"/>
          </w:tcPr>
          <w:p w:rsidR="0009209A" w:rsidRPr="007C2D51" w:rsidRDefault="0009209A" w:rsidP="00E9105A">
            <w:pPr>
              <w:jc w:val="right"/>
              <w:cnfStyle w:val="000000000000"/>
              <w:rPr>
                <w:rFonts w:cs="Calibri"/>
                <w:color w:val="000000"/>
              </w:rPr>
            </w:pPr>
            <w:r w:rsidRPr="007C2D51">
              <w:rPr>
                <w:rFonts w:cs="Calibri"/>
                <w:color w:val="000000"/>
              </w:rPr>
              <w:t>2%</w:t>
            </w:r>
          </w:p>
        </w:tc>
        <w:tc>
          <w:tcPr>
            <w:tcW w:w="0" w:type="auto"/>
            <w:noWrap/>
            <w:vAlign w:val="bottom"/>
          </w:tcPr>
          <w:p w:rsidR="0009209A" w:rsidRPr="007C2D51" w:rsidRDefault="0009209A" w:rsidP="00E9105A">
            <w:pPr>
              <w:jc w:val="right"/>
              <w:cnfStyle w:val="000000000000"/>
              <w:rPr>
                <w:rFonts w:cs="Calibri"/>
                <w:color w:val="000000"/>
              </w:rPr>
            </w:pPr>
            <w:r w:rsidRPr="007C2D51">
              <w:rPr>
                <w:rFonts w:cs="Calibri"/>
                <w:color w:val="000000"/>
              </w:rPr>
              <w:t>2%</w:t>
            </w:r>
          </w:p>
        </w:tc>
      </w:tr>
      <w:tr w:rsidR="0009209A" w:rsidRPr="007C2D51" w:rsidTr="00F15767">
        <w:trPr>
          <w:cnfStyle w:val="000000100000"/>
          <w:trHeight w:val="300"/>
        </w:trPr>
        <w:tc>
          <w:tcPr>
            <w:cnfStyle w:val="001000000000"/>
            <w:tcW w:w="0" w:type="auto"/>
            <w:tcBorders>
              <w:top w:val="none" w:sz="0" w:space="0" w:color="auto"/>
              <w:left w:val="none" w:sz="0" w:space="0" w:color="auto"/>
              <w:bottom w:val="none" w:sz="0" w:space="0" w:color="auto"/>
            </w:tcBorders>
            <w:noWrap/>
            <w:vAlign w:val="bottom"/>
          </w:tcPr>
          <w:p w:rsidR="0009209A" w:rsidRPr="007C2D51" w:rsidRDefault="0009209A" w:rsidP="00251EE7">
            <w:r w:rsidRPr="007C2D51">
              <w:t>User-side subsidy</w:t>
            </w:r>
          </w:p>
        </w:tc>
        <w:tc>
          <w:tcPr>
            <w:tcW w:w="0" w:type="auto"/>
            <w:tcBorders>
              <w:top w:val="none" w:sz="0" w:space="0" w:color="auto"/>
              <w:bottom w:val="none" w:sz="0" w:space="0" w:color="auto"/>
            </w:tcBorders>
            <w:vAlign w:val="bottom"/>
          </w:tcPr>
          <w:p w:rsidR="0009209A" w:rsidRPr="007C2D51" w:rsidRDefault="0009209A" w:rsidP="00E9105A">
            <w:pPr>
              <w:jc w:val="right"/>
              <w:cnfStyle w:val="000000100000"/>
              <w:rPr>
                <w:rFonts w:cs="Calibri"/>
                <w:color w:val="000000"/>
              </w:rPr>
            </w:pPr>
            <w:r w:rsidRPr="007C2D51">
              <w:rPr>
                <w:rFonts w:cs="Calibri"/>
                <w:color w:val="000000"/>
              </w:rPr>
              <w:t>38</w:t>
            </w:r>
          </w:p>
        </w:tc>
        <w:tc>
          <w:tcPr>
            <w:tcW w:w="0" w:type="auto"/>
            <w:tcBorders>
              <w:top w:val="none" w:sz="0" w:space="0" w:color="auto"/>
              <w:bottom w:val="none" w:sz="0" w:space="0" w:color="auto"/>
            </w:tcBorders>
            <w:vAlign w:val="bottom"/>
          </w:tcPr>
          <w:p w:rsidR="0009209A" w:rsidRPr="007C2D51" w:rsidRDefault="0009209A" w:rsidP="00E9105A">
            <w:pPr>
              <w:jc w:val="right"/>
              <w:cnfStyle w:val="000000100000"/>
              <w:rPr>
                <w:rFonts w:cs="Calibri"/>
                <w:color w:val="000000"/>
              </w:rPr>
            </w:pPr>
            <w:r w:rsidRPr="007C2D51">
              <w:rPr>
                <w:rFonts w:cs="Calibri"/>
                <w:color w:val="000000"/>
              </w:rPr>
              <w:t xml:space="preserve">572,997 </w:t>
            </w:r>
          </w:p>
        </w:tc>
        <w:tc>
          <w:tcPr>
            <w:tcW w:w="1152" w:type="dxa"/>
            <w:tcBorders>
              <w:top w:val="none" w:sz="0" w:space="0" w:color="auto"/>
              <w:bottom w:val="none" w:sz="0" w:space="0" w:color="auto"/>
            </w:tcBorders>
            <w:noWrap/>
            <w:vAlign w:val="bottom"/>
          </w:tcPr>
          <w:p w:rsidR="0009209A" w:rsidRPr="007C2D51" w:rsidRDefault="0009209A" w:rsidP="00E9105A">
            <w:pPr>
              <w:jc w:val="right"/>
              <w:cnfStyle w:val="000000100000"/>
              <w:rPr>
                <w:rFonts w:cs="Calibri"/>
                <w:color w:val="000000"/>
              </w:rPr>
            </w:pPr>
            <w:r w:rsidRPr="007C2D51">
              <w:rPr>
                <w:rFonts w:cs="Calibri"/>
                <w:color w:val="000000"/>
              </w:rPr>
              <w:t>1%</w:t>
            </w:r>
          </w:p>
        </w:tc>
        <w:tc>
          <w:tcPr>
            <w:tcW w:w="1152" w:type="dxa"/>
            <w:tcBorders>
              <w:top w:val="none" w:sz="0" w:space="0" w:color="auto"/>
              <w:bottom w:val="none" w:sz="0" w:space="0" w:color="auto"/>
            </w:tcBorders>
            <w:noWrap/>
            <w:vAlign w:val="bottom"/>
          </w:tcPr>
          <w:p w:rsidR="0009209A" w:rsidRPr="007C2D51" w:rsidRDefault="0009209A" w:rsidP="00E9105A">
            <w:pPr>
              <w:jc w:val="right"/>
              <w:cnfStyle w:val="000000100000"/>
              <w:rPr>
                <w:rFonts w:cs="Calibri"/>
                <w:color w:val="000000"/>
              </w:rPr>
            </w:pPr>
            <w:r w:rsidRPr="007C2D51">
              <w:rPr>
                <w:rFonts w:cs="Calibri"/>
                <w:color w:val="000000"/>
              </w:rPr>
              <w:t>1%</w:t>
            </w:r>
          </w:p>
        </w:tc>
        <w:tc>
          <w:tcPr>
            <w:tcW w:w="1152" w:type="dxa"/>
            <w:tcBorders>
              <w:top w:val="none" w:sz="0" w:space="0" w:color="auto"/>
              <w:bottom w:val="none" w:sz="0" w:space="0" w:color="auto"/>
            </w:tcBorders>
            <w:noWrap/>
            <w:vAlign w:val="bottom"/>
          </w:tcPr>
          <w:p w:rsidR="0009209A" w:rsidRPr="007C2D51" w:rsidRDefault="0009209A" w:rsidP="00E9105A">
            <w:pPr>
              <w:jc w:val="right"/>
              <w:cnfStyle w:val="000000100000"/>
              <w:rPr>
                <w:rFonts w:cs="Calibri"/>
                <w:color w:val="000000"/>
              </w:rPr>
            </w:pPr>
            <w:r w:rsidRPr="007C2D51">
              <w:rPr>
                <w:rFonts w:cs="Calibri"/>
                <w:color w:val="000000"/>
              </w:rPr>
              <w:t>1%</w:t>
            </w:r>
          </w:p>
        </w:tc>
        <w:tc>
          <w:tcPr>
            <w:tcW w:w="0" w:type="auto"/>
            <w:tcBorders>
              <w:top w:val="none" w:sz="0" w:space="0" w:color="auto"/>
              <w:bottom w:val="none" w:sz="0" w:space="0" w:color="auto"/>
              <w:right w:val="none" w:sz="0" w:space="0" w:color="auto"/>
            </w:tcBorders>
            <w:noWrap/>
            <w:vAlign w:val="bottom"/>
          </w:tcPr>
          <w:p w:rsidR="0009209A" w:rsidRPr="007C2D51" w:rsidRDefault="0009209A" w:rsidP="00E9105A">
            <w:pPr>
              <w:jc w:val="right"/>
              <w:cnfStyle w:val="000000100000"/>
              <w:rPr>
                <w:rFonts w:cs="Calibri"/>
                <w:color w:val="000000"/>
              </w:rPr>
            </w:pPr>
            <w:r w:rsidRPr="007C2D51">
              <w:rPr>
                <w:rFonts w:cs="Calibri"/>
                <w:color w:val="000000"/>
              </w:rPr>
              <w:t>1%</w:t>
            </w:r>
          </w:p>
        </w:tc>
      </w:tr>
      <w:tr w:rsidR="0009209A" w:rsidRPr="007C2D51" w:rsidTr="00F15767">
        <w:trPr>
          <w:trHeight w:val="300"/>
        </w:trPr>
        <w:tc>
          <w:tcPr>
            <w:cnfStyle w:val="001000000000"/>
            <w:tcW w:w="0" w:type="auto"/>
            <w:shd w:val="clear" w:color="auto" w:fill="475A8D" w:themeFill="accent6"/>
            <w:noWrap/>
            <w:vAlign w:val="bottom"/>
          </w:tcPr>
          <w:p w:rsidR="0009209A" w:rsidRPr="007C2D51" w:rsidRDefault="0009209A" w:rsidP="00251EE7">
            <w:pPr>
              <w:rPr>
                <w:color w:val="FFFFFF" w:themeColor="background1"/>
              </w:rPr>
            </w:pPr>
            <w:r w:rsidRPr="007C2D51">
              <w:rPr>
                <w:color w:val="FFFFFF" w:themeColor="background1"/>
              </w:rPr>
              <w:t>Information-Based Services</w:t>
            </w:r>
          </w:p>
        </w:tc>
        <w:tc>
          <w:tcPr>
            <w:tcW w:w="0" w:type="auto"/>
            <w:shd w:val="clear" w:color="auto" w:fill="475A8D" w:themeFill="accent6"/>
            <w:vAlign w:val="bottom"/>
          </w:tcPr>
          <w:p w:rsidR="0009209A" w:rsidRPr="007C2D51" w:rsidRDefault="0009209A" w:rsidP="00E9105A">
            <w:pPr>
              <w:jc w:val="right"/>
              <w:cnfStyle w:val="000000000000"/>
              <w:rPr>
                <w:rFonts w:cs="Calibri"/>
                <w:b/>
                <w:bCs/>
                <w:color w:val="FFFFFF" w:themeColor="background1"/>
              </w:rPr>
            </w:pPr>
            <w:r w:rsidRPr="007C2D51">
              <w:rPr>
                <w:rFonts w:cs="Calibri"/>
                <w:b/>
                <w:bCs/>
                <w:color w:val="FFFFFF" w:themeColor="background1"/>
              </w:rPr>
              <w:t>120</w:t>
            </w:r>
          </w:p>
        </w:tc>
        <w:tc>
          <w:tcPr>
            <w:tcW w:w="0" w:type="auto"/>
            <w:shd w:val="clear" w:color="auto" w:fill="475A8D" w:themeFill="accent6"/>
            <w:vAlign w:val="bottom"/>
          </w:tcPr>
          <w:p w:rsidR="0009209A" w:rsidRPr="007C2D51" w:rsidRDefault="0009209A" w:rsidP="00E9105A">
            <w:pPr>
              <w:jc w:val="right"/>
              <w:cnfStyle w:val="000000000000"/>
              <w:rPr>
                <w:rFonts w:cs="Calibri"/>
                <w:b/>
                <w:color w:val="FFFFFF" w:themeColor="background1"/>
              </w:rPr>
            </w:pPr>
            <w:r w:rsidRPr="007C2D51">
              <w:rPr>
                <w:rFonts w:cs="Calibri"/>
                <w:b/>
                <w:color w:val="FFFFFF" w:themeColor="background1"/>
              </w:rPr>
              <w:t xml:space="preserve">375,254 </w:t>
            </w:r>
          </w:p>
        </w:tc>
        <w:tc>
          <w:tcPr>
            <w:tcW w:w="1152" w:type="dxa"/>
            <w:shd w:val="clear" w:color="auto" w:fill="475A8D" w:themeFill="accent6"/>
            <w:noWrap/>
            <w:vAlign w:val="bottom"/>
          </w:tcPr>
          <w:p w:rsidR="0009209A" w:rsidRPr="007C2D51" w:rsidRDefault="0009209A" w:rsidP="00E9105A">
            <w:pPr>
              <w:jc w:val="right"/>
              <w:cnfStyle w:val="000000000000"/>
              <w:rPr>
                <w:rFonts w:cs="Calibri"/>
                <w:b/>
                <w:bCs/>
                <w:color w:val="FFFFFF" w:themeColor="background1"/>
              </w:rPr>
            </w:pPr>
            <w:r w:rsidRPr="007C2D51">
              <w:rPr>
                <w:rFonts w:cs="Calibri"/>
                <w:b/>
                <w:bCs/>
                <w:color w:val="FFFFFF" w:themeColor="background1"/>
              </w:rPr>
              <w:t>1%</w:t>
            </w:r>
          </w:p>
        </w:tc>
        <w:tc>
          <w:tcPr>
            <w:tcW w:w="1152" w:type="dxa"/>
            <w:shd w:val="clear" w:color="auto" w:fill="475A8D" w:themeFill="accent6"/>
            <w:noWrap/>
            <w:vAlign w:val="bottom"/>
          </w:tcPr>
          <w:p w:rsidR="0009209A" w:rsidRPr="007C2D51" w:rsidRDefault="0009209A" w:rsidP="00E9105A">
            <w:pPr>
              <w:jc w:val="right"/>
              <w:cnfStyle w:val="000000000000"/>
              <w:rPr>
                <w:rFonts w:cs="Calibri"/>
                <w:b/>
                <w:bCs/>
                <w:color w:val="FFFFFF" w:themeColor="background1"/>
              </w:rPr>
            </w:pPr>
            <w:r w:rsidRPr="007C2D51">
              <w:rPr>
                <w:rFonts w:cs="Calibri"/>
                <w:b/>
                <w:bCs/>
                <w:color w:val="FFFFFF" w:themeColor="background1"/>
              </w:rPr>
              <w:t>0%</w:t>
            </w:r>
          </w:p>
        </w:tc>
        <w:tc>
          <w:tcPr>
            <w:tcW w:w="1152" w:type="dxa"/>
            <w:shd w:val="clear" w:color="auto" w:fill="475A8D" w:themeFill="accent6"/>
            <w:noWrap/>
            <w:vAlign w:val="bottom"/>
          </w:tcPr>
          <w:p w:rsidR="0009209A" w:rsidRPr="007C2D51" w:rsidRDefault="0009209A" w:rsidP="00E9105A">
            <w:pPr>
              <w:jc w:val="right"/>
              <w:cnfStyle w:val="000000000000"/>
              <w:rPr>
                <w:rFonts w:cs="Calibri"/>
                <w:b/>
                <w:bCs/>
                <w:color w:val="FFFFFF" w:themeColor="background1"/>
              </w:rPr>
            </w:pPr>
            <w:r w:rsidRPr="007C2D51">
              <w:rPr>
                <w:rFonts w:cs="Calibri"/>
                <w:b/>
                <w:bCs/>
                <w:color w:val="FFFFFF" w:themeColor="background1"/>
              </w:rPr>
              <w:t>4%</w:t>
            </w:r>
          </w:p>
        </w:tc>
        <w:tc>
          <w:tcPr>
            <w:tcW w:w="0" w:type="auto"/>
            <w:shd w:val="clear" w:color="auto" w:fill="475A8D" w:themeFill="accent6"/>
            <w:noWrap/>
            <w:vAlign w:val="bottom"/>
          </w:tcPr>
          <w:p w:rsidR="0009209A" w:rsidRPr="007C2D51" w:rsidRDefault="0009209A" w:rsidP="00E9105A">
            <w:pPr>
              <w:jc w:val="right"/>
              <w:cnfStyle w:val="000000000000"/>
              <w:rPr>
                <w:rFonts w:cs="Calibri"/>
                <w:b/>
                <w:bCs/>
                <w:color w:val="FFFFFF" w:themeColor="background1"/>
              </w:rPr>
            </w:pPr>
            <w:r w:rsidRPr="007C2D51">
              <w:rPr>
                <w:rFonts w:cs="Calibri"/>
                <w:b/>
                <w:bCs/>
                <w:color w:val="FFFFFF" w:themeColor="background1"/>
              </w:rPr>
              <w:t>1%</w:t>
            </w:r>
          </w:p>
        </w:tc>
      </w:tr>
      <w:tr w:rsidR="0009209A" w:rsidRPr="007C2D51" w:rsidTr="00F15767">
        <w:trPr>
          <w:cnfStyle w:val="000000100000"/>
          <w:trHeight w:val="300"/>
        </w:trPr>
        <w:tc>
          <w:tcPr>
            <w:cnfStyle w:val="001000000000"/>
            <w:tcW w:w="0" w:type="auto"/>
            <w:tcBorders>
              <w:top w:val="none" w:sz="0" w:space="0" w:color="auto"/>
              <w:left w:val="none" w:sz="0" w:space="0" w:color="auto"/>
              <w:bottom w:val="none" w:sz="0" w:space="0" w:color="auto"/>
            </w:tcBorders>
            <w:shd w:val="clear" w:color="auto" w:fill="auto"/>
            <w:noWrap/>
            <w:vAlign w:val="bottom"/>
          </w:tcPr>
          <w:p w:rsidR="0009209A" w:rsidRPr="007C2D51" w:rsidRDefault="0009209A" w:rsidP="00251EE7">
            <w:r w:rsidRPr="007C2D51">
              <w:t>Mobility manager</w:t>
            </w:r>
          </w:p>
        </w:tc>
        <w:tc>
          <w:tcPr>
            <w:tcW w:w="0" w:type="auto"/>
            <w:tcBorders>
              <w:top w:val="none" w:sz="0" w:space="0" w:color="auto"/>
              <w:bottom w:val="none" w:sz="0" w:space="0" w:color="auto"/>
            </w:tcBorders>
            <w:shd w:val="clear" w:color="auto" w:fill="auto"/>
            <w:vAlign w:val="bottom"/>
          </w:tcPr>
          <w:p w:rsidR="0009209A" w:rsidRPr="007C2D51" w:rsidRDefault="0009209A" w:rsidP="00E9105A">
            <w:pPr>
              <w:jc w:val="right"/>
              <w:cnfStyle w:val="000000100000"/>
              <w:rPr>
                <w:rFonts w:cs="Calibri"/>
                <w:color w:val="000000"/>
              </w:rPr>
            </w:pPr>
            <w:r w:rsidRPr="007C2D51">
              <w:rPr>
                <w:rFonts w:cs="Calibri"/>
                <w:color w:val="000000"/>
              </w:rPr>
              <w:t>65</w:t>
            </w:r>
          </w:p>
        </w:tc>
        <w:tc>
          <w:tcPr>
            <w:tcW w:w="0" w:type="auto"/>
            <w:tcBorders>
              <w:top w:val="none" w:sz="0" w:space="0" w:color="auto"/>
              <w:bottom w:val="none" w:sz="0" w:space="0" w:color="auto"/>
            </w:tcBorders>
            <w:shd w:val="clear" w:color="auto" w:fill="auto"/>
            <w:vAlign w:val="bottom"/>
          </w:tcPr>
          <w:p w:rsidR="0009209A" w:rsidRPr="007C2D51" w:rsidRDefault="0009209A" w:rsidP="00E9105A">
            <w:pPr>
              <w:jc w:val="right"/>
              <w:cnfStyle w:val="000000100000"/>
              <w:rPr>
                <w:rFonts w:cs="Calibri"/>
                <w:color w:val="000000"/>
              </w:rPr>
            </w:pPr>
            <w:r w:rsidRPr="007C2D51">
              <w:rPr>
                <w:rFonts w:cs="Calibri"/>
                <w:color w:val="000000"/>
              </w:rPr>
              <w:t xml:space="preserve">375,254 </w:t>
            </w:r>
          </w:p>
        </w:tc>
        <w:tc>
          <w:tcPr>
            <w:tcW w:w="1152" w:type="dxa"/>
            <w:tcBorders>
              <w:top w:val="none" w:sz="0" w:space="0" w:color="auto"/>
              <w:bottom w:val="none" w:sz="0" w:space="0" w:color="auto"/>
            </w:tcBorders>
            <w:shd w:val="clear" w:color="auto" w:fill="auto"/>
            <w:noWrap/>
            <w:vAlign w:val="bottom"/>
          </w:tcPr>
          <w:p w:rsidR="0009209A" w:rsidRPr="007C2D51" w:rsidRDefault="0009209A" w:rsidP="00E9105A">
            <w:pPr>
              <w:jc w:val="right"/>
              <w:cnfStyle w:val="000000100000"/>
              <w:rPr>
                <w:rFonts w:cs="Calibri"/>
                <w:color w:val="000000"/>
              </w:rPr>
            </w:pPr>
            <w:r w:rsidRPr="007C2D51">
              <w:rPr>
                <w:rFonts w:cs="Calibri"/>
                <w:color w:val="000000"/>
              </w:rPr>
              <w:t>1%</w:t>
            </w:r>
          </w:p>
        </w:tc>
        <w:tc>
          <w:tcPr>
            <w:tcW w:w="1152" w:type="dxa"/>
            <w:tcBorders>
              <w:top w:val="none" w:sz="0" w:space="0" w:color="auto"/>
              <w:bottom w:val="none" w:sz="0" w:space="0" w:color="auto"/>
            </w:tcBorders>
            <w:shd w:val="clear" w:color="auto" w:fill="auto"/>
            <w:noWrap/>
            <w:vAlign w:val="bottom"/>
          </w:tcPr>
          <w:p w:rsidR="0009209A" w:rsidRPr="007C2D51" w:rsidRDefault="0009209A" w:rsidP="00E9105A">
            <w:pPr>
              <w:jc w:val="right"/>
              <w:cnfStyle w:val="000000100000"/>
              <w:rPr>
                <w:rFonts w:cs="Calibri"/>
                <w:color w:val="000000"/>
              </w:rPr>
            </w:pPr>
            <w:r w:rsidRPr="007C2D51">
              <w:rPr>
                <w:rFonts w:cs="Calibri"/>
                <w:color w:val="000000"/>
              </w:rPr>
              <w:t>0%</w:t>
            </w:r>
          </w:p>
        </w:tc>
        <w:tc>
          <w:tcPr>
            <w:tcW w:w="1152" w:type="dxa"/>
            <w:tcBorders>
              <w:top w:val="none" w:sz="0" w:space="0" w:color="auto"/>
              <w:bottom w:val="none" w:sz="0" w:space="0" w:color="auto"/>
            </w:tcBorders>
            <w:shd w:val="clear" w:color="auto" w:fill="auto"/>
            <w:noWrap/>
            <w:vAlign w:val="bottom"/>
          </w:tcPr>
          <w:p w:rsidR="0009209A" w:rsidRPr="007C2D51" w:rsidRDefault="0009209A" w:rsidP="00E9105A">
            <w:pPr>
              <w:jc w:val="right"/>
              <w:cnfStyle w:val="000000100000"/>
              <w:rPr>
                <w:rFonts w:cs="Calibri"/>
                <w:color w:val="000000"/>
              </w:rPr>
            </w:pPr>
            <w:r w:rsidRPr="007C2D51">
              <w:rPr>
                <w:rFonts w:cs="Calibri"/>
                <w:color w:val="000000"/>
              </w:rPr>
              <w:t>4%</w:t>
            </w:r>
          </w:p>
        </w:tc>
        <w:tc>
          <w:tcPr>
            <w:tcW w:w="0" w:type="auto"/>
            <w:tcBorders>
              <w:top w:val="none" w:sz="0" w:space="0" w:color="auto"/>
              <w:bottom w:val="none" w:sz="0" w:space="0" w:color="auto"/>
              <w:right w:val="none" w:sz="0" w:space="0" w:color="auto"/>
            </w:tcBorders>
            <w:shd w:val="clear" w:color="auto" w:fill="auto"/>
            <w:noWrap/>
            <w:vAlign w:val="bottom"/>
          </w:tcPr>
          <w:p w:rsidR="0009209A" w:rsidRPr="007C2D51" w:rsidRDefault="0009209A" w:rsidP="00E9105A">
            <w:pPr>
              <w:jc w:val="right"/>
              <w:cnfStyle w:val="000000100000"/>
              <w:rPr>
                <w:rFonts w:cs="Calibri"/>
                <w:color w:val="000000"/>
              </w:rPr>
            </w:pPr>
            <w:r w:rsidRPr="007C2D51">
              <w:rPr>
                <w:rFonts w:cs="Calibri"/>
                <w:color w:val="000000"/>
              </w:rPr>
              <w:t>1%</w:t>
            </w:r>
          </w:p>
        </w:tc>
      </w:tr>
      <w:tr w:rsidR="00251EE7" w:rsidRPr="007C2D51" w:rsidTr="00F15767">
        <w:trPr>
          <w:trHeight w:val="300"/>
        </w:trPr>
        <w:tc>
          <w:tcPr>
            <w:cnfStyle w:val="001000000000"/>
            <w:tcW w:w="0" w:type="auto"/>
            <w:shd w:val="clear" w:color="auto" w:fill="auto"/>
            <w:noWrap/>
            <w:vAlign w:val="bottom"/>
          </w:tcPr>
          <w:p w:rsidR="00251EE7" w:rsidRPr="007C2D51" w:rsidRDefault="00251EE7" w:rsidP="00251EE7">
            <w:r w:rsidRPr="007C2D51">
              <w:t>Other information-based</w:t>
            </w:r>
          </w:p>
        </w:tc>
        <w:tc>
          <w:tcPr>
            <w:tcW w:w="0" w:type="auto"/>
            <w:shd w:val="clear" w:color="auto" w:fill="auto"/>
            <w:vAlign w:val="bottom"/>
          </w:tcPr>
          <w:p w:rsidR="00251EE7" w:rsidRPr="007C2D51" w:rsidRDefault="00251EE7" w:rsidP="00E9105A">
            <w:pPr>
              <w:jc w:val="right"/>
              <w:cnfStyle w:val="000000000000"/>
              <w:rPr>
                <w:rFonts w:cs="Calibri"/>
                <w:color w:val="000000"/>
              </w:rPr>
            </w:pPr>
            <w:r w:rsidRPr="007C2D51">
              <w:rPr>
                <w:rFonts w:cs="Calibri"/>
                <w:color w:val="000000"/>
              </w:rPr>
              <w:t>55</w:t>
            </w:r>
          </w:p>
        </w:tc>
        <w:tc>
          <w:tcPr>
            <w:tcW w:w="0" w:type="auto"/>
            <w:shd w:val="clear" w:color="auto" w:fill="auto"/>
            <w:vAlign w:val="bottom"/>
          </w:tcPr>
          <w:p w:rsidR="00251EE7" w:rsidRPr="007C2D51" w:rsidRDefault="00251EE7" w:rsidP="00E9105A">
            <w:pPr>
              <w:jc w:val="right"/>
              <w:cnfStyle w:val="000000000000"/>
              <w:rPr>
                <w:rFonts w:cs="Calibri"/>
                <w:color w:val="000000"/>
              </w:rPr>
            </w:pPr>
            <w:r w:rsidRPr="007C2D51">
              <w:rPr>
                <w:rFonts w:cs="Calibri"/>
                <w:color w:val="000000"/>
              </w:rPr>
              <w:t>0</w:t>
            </w:r>
          </w:p>
        </w:tc>
        <w:tc>
          <w:tcPr>
            <w:tcW w:w="1152" w:type="dxa"/>
            <w:shd w:val="clear" w:color="auto" w:fill="auto"/>
            <w:noWrap/>
            <w:vAlign w:val="bottom"/>
          </w:tcPr>
          <w:p w:rsidR="00251EE7" w:rsidRPr="007C2D51" w:rsidRDefault="00251EE7" w:rsidP="00E9105A">
            <w:pPr>
              <w:jc w:val="right"/>
              <w:cnfStyle w:val="000000000000"/>
            </w:pPr>
            <w:r w:rsidRPr="007C2D51">
              <w:t>0%</w:t>
            </w:r>
          </w:p>
        </w:tc>
        <w:tc>
          <w:tcPr>
            <w:tcW w:w="1152" w:type="dxa"/>
            <w:shd w:val="clear" w:color="auto" w:fill="auto"/>
            <w:noWrap/>
            <w:vAlign w:val="bottom"/>
          </w:tcPr>
          <w:p w:rsidR="00251EE7" w:rsidRPr="007C2D51" w:rsidRDefault="00251EE7" w:rsidP="00E9105A">
            <w:pPr>
              <w:jc w:val="right"/>
              <w:cnfStyle w:val="000000000000"/>
            </w:pPr>
            <w:r w:rsidRPr="007C2D51">
              <w:t>0%</w:t>
            </w:r>
          </w:p>
        </w:tc>
        <w:tc>
          <w:tcPr>
            <w:tcW w:w="1152" w:type="dxa"/>
            <w:shd w:val="clear" w:color="auto" w:fill="auto"/>
            <w:noWrap/>
            <w:vAlign w:val="bottom"/>
          </w:tcPr>
          <w:p w:rsidR="00251EE7" w:rsidRPr="007C2D51" w:rsidRDefault="00251EE7" w:rsidP="00E9105A">
            <w:pPr>
              <w:jc w:val="right"/>
              <w:cnfStyle w:val="000000000000"/>
            </w:pPr>
            <w:r w:rsidRPr="007C2D51">
              <w:t>0%</w:t>
            </w:r>
          </w:p>
        </w:tc>
        <w:tc>
          <w:tcPr>
            <w:tcW w:w="0" w:type="auto"/>
            <w:shd w:val="clear" w:color="auto" w:fill="auto"/>
            <w:noWrap/>
            <w:vAlign w:val="bottom"/>
          </w:tcPr>
          <w:p w:rsidR="00251EE7" w:rsidRPr="007C2D51" w:rsidRDefault="00251EE7" w:rsidP="00E9105A">
            <w:pPr>
              <w:jc w:val="right"/>
              <w:cnfStyle w:val="000000000000"/>
            </w:pPr>
            <w:r w:rsidRPr="007C2D51">
              <w:t>0%</w:t>
            </w:r>
          </w:p>
        </w:tc>
      </w:tr>
      <w:tr w:rsidR="0009209A" w:rsidRPr="007C2D51" w:rsidTr="00F15767">
        <w:trPr>
          <w:cnfStyle w:val="000000100000"/>
          <w:trHeight w:val="300"/>
        </w:trPr>
        <w:tc>
          <w:tcPr>
            <w:cnfStyle w:val="001000000000"/>
            <w:tcW w:w="0" w:type="auto"/>
            <w:tcBorders>
              <w:top w:val="none" w:sz="0" w:space="0" w:color="auto"/>
              <w:left w:val="none" w:sz="0" w:space="0" w:color="auto"/>
              <w:bottom w:val="none" w:sz="0" w:space="0" w:color="auto"/>
            </w:tcBorders>
            <w:shd w:val="clear" w:color="auto" w:fill="475A8D" w:themeFill="accent6"/>
            <w:noWrap/>
            <w:vAlign w:val="bottom"/>
          </w:tcPr>
          <w:p w:rsidR="0009209A" w:rsidRPr="007C2D51" w:rsidRDefault="0009209A" w:rsidP="00251EE7">
            <w:pPr>
              <w:rPr>
                <w:color w:val="FFFFFF" w:themeColor="background1"/>
              </w:rPr>
            </w:pPr>
            <w:r w:rsidRPr="007C2D51">
              <w:rPr>
                <w:color w:val="FFFFFF" w:themeColor="background1"/>
              </w:rPr>
              <w:t>Capital Investment Projects</w:t>
            </w:r>
          </w:p>
        </w:tc>
        <w:tc>
          <w:tcPr>
            <w:tcW w:w="0" w:type="auto"/>
            <w:tcBorders>
              <w:top w:val="none" w:sz="0" w:space="0" w:color="auto"/>
              <w:bottom w:val="none" w:sz="0" w:space="0" w:color="auto"/>
            </w:tcBorders>
            <w:shd w:val="clear" w:color="auto" w:fill="475A8D" w:themeFill="accent6"/>
            <w:vAlign w:val="bottom"/>
          </w:tcPr>
          <w:p w:rsidR="0009209A" w:rsidRPr="007C2D51" w:rsidRDefault="0009209A" w:rsidP="00E9105A">
            <w:pPr>
              <w:jc w:val="right"/>
              <w:cnfStyle w:val="000000100000"/>
              <w:rPr>
                <w:rFonts w:cs="Calibri"/>
                <w:b/>
                <w:bCs/>
                <w:color w:val="FFFFFF" w:themeColor="background1"/>
              </w:rPr>
            </w:pPr>
            <w:r w:rsidRPr="007C2D51">
              <w:rPr>
                <w:rFonts w:cs="Calibri"/>
                <w:b/>
                <w:bCs/>
                <w:color w:val="FFFFFF" w:themeColor="background1"/>
              </w:rPr>
              <w:t>83</w:t>
            </w:r>
          </w:p>
        </w:tc>
        <w:tc>
          <w:tcPr>
            <w:tcW w:w="0" w:type="auto"/>
            <w:tcBorders>
              <w:top w:val="none" w:sz="0" w:space="0" w:color="auto"/>
              <w:bottom w:val="none" w:sz="0" w:space="0" w:color="auto"/>
            </w:tcBorders>
            <w:shd w:val="clear" w:color="auto" w:fill="475A8D" w:themeFill="accent6"/>
            <w:vAlign w:val="bottom"/>
          </w:tcPr>
          <w:p w:rsidR="0009209A" w:rsidRPr="007C2D51" w:rsidRDefault="0009209A" w:rsidP="00E9105A">
            <w:pPr>
              <w:jc w:val="right"/>
              <w:cnfStyle w:val="000000100000"/>
              <w:rPr>
                <w:rFonts w:cs="Calibri"/>
                <w:b/>
                <w:bCs/>
                <w:color w:val="FFFFFF" w:themeColor="background1"/>
              </w:rPr>
            </w:pPr>
            <w:r w:rsidRPr="007C2D51">
              <w:rPr>
                <w:rFonts w:cs="Calibri"/>
                <w:b/>
                <w:bCs/>
                <w:color w:val="FFFFFF" w:themeColor="background1"/>
              </w:rPr>
              <w:t xml:space="preserve">377,959 </w:t>
            </w:r>
          </w:p>
        </w:tc>
        <w:tc>
          <w:tcPr>
            <w:tcW w:w="1152" w:type="dxa"/>
            <w:tcBorders>
              <w:top w:val="none" w:sz="0" w:space="0" w:color="auto"/>
              <w:bottom w:val="none" w:sz="0" w:space="0" w:color="auto"/>
            </w:tcBorders>
            <w:shd w:val="clear" w:color="auto" w:fill="475A8D" w:themeFill="accent6"/>
            <w:noWrap/>
            <w:vAlign w:val="bottom"/>
          </w:tcPr>
          <w:p w:rsidR="0009209A" w:rsidRPr="007C2D51" w:rsidRDefault="0009209A" w:rsidP="00E9105A">
            <w:pPr>
              <w:jc w:val="right"/>
              <w:cnfStyle w:val="000000100000"/>
              <w:rPr>
                <w:rFonts w:cs="Calibri"/>
                <w:b/>
                <w:bCs/>
                <w:color w:val="FFFFFF" w:themeColor="background1"/>
              </w:rPr>
            </w:pPr>
            <w:r w:rsidRPr="007C2D51">
              <w:rPr>
                <w:rFonts w:cs="Calibri"/>
                <w:b/>
                <w:bCs/>
                <w:color w:val="FFFFFF" w:themeColor="background1"/>
              </w:rPr>
              <w:t>1%</w:t>
            </w:r>
          </w:p>
        </w:tc>
        <w:tc>
          <w:tcPr>
            <w:tcW w:w="1152" w:type="dxa"/>
            <w:tcBorders>
              <w:top w:val="none" w:sz="0" w:space="0" w:color="auto"/>
              <w:bottom w:val="none" w:sz="0" w:space="0" w:color="auto"/>
            </w:tcBorders>
            <w:shd w:val="clear" w:color="auto" w:fill="475A8D" w:themeFill="accent6"/>
            <w:noWrap/>
            <w:vAlign w:val="bottom"/>
          </w:tcPr>
          <w:p w:rsidR="0009209A" w:rsidRPr="007C2D51" w:rsidRDefault="0009209A" w:rsidP="00E9105A">
            <w:pPr>
              <w:jc w:val="right"/>
              <w:cnfStyle w:val="000000100000"/>
              <w:rPr>
                <w:rFonts w:cs="Calibri"/>
                <w:b/>
                <w:bCs/>
                <w:color w:val="FFFFFF" w:themeColor="background1"/>
              </w:rPr>
            </w:pPr>
            <w:r w:rsidRPr="007C2D51">
              <w:rPr>
                <w:rFonts w:cs="Calibri"/>
                <w:b/>
                <w:bCs/>
                <w:color w:val="FFFFFF" w:themeColor="background1"/>
              </w:rPr>
              <w:t>1%</w:t>
            </w:r>
          </w:p>
        </w:tc>
        <w:tc>
          <w:tcPr>
            <w:tcW w:w="1152" w:type="dxa"/>
            <w:tcBorders>
              <w:top w:val="none" w:sz="0" w:space="0" w:color="auto"/>
              <w:bottom w:val="none" w:sz="0" w:space="0" w:color="auto"/>
            </w:tcBorders>
            <w:shd w:val="clear" w:color="auto" w:fill="475A8D" w:themeFill="accent6"/>
            <w:noWrap/>
            <w:vAlign w:val="bottom"/>
          </w:tcPr>
          <w:p w:rsidR="0009209A" w:rsidRPr="007C2D51" w:rsidRDefault="0009209A" w:rsidP="00E9105A">
            <w:pPr>
              <w:jc w:val="right"/>
              <w:cnfStyle w:val="000000100000"/>
              <w:rPr>
                <w:rFonts w:cs="Calibri"/>
                <w:b/>
                <w:bCs/>
                <w:color w:val="FFFFFF" w:themeColor="background1"/>
              </w:rPr>
            </w:pPr>
            <w:r w:rsidRPr="007C2D51">
              <w:rPr>
                <w:rFonts w:cs="Calibri"/>
                <w:b/>
                <w:bCs/>
                <w:color w:val="FFFFFF" w:themeColor="background1"/>
              </w:rPr>
              <w:t>2%</w:t>
            </w:r>
          </w:p>
        </w:tc>
        <w:tc>
          <w:tcPr>
            <w:tcW w:w="0" w:type="auto"/>
            <w:tcBorders>
              <w:top w:val="none" w:sz="0" w:space="0" w:color="auto"/>
              <w:bottom w:val="none" w:sz="0" w:space="0" w:color="auto"/>
              <w:right w:val="none" w:sz="0" w:space="0" w:color="auto"/>
            </w:tcBorders>
            <w:shd w:val="clear" w:color="auto" w:fill="475A8D" w:themeFill="accent6"/>
            <w:noWrap/>
            <w:vAlign w:val="bottom"/>
          </w:tcPr>
          <w:p w:rsidR="0009209A" w:rsidRPr="007C2D51" w:rsidRDefault="0009209A" w:rsidP="00E9105A">
            <w:pPr>
              <w:jc w:val="right"/>
              <w:cnfStyle w:val="000000100000"/>
              <w:rPr>
                <w:rFonts w:cs="Calibri"/>
                <w:b/>
                <w:bCs/>
                <w:color w:val="FFFFFF" w:themeColor="background1"/>
              </w:rPr>
            </w:pPr>
            <w:r w:rsidRPr="007C2D51">
              <w:rPr>
                <w:rFonts w:cs="Calibri"/>
                <w:b/>
                <w:bCs/>
                <w:color w:val="FFFFFF" w:themeColor="background1"/>
              </w:rPr>
              <w:t>1%</w:t>
            </w:r>
          </w:p>
        </w:tc>
      </w:tr>
      <w:tr w:rsidR="0009209A" w:rsidRPr="007C2D51" w:rsidTr="00F15767">
        <w:trPr>
          <w:trHeight w:val="300"/>
        </w:trPr>
        <w:tc>
          <w:tcPr>
            <w:cnfStyle w:val="001000000000"/>
            <w:tcW w:w="0" w:type="auto"/>
            <w:shd w:val="clear" w:color="auto" w:fill="auto"/>
            <w:noWrap/>
            <w:vAlign w:val="bottom"/>
          </w:tcPr>
          <w:p w:rsidR="0009209A" w:rsidRPr="007C2D51" w:rsidRDefault="0009209A" w:rsidP="00251EE7">
            <w:r w:rsidRPr="007C2D51">
              <w:t>Vehicle for individual</w:t>
            </w:r>
          </w:p>
        </w:tc>
        <w:tc>
          <w:tcPr>
            <w:tcW w:w="0" w:type="auto"/>
            <w:shd w:val="clear" w:color="auto" w:fill="auto"/>
            <w:vAlign w:val="bottom"/>
          </w:tcPr>
          <w:p w:rsidR="0009209A" w:rsidRPr="007C2D51" w:rsidRDefault="0009209A" w:rsidP="00E9105A">
            <w:pPr>
              <w:jc w:val="right"/>
              <w:cnfStyle w:val="000000000000"/>
              <w:rPr>
                <w:rFonts w:cs="Calibri"/>
                <w:color w:val="000000"/>
              </w:rPr>
            </w:pPr>
            <w:r w:rsidRPr="007C2D51">
              <w:rPr>
                <w:rFonts w:cs="Calibri"/>
                <w:color w:val="000000"/>
              </w:rPr>
              <w:t>31</w:t>
            </w:r>
          </w:p>
        </w:tc>
        <w:tc>
          <w:tcPr>
            <w:tcW w:w="0" w:type="auto"/>
            <w:shd w:val="clear" w:color="auto" w:fill="auto"/>
            <w:vAlign w:val="bottom"/>
          </w:tcPr>
          <w:p w:rsidR="0009209A" w:rsidRPr="007C2D51" w:rsidRDefault="0009209A" w:rsidP="00E9105A">
            <w:pPr>
              <w:jc w:val="right"/>
              <w:cnfStyle w:val="000000000000"/>
              <w:rPr>
                <w:rFonts w:cs="Calibri"/>
                <w:color w:val="000000"/>
              </w:rPr>
            </w:pPr>
            <w:r w:rsidRPr="007C2D51">
              <w:rPr>
                <w:rFonts w:cs="Calibri"/>
                <w:color w:val="000000"/>
              </w:rPr>
              <w:t xml:space="preserve">265,831 </w:t>
            </w:r>
          </w:p>
        </w:tc>
        <w:tc>
          <w:tcPr>
            <w:tcW w:w="1152" w:type="dxa"/>
            <w:shd w:val="clear" w:color="auto" w:fill="auto"/>
            <w:noWrap/>
            <w:vAlign w:val="bottom"/>
          </w:tcPr>
          <w:p w:rsidR="0009209A" w:rsidRPr="007C2D51" w:rsidRDefault="0009209A" w:rsidP="00E9105A">
            <w:pPr>
              <w:jc w:val="right"/>
              <w:cnfStyle w:val="000000000000"/>
              <w:rPr>
                <w:rFonts w:cs="Calibri"/>
                <w:color w:val="000000"/>
              </w:rPr>
            </w:pPr>
            <w:r w:rsidRPr="007C2D51">
              <w:rPr>
                <w:rFonts w:cs="Calibri"/>
                <w:color w:val="000000"/>
              </w:rPr>
              <w:t>1%</w:t>
            </w:r>
          </w:p>
        </w:tc>
        <w:tc>
          <w:tcPr>
            <w:tcW w:w="1152" w:type="dxa"/>
            <w:shd w:val="clear" w:color="auto" w:fill="auto"/>
            <w:noWrap/>
            <w:vAlign w:val="bottom"/>
          </w:tcPr>
          <w:p w:rsidR="0009209A" w:rsidRPr="007C2D51" w:rsidRDefault="0009209A" w:rsidP="00E9105A">
            <w:pPr>
              <w:jc w:val="right"/>
              <w:cnfStyle w:val="000000000000"/>
              <w:rPr>
                <w:rFonts w:cs="Calibri"/>
                <w:color w:val="000000"/>
              </w:rPr>
            </w:pPr>
            <w:r w:rsidRPr="007C2D51">
              <w:rPr>
                <w:rFonts w:cs="Calibri"/>
                <w:color w:val="000000"/>
              </w:rPr>
              <w:t>0%</w:t>
            </w:r>
          </w:p>
        </w:tc>
        <w:tc>
          <w:tcPr>
            <w:tcW w:w="1152" w:type="dxa"/>
            <w:shd w:val="clear" w:color="auto" w:fill="auto"/>
            <w:noWrap/>
            <w:vAlign w:val="bottom"/>
          </w:tcPr>
          <w:p w:rsidR="0009209A" w:rsidRPr="007C2D51" w:rsidRDefault="0009209A" w:rsidP="00E9105A">
            <w:pPr>
              <w:jc w:val="right"/>
              <w:cnfStyle w:val="000000000000"/>
              <w:rPr>
                <w:rFonts w:cs="Calibri"/>
                <w:color w:val="000000"/>
              </w:rPr>
            </w:pPr>
            <w:r w:rsidRPr="007C2D51">
              <w:rPr>
                <w:rFonts w:cs="Calibri"/>
                <w:color w:val="000000"/>
              </w:rPr>
              <w:t>0%</w:t>
            </w:r>
          </w:p>
        </w:tc>
        <w:tc>
          <w:tcPr>
            <w:tcW w:w="0" w:type="auto"/>
            <w:shd w:val="clear" w:color="auto" w:fill="auto"/>
            <w:noWrap/>
            <w:vAlign w:val="bottom"/>
          </w:tcPr>
          <w:p w:rsidR="0009209A" w:rsidRPr="007C2D51" w:rsidRDefault="0009209A" w:rsidP="00E9105A">
            <w:pPr>
              <w:jc w:val="right"/>
              <w:cnfStyle w:val="000000000000"/>
              <w:rPr>
                <w:rFonts w:cs="Calibri"/>
                <w:color w:val="000000"/>
              </w:rPr>
            </w:pPr>
            <w:r w:rsidRPr="007C2D51">
              <w:rPr>
                <w:rFonts w:cs="Calibri"/>
                <w:color w:val="000000"/>
              </w:rPr>
              <w:t>0%</w:t>
            </w:r>
          </w:p>
        </w:tc>
      </w:tr>
      <w:tr w:rsidR="0009209A" w:rsidRPr="007C2D51" w:rsidTr="00F15767">
        <w:trPr>
          <w:cnfStyle w:val="000000100000"/>
          <w:trHeight w:val="300"/>
        </w:trPr>
        <w:tc>
          <w:tcPr>
            <w:cnfStyle w:val="001000000000"/>
            <w:tcW w:w="0" w:type="auto"/>
            <w:tcBorders>
              <w:top w:val="none" w:sz="0" w:space="0" w:color="auto"/>
              <w:left w:val="none" w:sz="0" w:space="0" w:color="auto"/>
              <w:bottom w:val="none" w:sz="0" w:space="0" w:color="auto"/>
            </w:tcBorders>
            <w:shd w:val="clear" w:color="auto" w:fill="auto"/>
            <w:noWrap/>
            <w:vAlign w:val="bottom"/>
          </w:tcPr>
          <w:p w:rsidR="0009209A" w:rsidRPr="007C2D51" w:rsidRDefault="0009209A" w:rsidP="00251EE7">
            <w:r w:rsidRPr="007C2D51">
              <w:t>Vehicle for agency</w:t>
            </w:r>
          </w:p>
        </w:tc>
        <w:tc>
          <w:tcPr>
            <w:tcW w:w="0" w:type="auto"/>
            <w:tcBorders>
              <w:top w:val="none" w:sz="0" w:space="0" w:color="auto"/>
              <w:bottom w:val="none" w:sz="0" w:space="0" w:color="auto"/>
            </w:tcBorders>
            <w:shd w:val="clear" w:color="auto" w:fill="auto"/>
            <w:vAlign w:val="bottom"/>
          </w:tcPr>
          <w:p w:rsidR="0009209A" w:rsidRPr="007C2D51" w:rsidRDefault="0009209A" w:rsidP="00E9105A">
            <w:pPr>
              <w:jc w:val="right"/>
              <w:cnfStyle w:val="000000100000"/>
              <w:rPr>
                <w:rFonts w:cs="Calibri"/>
                <w:color w:val="000000"/>
              </w:rPr>
            </w:pPr>
            <w:r w:rsidRPr="007C2D51">
              <w:rPr>
                <w:rFonts w:cs="Calibri"/>
                <w:color w:val="000000"/>
              </w:rPr>
              <w:t>32</w:t>
            </w:r>
          </w:p>
        </w:tc>
        <w:tc>
          <w:tcPr>
            <w:tcW w:w="0" w:type="auto"/>
            <w:tcBorders>
              <w:top w:val="none" w:sz="0" w:space="0" w:color="auto"/>
              <w:bottom w:val="none" w:sz="0" w:space="0" w:color="auto"/>
            </w:tcBorders>
            <w:shd w:val="clear" w:color="auto" w:fill="auto"/>
            <w:vAlign w:val="bottom"/>
          </w:tcPr>
          <w:p w:rsidR="0009209A" w:rsidRPr="007C2D51" w:rsidRDefault="0009209A" w:rsidP="00E9105A">
            <w:pPr>
              <w:jc w:val="right"/>
              <w:cnfStyle w:val="000000100000"/>
              <w:rPr>
                <w:rFonts w:cs="Calibri"/>
                <w:color w:val="000000"/>
              </w:rPr>
            </w:pPr>
            <w:r w:rsidRPr="007C2D51">
              <w:rPr>
                <w:rFonts w:cs="Calibri"/>
                <w:color w:val="000000"/>
              </w:rPr>
              <w:t xml:space="preserve">112,090 </w:t>
            </w:r>
          </w:p>
        </w:tc>
        <w:tc>
          <w:tcPr>
            <w:tcW w:w="1152" w:type="dxa"/>
            <w:tcBorders>
              <w:top w:val="none" w:sz="0" w:space="0" w:color="auto"/>
              <w:bottom w:val="none" w:sz="0" w:space="0" w:color="auto"/>
            </w:tcBorders>
            <w:shd w:val="clear" w:color="auto" w:fill="auto"/>
            <w:noWrap/>
            <w:vAlign w:val="bottom"/>
          </w:tcPr>
          <w:p w:rsidR="0009209A" w:rsidRPr="007C2D51" w:rsidRDefault="0009209A" w:rsidP="00E9105A">
            <w:pPr>
              <w:jc w:val="right"/>
              <w:cnfStyle w:val="000000100000"/>
              <w:rPr>
                <w:rFonts w:cs="Calibri"/>
                <w:color w:val="000000"/>
              </w:rPr>
            </w:pPr>
            <w:r w:rsidRPr="007C2D51">
              <w:rPr>
                <w:rFonts w:cs="Calibri"/>
                <w:color w:val="000000"/>
              </w:rPr>
              <w:t>0%</w:t>
            </w:r>
          </w:p>
        </w:tc>
        <w:tc>
          <w:tcPr>
            <w:tcW w:w="1152" w:type="dxa"/>
            <w:tcBorders>
              <w:top w:val="none" w:sz="0" w:space="0" w:color="auto"/>
              <w:bottom w:val="none" w:sz="0" w:space="0" w:color="auto"/>
            </w:tcBorders>
            <w:shd w:val="clear" w:color="auto" w:fill="auto"/>
            <w:noWrap/>
            <w:vAlign w:val="bottom"/>
          </w:tcPr>
          <w:p w:rsidR="0009209A" w:rsidRPr="007C2D51" w:rsidRDefault="0009209A" w:rsidP="00E9105A">
            <w:pPr>
              <w:jc w:val="right"/>
              <w:cnfStyle w:val="000000100000"/>
              <w:rPr>
                <w:rFonts w:cs="Calibri"/>
                <w:color w:val="000000"/>
              </w:rPr>
            </w:pPr>
            <w:r w:rsidRPr="007C2D51">
              <w:rPr>
                <w:rFonts w:cs="Calibri"/>
                <w:color w:val="000000"/>
              </w:rPr>
              <w:t>0%</w:t>
            </w:r>
          </w:p>
        </w:tc>
        <w:tc>
          <w:tcPr>
            <w:tcW w:w="1152" w:type="dxa"/>
            <w:tcBorders>
              <w:top w:val="none" w:sz="0" w:space="0" w:color="auto"/>
              <w:bottom w:val="none" w:sz="0" w:space="0" w:color="auto"/>
            </w:tcBorders>
            <w:shd w:val="clear" w:color="auto" w:fill="auto"/>
            <w:noWrap/>
            <w:vAlign w:val="bottom"/>
          </w:tcPr>
          <w:p w:rsidR="0009209A" w:rsidRPr="007C2D51" w:rsidRDefault="0009209A" w:rsidP="00E9105A">
            <w:pPr>
              <w:jc w:val="right"/>
              <w:cnfStyle w:val="000000100000"/>
              <w:rPr>
                <w:rFonts w:cs="Calibri"/>
                <w:color w:val="000000"/>
              </w:rPr>
            </w:pPr>
            <w:r w:rsidRPr="007C2D51">
              <w:rPr>
                <w:rFonts w:cs="Calibri"/>
                <w:color w:val="000000"/>
              </w:rPr>
              <w:t>1%</w:t>
            </w:r>
          </w:p>
        </w:tc>
        <w:tc>
          <w:tcPr>
            <w:tcW w:w="0" w:type="auto"/>
            <w:tcBorders>
              <w:top w:val="none" w:sz="0" w:space="0" w:color="auto"/>
              <w:bottom w:val="none" w:sz="0" w:space="0" w:color="auto"/>
              <w:right w:val="none" w:sz="0" w:space="0" w:color="auto"/>
            </w:tcBorders>
            <w:shd w:val="clear" w:color="auto" w:fill="auto"/>
            <w:noWrap/>
            <w:vAlign w:val="bottom"/>
          </w:tcPr>
          <w:p w:rsidR="0009209A" w:rsidRPr="007C2D51" w:rsidRDefault="0009209A" w:rsidP="00E9105A">
            <w:pPr>
              <w:jc w:val="right"/>
              <w:cnfStyle w:val="000000100000"/>
              <w:rPr>
                <w:rFonts w:cs="Calibri"/>
                <w:color w:val="000000"/>
              </w:rPr>
            </w:pPr>
            <w:r w:rsidRPr="007C2D51">
              <w:rPr>
                <w:rFonts w:cs="Calibri"/>
                <w:color w:val="000000"/>
              </w:rPr>
              <w:t>0%</w:t>
            </w:r>
          </w:p>
        </w:tc>
      </w:tr>
      <w:tr w:rsidR="0009209A" w:rsidRPr="007C2D51" w:rsidTr="00F15767">
        <w:trPr>
          <w:trHeight w:val="300"/>
        </w:trPr>
        <w:tc>
          <w:tcPr>
            <w:cnfStyle w:val="001000000000"/>
            <w:tcW w:w="0" w:type="auto"/>
            <w:shd w:val="clear" w:color="auto" w:fill="auto"/>
            <w:noWrap/>
            <w:vAlign w:val="bottom"/>
          </w:tcPr>
          <w:p w:rsidR="0009209A" w:rsidRPr="007C2D51" w:rsidRDefault="0009209A" w:rsidP="00251EE7">
            <w:r w:rsidRPr="007C2D51">
              <w:t>Vanpool vehicles</w:t>
            </w:r>
          </w:p>
        </w:tc>
        <w:tc>
          <w:tcPr>
            <w:tcW w:w="0" w:type="auto"/>
            <w:shd w:val="clear" w:color="auto" w:fill="auto"/>
            <w:vAlign w:val="bottom"/>
          </w:tcPr>
          <w:p w:rsidR="0009209A" w:rsidRPr="007C2D51" w:rsidRDefault="0009209A" w:rsidP="00E9105A">
            <w:pPr>
              <w:jc w:val="right"/>
              <w:cnfStyle w:val="000000000000"/>
              <w:rPr>
                <w:rFonts w:cs="Calibri"/>
                <w:color w:val="000000"/>
              </w:rPr>
            </w:pPr>
            <w:r w:rsidRPr="007C2D51">
              <w:rPr>
                <w:rFonts w:cs="Calibri"/>
                <w:color w:val="000000"/>
              </w:rPr>
              <w:t>4</w:t>
            </w:r>
          </w:p>
        </w:tc>
        <w:tc>
          <w:tcPr>
            <w:tcW w:w="0" w:type="auto"/>
            <w:shd w:val="clear" w:color="auto" w:fill="auto"/>
            <w:vAlign w:val="bottom"/>
          </w:tcPr>
          <w:p w:rsidR="0009209A" w:rsidRPr="007C2D51" w:rsidRDefault="0009209A" w:rsidP="00E9105A">
            <w:pPr>
              <w:jc w:val="right"/>
              <w:cnfStyle w:val="000000000000"/>
              <w:rPr>
                <w:rFonts w:cs="Calibri"/>
                <w:color w:val="000000"/>
              </w:rPr>
            </w:pPr>
            <w:r w:rsidRPr="007C2D51">
              <w:rPr>
                <w:rFonts w:cs="Calibri"/>
                <w:color w:val="000000"/>
              </w:rPr>
              <w:t xml:space="preserve">38 </w:t>
            </w:r>
          </w:p>
        </w:tc>
        <w:tc>
          <w:tcPr>
            <w:tcW w:w="1152" w:type="dxa"/>
            <w:shd w:val="clear" w:color="auto" w:fill="auto"/>
            <w:noWrap/>
            <w:vAlign w:val="bottom"/>
          </w:tcPr>
          <w:p w:rsidR="0009209A" w:rsidRPr="007C2D51" w:rsidRDefault="0009209A" w:rsidP="00E9105A">
            <w:pPr>
              <w:jc w:val="right"/>
              <w:cnfStyle w:val="000000000000"/>
              <w:rPr>
                <w:rFonts w:cs="Calibri"/>
                <w:color w:val="000000"/>
              </w:rPr>
            </w:pPr>
            <w:r w:rsidRPr="007C2D51">
              <w:rPr>
                <w:rFonts w:cs="Calibri"/>
                <w:color w:val="000000"/>
              </w:rPr>
              <w:t>0%</w:t>
            </w:r>
          </w:p>
        </w:tc>
        <w:tc>
          <w:tcPr>
            <w:tcW w:w="1152" w:type="dxa"/>
            <w:shd w:val="clear" w:color="auto" w:fill="auto"/>
            <w:noWrap/>
            <w:vAlign w:val="bottom"/>
          </w:tcPr>
          <w:p w:rsidR="0009209A" w:rsidRPr="007C2D51" w:rsidRDefault="0009209A" w:rsidP="00E9105A">
            <w:pPr>
              <w:jc w:val="right"/>
              <w:cnfStyle w:val="000000000000"/>
              <w:rPr>
                <w:rFonts w:cs="Calibri"/>
                <w:color w:val="000000"/>
              </w:rPr>
            </w:pPr>
            <w:r w:rsidRPr="007C2D51">
              <w:rPr>
                <w:rFonts w:cs="Calibri"/>
                <w:color w:val="000000"/>
              </w:rPr>
              <w:t>0%</w:t>
            </w:r>
          </w:p>
        </w:tc>
        <w:tc>
          <w:tcPr>
            <w:tcW w:w="1152" w:type="dxa"/>
            <w:shd w:val="clear" w:color="auto" w:fill="auto"/>
            <w:noWrap/>
            <w:vAlign w:val="bottom"/>
          </w:tcPr>
          <w:p w:rsidR="0009209A" w:rsidRPr="007C2D51" w:rsidRDefault="0009209A" w:rsidP="00E9105A">
            <w:pPr>
              <w:jc w:val="right"/>
              <w:cnfStyle w:val="000000000000"/>
              <w:rPr>
                <w:rFonts w:cs="Calibri"/>
                <w:color w:val="000000"/>
              </w:rPr>
            </w:pPr>
            <w:r w:rsidRPr="007C2D51">
              <w:rPr>
                <w:rFonts w:cs="Calibri"/>
                <w:color w:val="000000"/>
              </w:rPr>
              <w:t>0%</w:t>
            </w:r>
          </w:p>
        </w:tc>
        <w:tc>
          <w:tcPr>
            <w:tcW w:w="0" w:type="auto"/>
            <w:shd w:val="clear" w:color="auto" w:fill="auto"/>
            <w:noWrap/>
            <w:vAlign w:val="bottom"/>
          </w:tcPr>
          <w:p w:rsidR="0009209A" w:rsidRPr="007C2D51" w:rsidRDefault="0009209A" w:rsidP="00E9105A">
            <w:pPr>
              <w:jc w:val="right"/>
              <w:cnfStyle w:val="000000000000"/>
              <w:rPr>
                <w:rFonts w:cs="Calibri"/>
                <w:color w:val="000000"/>
              </w:rPr>
            </w:pPr>
            <w:r w:rsidRPr="007C2D51">
              <w:rPr>
                <w:rFonts w:cs="Calibri"/>
                <w:color w:val="000000"/>
              </w:rPr>
              <w:t>0%</w:t>
            </w:r>
          </w:p>
        </w:tc>
      </w:tr>
      <w:tr w:rsidR="00251EE7" w:rsidRPr="007C2D51" w:rsidTr="00F15767">
        <w:trPr>
          <w:cnfStyle w:val="000000100000"/>
          <w:trHeight w:val="300"/>
        </w:trPr>
        <w:tc>
          <w:tcPr>
            <w:cnfStyle w:val="001000000000"/>
            <w:tcW w:w="0" w:type="auto"/>
            <w:tcBorders>
              <w:top w:val="none" w:sz="0" w:space="0" w:color="auto"/>
              <w:left w:val="none" w:sz="0" w:space="0" w:color="auto"/>
              <w:bottom w:val="none" w:sz="0" w:space="0" w:color="auto"/>
            </w:tcBorders>
            <w:shd w:val="clear" w:color="auto" w:fill="auto"/>
            <w:noWrap/>
            <w:vAlign w:val="bottom"/>
          </w:tcPr>
          <w:p w:rsidR="00251EE7" w:rsidRPr="007C2D51" w:rsidRDefault="00251EE7" w:rsidP="00251EE7">
            <w:r w:rsidRPr="007C2D51">
              <w:t>Other capital investments</w:t>
            </w:r>
          </w:p>
        </w:tc>
        <w:tc>
          <w:tcPr>
            <w:tcW w:w="0" w:type="auto"/>
            <w:tcBorders>
              <w:top w:val="none" w:sz="0" w:space="0" w:color="auto"/>
              <w:bottom w:val="none" w:sz="0" w:space="0" w:color="auto"/>
            </w:tcBorders>
            <w:shd w:val="clear" w:color="auto" w:fill="auto"/>
            <w:vAlign w:val="bottom"/>
          </w:tcPr>
          <w:p w:rsidR="00251EE7" w:rsidRPr="007C2D51" w:rsidRDefault="00251EE7" w:rsidP="00E9105A">
            <w:pPr>
              <w:jc w:val="right"/>
              <w:cnfStyle w:val="000000100000"/>
              <w:rPr>
                <w:rFonts w:cs="Calibri"/>
                <w:color w:val="000000"/>
              </w:rPr>
            </w:pPr>
            <w:r w:rsidRPr="007C2D51">
              <w:rPr>
                <w:rFonts w:cs="Calibri"/>
                <w:color w:val="000000"/>
              </w:rPr>
              <w:t>16</w:t>
            </w:r>
          </w:p>
        </w:tc>
        <w:tc>
          <w:tcPr>
            <w:tcW w:w="0" w:type="auto"/>
            <w:tcBorders>
              <w:top w:val="none" w:sz="0" w:space="0" w:color="auto"/>
              <w:bottom w:val="none" w:sz="0" w:space="0" w:color="auto"/>
            </w:tcBorders>
            <w:shd w:val="clear" w:color="auto" w:fill="auto"/>
            <w:vAlign w:val="bottom"/>
          </w:tcPr>
          <w:p w:rsidR="00251EE7" w:rsidRPr="007C2D51" w:rsidRDefault="00251EE7" w:rsidP="00E9105A">
            <w:pPr>
              <w:jc w:val="right"/>
              <w:cnfStyle w:val="000000100000"/>
              <w:rPr>
                <w:rFonts w:cs="Calibri"/>
                <w:color w:val="000000"/>
              </w:rPr>
            </w:pPr>
            <w:r w:rsidRPr="007C2D51">
              <w:rPr>
                <w:rFonts w:cs="Calibri"/>
                <w:color w:val="000000"/>
              </w:rPr>
              <w:t>0</w:t>
            </w:r>
          </w:p>
        </w:tc>
        <w:tc>
          <w:tcPr>
            <w:tcW w:w="1152" w:type="dxa"/>
            <w:tcBorders>
              <w:top w:val="none" w:sz="0" w:space="0" w:color="auto"/>
              <w:bottom w:val="none" w:sz="0" w:space="0" w:color="auto"/>
            </w:tcBorders>
            <w:shd w:val="clear" w:color="auto" w:fill="auto"/>
            <w:noWrap/>
            <w:vAlign w:val="bottom"/>
          </w:tcPr>
          <w:p w:rsidR="00251EE7" w:rsidRPr="007C2D51" w:rsidRDefault="00251EE7" w:rsidP="00E9105A">
            <w:pPr>
              <w:jc w:val="right"/>
              <w:cnfStyle w:val="000000100000"/>
            </w:pPr>
            <w:r w:rsidRPr="007C2D51">
              <w:t>0%</w:t>
            </w:r>
          </w:p>
        </w:tc>
        <w:tc>
          <w:tcPr>
            <w:tcW w:w="1152" w:type="dxa"/>
            <w:tcBorders>
              <w:top w:val="none" w:sz="0" w:space="0" w:color="auto"/>
              <w:bottom w:val="none" w:sz="0" w:space="0" w:color="auto"/>
            </w:tcBorders>
            <w:shd w:val="clear" w:color="auto" w:fill="auto"/>
            <w:noWrap/>
            <w:vAlign w:val="bottom"/>
          </w:tcPr>
          <w:p w:rsidR="00251EE7" w:rsidRPr="007C2D51" w:rsidRDefault="00251EE7" w:rsidP="00E9105A">
            <w:pPr>
              <w:jc w:val="right"/>
              <w:cnfStyle w:val="000000100000"/>
            </w:pPr>
            <w:r w:rsidRPr="007C2D51">
              <w:t>0%</w:t>
            </w:r>
          </w:p>
        </w:tc>
        <w:tc>
          <w:tcPr>
            <w:tcW w:w="1152" w:type="dxa"/>
            <w:tcBorders>
              <w:top w:val="none" w:sz="0" w:space="0" w:color="auto"/>
              <w:bottom w:val="none" w:sz="0" w:space="0" w:color="auto"/>
            </w:tcBorders>
            <w:shd w:val="clear" w:color="auto" w:fill="auto"/>
            <w:noWrap/>
            <w:vAlign w:val="bottom"/>
          </w:tcPr>
          <w:p w:rsidR="00251EE7" w:rsidRPr="007C2D51" w:rsidRDefault="00251EE7" w:rsidP="00E9105A">
            <w:pPr>
              <w:jc w:val="right"/>
              <w:cnfStyle w:val="000000100000"/>
            </w:pPr>
            <w:r w:rsidRPr="007C2D51">
              <w:t>0%</w:t>
            </w:r>
          </w:p>
        </w:tc>
        <w:tc>
          <w:tcPr>
            <w:tcW w:w="0" w:type="auto"/>
            <w:tcBorders>
              <w:top w:val="none" w:sz="0" w:space="0" w:color="auto"/>
              <w:bottom w:val="none" w:sz="0" w:space="0" w:color="auto"/>
              <w:right w:val="none" w:sz="0" w:space="0" w:color="auto"/>
            </w:tcBorders>
            <w:shd w:val="clear" w:color="auto" w:fill="auto"/>
            <w:noWrap/>
            <w:vAlign w:val="bottom"/>
          </w:tcPr>
          <w:p w:rsidR="00251EE7" w:rsidRPr="007C2D51" w:rsidRDefault="00251EE7" w:rsidP="00E9105A">
            <w:pPr>
              <w:jc w:val="right"/>
              <w:cnfStyle w:val="000000100000"/>
            </w:pPr>
            <w:r w:rsidRPr="007C2D51">
              <w:t>0%</w:t>
            </w:r>
          </w:p>
        </w:tc>
      </w:tr>
      <w:tr w:rsidR="00251EE7" w:rsidRPr="007C2D51" w:rsidTr="00F15767">
        <w:trPr>
          <w:trHeight w:val="300"/>
        </w:trPr>
        <w:tc>
          <w:tcPr>
            <w:cnfStyle w:val="001000000000"/>
            <w:tcW w:w="0" w:type="auto"/>
            <w:shd w:val="clear" w:color="auto" w:fill="475A8D" w:themeFill="accent6"/>
            <w:noWrap/>
            <w:vAlign w:val="bottom"/>
          </w:tcPr>
          <w:p w:rsidR="00251EE7" w:rsidRPr="007C2D51" w:rsidRDefault="00251EE7" w:rsidP="00251EE7">
            <w:pPr>
              <w:rPr>
                <w:color w:val="FFFFFF" w:themeColor="background1"/>
              </w:rPr>
            </w:pPr>
            <w:r w:rsidRPr="007C2D51">
              <w:rPr>
                <w:color w:val="FFFFFF" w:themeColor="background1"/>
              </w:rPr>
              <w:t>Planning Projects</w:t>
            </w:r>
          </w:p>
        </w:tc>
        <w:tc>
          <w:tcPr>
            <w:tcW w:w="0" w:type="auto"/>
            <w:shd w:val="clear" w:color="auto" w:fill="475A8D" w:themeFill="accent6"/>
            <w:vAlign w:val="bottom"/>
          </w:tcPr>
          <w:p w:rsidR="00251EE7" w:rsidRPr="007C2D51" w:rsidRDefault="00251EE7" w:rsidP="00E9105A">
            <w:pPr>
              <w:jc w:val="right"/>
              <w:cnfStyle w:val="000000000000"/>
              <w:rPr>
                <w:rFonts w:cs="Calibri"/>
                <w:b/>
                <w:color w:val="FFFFFF" w:themeColor="background1"/>
              </w:rPr>
            </w:pPr>
            <w:r w:rsidRPr="007C2D51">
              <w:rPr>
                <w:rFonts w:cs="Calibri"/>
                <w:b/>
                <w:color w:val="FFFFFF" w:themeColor="background1"/>
              </w:rPr>
              <w:t>11</w:t>
            </w:r>
          </w:p>
        </w:tc>
        <w:tc>
          <w:tcPr>
            <w:tcW w:w="0" w:type="auto"/>
            <w:shd w:val="clear" w:color="auto" w:fill="475A8D" w:themeFill="accent6"/>
            <w:vAlign w:val="bottom"/>
          </w:tcPr>
          <w:p w:rsidR="00251EE7" w:rsidRPr="007C2D51" w:rsidRDefault="00251EE7" w:rsidP="00E9105A">
            <w:pPr>
              <w:jc w:val="right"/>
              <w:cnfStyle w:val="000000000000"/>
              <w:rPr>
                <w:b/>
                <w:color w:val="FFFFFF" w:themeColor="background1"/>
              </w:rPr>
            </w:pPr>
            <w:r w:rsidRPr="007C2D51">
              <w:rPr>
                <w:b/>
                <w:color w:val="FFFFFF" w:themeColor="background1"/>
              </w:rPr>
              <w:t>0</w:t>
            </w:r>
          </w:p>
        </w:tc>
        <w:tc>
          <w:tcPr>
            <w:tcW w:w="1152" w:type="dxa"/>
            <w:shd w:val="clear" w:color="auto" w:fill="475A8D" w:themeFill="accent6"/>
            <w:noWrap/>
            <w:vAlign w:val="bottom"/>
          </w:tcPr>
          <w:p w:rsidR="00251EE7" w:rsidRPr="007C2D51" w:rsidRDefault="00251EE7" w:rsidP="00E9105A">
            <w:pPr>
              <w:jc w:val="right"/>
              <w:cnfStyle w:val="000000000000"/>
              <w:rPr>
                <w:rFonts w:cs="Calibri"/>
                <w:b/>
                <w:color w:val="FFFFFF" w:themeColor="background1"/>
              </w:rPr>
            </w:pPr>
            <w:r w:rsidRPr="007C2D51">
              <w:rPr>
                <w:rFonts w:cs="Calibri"/>
                <w:b/>
                <w:color w:val="FFFFFF" w:themeColor="background1"/>
              </w:rPr>
              <w:t>0%</w:t>
            </w:r>
          </w:p>
        </w:tc>
        <w:tc>
          <w:tcPr>
            <w:tcW w:w="1152" w:type="dxa"/>
            <w:shd w:val="clear" w:color="auto" w:fill="475A8D" w:themeFill="accent6"/>
            <w:noWrap/>
            <w:vAlign w:val="bottom"/>
          </w:tcPr>
          <w:p w:rsidR="00251EE7" w:rsidRPr="007C2D51" w:rsidRDefault="00251EE7" w:rsidP="00E9105A">
            <w:pPr>
              <w:jc w:val="right"/>
              <w:cnfStyle w:val="000000000000"/>
              <w:rPr>
                <w:b/>
                <w:color w:val="FFFFFF" w:themeColor="background1"/>
              </w:rPr>
            </w:pPr>
            <w:r w:rsidRPr="007C2D51">
              <w:rPr>
                <w:b/>
                <w:color w:val="FFFFFF" w:themeColor="background1"/>
              </w:rPr>
              <w:t>0%</w:t>
            </w:r>
          </w:p>
        </w:tc>
        <w:tc>
          <w:tcPr>
            <w:tcW w:w="1152" w:type="dxa"/>
            <w:shd w:val="clear" w:color="auto" w:fill="475A8D" w:themeFill="accent6"/>
            <w:noWrap/>
            <w:vAlign w:val="bottom"/>
          </w:tcPr>
          <w:p w:rsidR="00251EE7" w:rsidRPr="007C2D51" w:rsidRDefault="00251EE7" w:rsidP="00E9105A">
            <w:pPr>
              <w:jc w:val="right"/>
              <w:cnfStyle w:val="000000000000"/>
              <w:rPr>
                <w:b/>
                <w:color w:val="FFFFFF" w:themeColor="background1"/>
              </w:rPr>
            </w:pPr>
            <w:r w:rsidRPr="007C2D51">
              <w:rPr>
                <w:b/>
                <w:color w:val="FFFFFF" w:themeColor="background1"/>
              </w:rPr>
              <w:t>0%</w:t>
            </w:r>
          </w:p>
        </w:tc>
        <w:tc>
          <w:tcPr>
            <w:tcW w:w="0" w:type="auto"/>
            <w:shd w:val="clear" w:color="auto" w:fill="475A8D" w:themeFill="accent6"/>
            <w:noWrap/>
            <w:vAlign w:val="bottom"/>
          </w:tcPr>
          <w:p w:rsidR="00251EE7" w:rsidRPr="007C2D51" w:rsidRDefault="00251EE7" w:rsidP="00E9105A">
            <w:pPr>
              <w:jc w:val="right"/>
              <w:cnfStyle w:val="000000000000"/>
              <w:rPr>
                <w:b/>
                <w:color w:val="FFFFFF" w:themeColor="background1"/>
              </w:rPr>
            </w:pPr>
            <w:r w:rsidRPr="007C2D51">
              <w:rPr>
                <w:b/>
                <w:color w:val="FFFFFF" w:themeColor="background1"/>
              </w:rPr>
              <w:t>0%</w:t>
            </w:r>
          </w:p>
        </w:tc>
      </w:tr>
      <w:tr w:rsidR="00251EE7" w:rsidRPr="007C2D51" w:rsidTr="00F15767">
        <w:trPr>
          <w:cnfStyle w:val="000000100000"/>
          <w:trHeight w:val="300"/>
        </w:trPr>
        <w:tc>
          <w:tcPr>
            <w:cnfStyle w:val="001000000000"/>
            <w:tcW w:w="0" w:type="auto"/>
            <w:tcBorders>
              <w:top w:val="none" w:sz="0" w:space="0" w:color="auto"/>
              <w:left w:val="none" w:sz="0" w:space="0" w:color="auto"/>
              <w:bottom w:val="none" w:sz="0" w:space="0" w:color="auto"/>
            </w:tcBorders>
            <w:shd w:val="clear" w:color="auto" w:fill="auto"/>
            <w:noWrap/>
            <w:vAlign w:val="bottom"/>
          </w:tcPr>
          <w:p w:rsidR="00251EE7" w:rsidRPr="007C2D51" w:rsidRDefault="00251EE7" w:rsidP="00251EE7">
            <w:r w:rsidRPr="007C2D51">
              <w:t>Feasibility studies</w:t>
            </w:r>
          </w:p>
        </w:tc>
        <w:tc>
          <w:tcPr>
            <w:tcW w:w="0" w:type="auto"/>
            <w:tcBorders>
              <w:top w:val="none" w:sz="0" w:space="0" w:color="auto"/>
              <w:bottom w:val="none" w:sz="0" w:space="0" w:color="auto"/>
            </w:tcBorders>
            <w:shd w:val="clear" w:color="auto" w:fill="auto"/>
            <w:vAlign w:val="bottom"/>
          </w:tcPr>
          <w:p w:rsidR="00251EE7" w:rsidRPr="007C2D51" w:rsidRDefault="00251EE7" w:rsidP="00E9105A">
            <w:pPr>
              <w:jc w:val="right"/>
              <w:cnfStyle w:val="000000100000"/>
              <w:rPr>
                <w:rFonts w:cs="Calibri"/>
                <w:color w:val="000000"/>
              </w:rPr>
            </w:pPr>
            <w:r w:rsidRPr="007C2D51">
              <w:rPr>
                <w:rFonts w:cs="Calibri"/>
                <w:color w:val="000000"/>
              </w:rPr>
              <w:t>11</w:t>
            </w:r>
          </w:p>
        </w:tc>
        <w:tc>
          <w:tcPr>
            <w:tcW w:w="0" w:type="auto"/>
            <w:tcBorders>
              <w:top w:val="none" w:sz="0" w:space="0" w:color="auto"/>
              <w:bottom w:val="none" w:sz="0" w:space="0" w:color="auto"/>
            </w:tcBorders>
            <w:shd w:val="clear" w:color="auto" w:fill="auto"/>
            <w:vAlign w:val="bottom"/>
          </w:tcPr>
          <w:p w:rsidR="00251EE7" w:rsidRPr="007C2D51" w:rsidRDefault="00251EE7" w:rsidP="00E9105A">
            <w:pPr>
              <w:jc w:val="right"/>
              <w:cnfStyle w:val="000000100000"/>
            </w:pPr>
            <w:r w:rsidRPr="007C2D51">
              <w:t>0</w:t>
            </w:r>
          </w:p>
        </w:tc>
        <w:tc>
          <w:tcPr>
            <w:tcW w:w="1152" w:type="dxa"/>
            <w:tcBorders>
              <w:top w:val="none" w:sz="0" w:space="0" w:color="auto"/>
              <w:bottom w:val="none" w:sz="0" w:space="0" w:color="auto"/>
            </w:tcBorders>
            <w:shd w:val="clear" w:color="auto" w:fill="auto"/>
            <w:noWrap/>
            <w:vAlign w:val="bottom"/>
          </w:tcPr>
          <w:p w:rsidR="00251EE7" w:rsidRPr="007C2D51" w:rsidRDefault="00251EE7" w:rsidP="00E9105A">
            <w:pPr>
              <w:jc w:val="right"/>
              <w:cnfStyle w:val="000000100000"/>
              <w:rPr>
                <w:rFonts w:cs="Calibri"/>
                <w:color w:val="000000"/>
              </w:rPr>
            </w:pPr>
            <w:r w:rsidRPr="007C2D51">
              <w:rPr>
                <w:rFonts w:cs="Calibri"/>
                <w:color w:val="000000"/>
              </w:rPr>
              <w:t>0%</w:t>
            </w:r>
          </w:p>
        </w:tc>
        <w:tc>
          <w:tcPr>
            <w:tcW w:w="1152" w:type="dxa"/>
            <w:tcBorders>
              <w:top w:val="none" w:sz="0" w:space="0" w:color="auto"/>
              <w:bottom w:val="none" w:sz="0" w:space="0" w:color="auto"/>
            </w:tcBorders>
            <w:shd w:val="clear" w:color="auto" w:fill="auto"/>
            <w:noWrap/>
            <w:vAlign w:val="bottom"/>
          </w:tcPr>
          <w:p w:rsidR="00251EE7" w:rsidRPr="007C2D51" w:rsidRDefault="00251EE7" w:rsidP="00E9105A">
            <w:pPr>
              <w:jc w:val="right"/>
              <w:cnfStyle w:val="000000100000"/>
            </w:pPr>
            <w:r w:rsidRPr="007C2D51">
              <w:t>0%</w:t>
            </w:r>
          </w:p>
        </w:tc>
        <w:tc>
          <w:tcPr>
            <w:tcW w:w="1152" w:type="dxa"/>
            <w:tcBorders>
              <w:top w:val="none" w:sz="0" w:space="0" w:color="auto"/>
              <w:bottom w:val="none" w:sz="0" w:space="0" w:color="auto"/>
            </w:tcBorders>
            <w:shd w:val="clear" w:color="auto" w:fill="auto"/>
            <w:noWrap/>
            <w:vAlign w:val="bottom"/>
          </w:tcPr>
          <w:p w:rsidR="00251EE7" w:rsidRPr="007C2D51" w:rsidRDefault="00251EE7" w:rsidP="00E9105A">
            <w:pPr>
              <w:jc w:val="right"/>
              <w:cnfStyle w:val="000000100000"/>
            </w:pPr>
            <w:r w:rsidRPr="007C2D51">
              <w:t>0%</w:t>
            </w:r>
          </w:p>
        </w:tc>
        <w:tc>
          <w:tcPr>
            <w:tcW w:w="0" w:type="auto"/>
            <w:tcBorders>
              <w:top w:val="none" w:sz="0" w:space="0" w:color="auto"/>
              <w:bottom w:val="none" w:sz="0" w:space="0" w:color="auto"/>
              <w:right w:val="none" w:sz="0" w:space="0" w:color="auto"/>
            </w:tcBorders>
            <w:shd w:val="clear" w:color="auto" w:fill="auto"/>
            <w:noWrap/>
            <w:vAlign w:val="bottom"/>
          </w:tcPr>
          <w:p w:rsidR="00251EE7" w:rsidRPr="007C2D51" w:rsidRDefault="00251EE7" w:rsidP="00E9105A">
            <w:pPr>
              <w:jc w:val="right"/>
              <w:cnfStyle w:val="000000100000"/>
            </w:pPr>
            <w:r w:rsidRPr="007C2D51">
              <w:t>0%</w:t>
            </w:r>
          </w:p>
        </w:tc>
      </w:tr>
      <w:tr w:rsidR="00251EE7" w:rsidRPr="007C2D51" w:rsidTr="00F15767">
        <w:trPr>
          <w:trHeight w:val="300"/>
        </w:trPr>
        <w:tc>
          <w:tcPr>
            <w:cnfStyle w:val="001000000000"/>
            <w:tcW w:w="0" w:type="auto"/>
            <w:shd w:val="clear" w:color="auto" w:fill="475A8D" w:themeFill="accent6"/>
            <w:noWrap/>
            <w:vAlign w:val="bottom"/>
          </w:tcPr>
          <w:p w:rsidR="00251EE7" w:rsidRPr="007C2D51" w:rsidRDefault="00251EE7" w:rsidP="00251EE7">
            <w:pPr>
              <w:rPr>
                <w:color w:val="FFFFFF" w:themeColor="background1"/>
              </w:rPr>
            </w:pPr>
            <w:r w:rsidRPr="007C2D51">
              <w:rPr>
                <w:color w:val="FFFFFF" w:themeColor="background1"/>
              </w:rPr>
              <w:t>Total</w:t>
            </w:r>
          </w:p>
        </w:tc>
        <w:tc>
          <w:tcPr>
            <w:tcW w:w="0" w:type="auto"/>
            <w:shd w:val="clear" w:color="auto" w:fill="475A8D" w:themeFill="accent6"/>
            <w:vAlign w:val="bottom"/>
          </w:tcPr>
          <w:p w:rsidR="00251EE7" w:rsidRPr="007C2D51" w:rsidRDefault="00251EE7" w:rsidP="00E9105A">
            <w:pPr>
              <w:jc w:val="right"/>
              <w:cnfStyle w:val="000000000000"/>
              <w:rPr>
                <w:rFonts w:cs="Calibri"/>
                <w:b/>
                <w:bCs/>
                <w:color w:val="FFFFFF" w:themeColor="background1"/>
              </w:rPr>
            </w:pPr>
            <w:r w:rsidRPr="007C2D51">
              <w:rPr>
                <w:rFonts w:cs="Calibri"/>
                <w:b/>
                <w:bCs/>
                <w:color w:val="FFFFFF" w:themeColor="background1"/>
              </w:rPr>
              <w:t>1027</w:t>
            </w:r>
          </w:p>
        </w:tc>
        <w:tc>
          <w:tcPr>
            <w:tcW w:w="0" w:type="auto"/>
            <w:shd w:val="clear" w:color="auto" w:fill="475A8D" w:themeFill="accent6"/>
            <w:vAlign w:val="bottom"/>
          </w:tcPr>
          <w:p w:rsidR="00251EE7" w:rsidRPr="007C2D51" w:rsidRDefault="00251EE7" w:rsidP="00E9105A">
            <w:pPr>
              <w:jc w:val="right"/>
              <w:cnfStyle w:val="000000000000"/>
              <w:rPr>
                <w:b/>
                <w:color w:val="FFFFFF" w:themeColor="background1"/>
              </w:rPr>
            </w:pPr>
            <w:r w:rsidRPr="007C2D51">
              <w:rPr>
                <w:rFonts w:cs="Calibri"/>
                <w:b/>
                <w:bCs/>
                <w:color w:val="FFFFFF" w:themeColor="background1"/>
              </w:rPr>
              <w:t xml:space="preserve"> 55,275,245</w:t>
            </w:r>
          </w:p>
        </w:tc>
        <w:tc>
          <w:tcPr>
            <w:tcW w:w="1152" w:type="dxa"/>
            <w:shd w:val="clear" w:color="auto" w:fill="475A8D" w:themeFill="accent6"/>
            <w:noWrap/>
            <w:vAlign w:val="bottom"/>
          </w:tcPr>
          <w:p w:rsidR="00251EE7" w:rsidRPr="007C2D51" w:rsidRDefault="0009209A" w:rsidP="00E9105A">
            <w:pPr>
              <w:jc w:val="right"/>
              <w:cnfStyle w:val="000000000000"/>
              <w:rPr>
                <w:b/>
                <w:color w:val="FFFFFF" w:themeColor="background1"/>
              </w:rPr>
            </w:pPr>
            <w:r w:rsidRPr="007C2D51">
              <w:rPr>
                <w:b/>
                <w:color w:val="FFFFFF" w:themeColor="background1"/>
              </w:rPr>
              <w:t>100</w:t>
            </w:r>
            <w:r w:rsidR="00251EE7" w:rsidRPr="007C2D51">
              <w:rPr>
                <w:b/>
                <w:color w:val="FFFFFF" w:themeColor="background1"/>
              </w:rPr>
              <w:t>%</w:t>
            </w:r>
          </w:p>
        </w:tc>
        <w:tc>
          <w:tcPr>
            <w:tcW w:w="1152" w:type="dxa"/>
            <w:shd w:val="clear" w:color="auto" w:fill="475A8D" w:themeFill="accent6"/>
            <w:noWrap/>
            <w:vAlign w:val="bottom"/>
          </w:tcPr>
          <w:p w:rsidR="00251EE7" w:rsidRPr="007C2D51" w:rsidRDefault="0009209A" w:rsidP="00E9105A">
            <w:pPr>
              <w:jc w:val="right"/>
              <w:cnfStyle w:val="000000000000"/>
              <w:rPr>
                <w:b/>
                <w:color w:val="FFFFFF" w:themeColor="background1"/>
              </w:rPr>
            </w:pPr>
            <w:r w:rsidRPr="007C2D51">
              <w:rPr>
                <w:b/>
                <w:color w:val="FFFFFF" w:themeColor="background1"/>
              </w:rPr>
              <w:t>100</w:t>
            </w:r>
            <w:r w:rsidR="00251EE7" w:rsidRPr="007C2D51">
              <w:rPr>
                <w:b/>
                <w:color w:val="FFFFFF" w:themeColor="background1"/>
              </w:rPr>
              <w:t>%</w:t>
            </w:r>
          </w:p>
        </w:tc>
        <w:tc>
          <w:tcPr>
            <w:tcW w:w="1152" w:type="dxa"/>
            <w:shd w:val="clear" w:color="auto" w:fill="475A8D" w:themeFill="accent6"/>
            <w:noWrap/>
            <w:vAlign w:val="bottom"/>
          </w:tcPr>
          <w:p w:rsidR="00251EE7" w:rsidRPr="007C2D51" w:rsidRDefault="0009209A" w:rsidP="00E9105A">
            <w:pPr>
              <w:jc w:val="right"/>
              <w:cnfStyle w:val="000000000000"/>
              <w:rPr>
                <w:b/>
                <w:color w:val="FFFFFF" w:themeColor="background1"/>
              </w:rPr>
            </w:pPr>
            <w:r w:rsidRPr="007C2D51">
              <w:rPr>
                <w:b/>
                <w:color w:val="FFFFFF" w:themeColor="background1"/>
              </w:rPr>
              <w:t>100</w:t>
            </w:r>
            <w:r w:rsidR="00251EE7" w:rsidRPr="007C2D51">
              <w:rPr>
                <w:b/>
                <w:color w:val="FFFFFF" w:themeColor="background1"/>
              </w:rPr>
              <w:t>%</w:t>
            </w:r>
          </w:p>
        </w:tc>
        <w:tc>
          <w:tcPr>
            <w:tcW w:w="0" w:type="auto"/>
            <w:shd w:val="clear" w:color="auto" w:fill="475A8D" w:themeFill="accent6"/>
            <w:noWrap/>
            <w:vAlign w:val="bottom"/>
          </w:tcPr>
          <w:p w:rsidR="00251EE7" w:rsidRPr="007C2D51" w:rsidRDefault="00251EE7" w:rsidP="00E9105A">
            <w:pPr>
              <w:jc w:val="right"/>
              <w:cnfStyle w:val="000000000000"/>
              <w:rPr>
                <w:b/>
                <w:color w:val="FFFFFF" w:themeColor="background1"/>
              </w:rPr>
            </w:pPr>
            <w:r w:rsidRPr="007C2D51">
              <w:rPr>
                <w:b/>
                <w:color w:val="FFFFFF" w:themeColor="background1"/>
              </w:rPr>
              <w:t>100%</w:t>
            </w:r>
          </w:p>
        </w:tc>
      </w:tr>
    </w:tbl>
    <w:p w:rsidR="00675451" w:rsidRPr="007C2D51" w:rsidRDefault="00675451" w:rsidP="00A921AA"/>
    <w:p w:rsidR="00675451" w:rsidRPr="007C2D51" w:rsidRDefault="00675451">
      <w:r w:rsidRPr="007C2D51">
        <w:br w:type="page"/>
      </w:r>
    </w:p>
    <w:p w:rsidR="00A921AA" w:rsidRPr="007C2D51" w:rsidRDefault="00022E2F" w:rsidP="00A921AA">
      <w:r>
        <w:rPr>
          <w:lang w:eastAsia="en-US"/>
        </w:rPr>
        <w:lastRenderedPageBreak/>
        <w:pict>
          <v:shapetype id="_x0000_t202" coordsize="21600,21600" o:spt="202" path="m,l,21600r21600,l21600,xe">
            <v:stroke joinstyle="miter"/>
            <v:path gradientshapeok="t" o:connecttype="rect"/>
          </v:shapetype>
          <v:shape id="_x0000_s1047" type="#_x0000_t202" style="position:absolute;margin-left:137.75pt;margin-top:208.8pt;width:77pt;height:21.6pt;z-index:251745280" filled="f" stroked="f">
            <o:extrusion v:ext="view" rotationangle="10"/>
            <v:textbox style="mso-next-textbox:#_x0000_s1047">
              <w:txbxContent>
                <w:p w:rsidR="00F15767" w:rsidRPr="00850246" w:rsidRDefault="00F15767">
                  <w:pPr>
                    <w:rPr>
                      <w:sz w:val="16"/>
                      <w:szCs w:val="16"/>
                    </w:rPr>
                  </w:pPr>
                  <w:r w:rsidRPr="00850246">
                    <w:rPr>
                      <w:sz w:val="16"/>
                      <w:szCs w:val="16"/>
                    </w:rPr>
                    <w:t>Fixed-route trips</w:t>
                  </w:r>
                </w:p>
              </w:txbxContent>
            </v:textbox>
          </v:shape>
        </w:pict>
      </w:r>
      <w:r w:rsidR="00395114" w:rsidRPr="007C2D51">
        <w:rPr>
          <w:noProof/>
          <w:lang w:eastAsia="en-US"/>
        </w:rPr>
        <w:drawing>
          <wp:anchor distT="0" distB="0" distL="114300" distR="114300" simplePos="0" relativeHeight="251744256" behindDoc="0" locked="0" layoutInCell="1" allowOverlap="1">
            <wp:simplePos x="0" y="0"/>
            <wp:positionH relativeFrom="margin">
              <wp:align>center</wp:align>
            </wp:positionH>
            <wp:positionV relativeFrom="paragraph">
              <wp:posOffset>0</wp:posOffset>
            </wp:positionV>
            <wp:extent cx="5947576" cy="4977517"/>
            <wp:effectExtent l="25400" t="0" r="0" b="0"/>
            <wp:wrapTopAndBottom/>
            <wp:docPr id="1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p>
    <w:p w:rsidR="00A921AA" w:rsidRPr="007C2D51" w:rsidRDefault="00A921AA" w:rsidP="00E33BD2">
      <w:pPr>
        <w:pStyle w:val="TableTitle"/>
      </w:pPr>
      <w:bookmarkStart w:id="113" w:name="_Toc242773536"/>
      <w:bookmarkStart w:id="114" w:name="_Toc242869962"/>
      <w:bookmarkStart w:id="115" w:name="_Toc244658156"/>
      <w:bookmarkStart w:id="116" w:name="_Toc244658279"/>
      <w:bookmarkStart w:id="117" w:name="_Toc304967492"/>
      <w:r w:rsidRPr="007C2D51">
        <w:t xml:space="preserve">Figure </w:t>
      </w:r>
      <w:fldSimple w:instr=" STYLEREF 1 \s ">
        <w:r w:rsidR="00F35ACC">
          <w:rPr>
            <w:noProof/>
          </w:rPr>
          <w:t>4</w:t>
        </w:r>
      </w:fldSimple>
      <w:r w:rsidR="0009713B" w:rsidRPr="007C2D51">
        <w:noBreakHyphen/>
      </w:r>
      <w:fldSimple w:instr=" SEQ Figure \* ARABIC \s 1 ">
        <w:r w:rsidR="00F35ACC">
          <w:rPr>
            <w:noProof/>
          </w:rPr>
          <w:t>3</w:t>
        </w:r>
      </w:fldSimple>
      <w:r w:rsidR="00B46770" w:rsidRPr="007C2D51">
        <w:br/>
      </w:r>
      <w:r w:rsidR="00ED10FE" w:rsidRPr="007C2D51">
        <w:t xml:space="preserve">One-Way Trips by </w:t>
      </w:r>
      <w:r w:rsidRPr="007C2D51">
        <w:t xml:space="preserve">Service Type and </w:t>
      </w:r>
      <w:r w:rsidR="00B027E7" w:rsidRPr="007C2D51">
        <w:t xml:space="preserve">Size of </w:t>
      </w:r>
      <w:r w:rsidRPr="007C2D51">
        <w:t>Urbanized Area</w:t>
      </w:r>
      <w:r w:rsidR="00B027E7" w:rsidRPr="007C2D51" w:rsidDel="00B027E7">
        <w:t xml:space="preserve"> </w:t>
      </w:r>
      <w:r w:rsidR="0029388F" w:rsidRPr="007C2D51">
        <w:br/>
      </w:r>
      <w:r w:rsidRPr="007C2D51">
        <w:t>(</w:t>
      </w:r>
      <w:r w:rsidR="00B46770" w:rsidRPr="007C2D51">
        <w:t>Percentage by Column</w:t>
      </w:r>
      <w:r w:rsidRPr="007C2D51">
        <w:t>)</w:t>
      </w:r>
      <w:bookmarkEnd w:id="113"/>
      <w:bookmarkEnd w:id="114"/>
      <w:bookmarkEnd w:id="115"/>
      <w:bookmarkEnd w:id="116"/>
      <w:bookmarkEnd w:id="117"/>
    </w:p>
    <w:p w:rsidR="00A921AA" w:rsidRPr="007C2D51" w:rsidRDefault="00A921AA" w:rsidP="00A921AA"/>
    <w:p w:rsidR="00FD5E03" w:rsidRPr="007C2D51" w:rsidRDefault="00FD5E03">
      <w:r w:rsidRPr="007C2D51">
        <w:br w:type="page"/>
      </w:r>
    </w:p>
    <w:p w:rsidR="00254595" w:rsidRPr="007C2D51" w:rsidRDefault="00254595" w:rsidP="00AB34CA">
      <w:pPr>
        <w:pStyle w:val="Heading2"/>
      </w:pPr>
      <w:bookmarkStart w:id="118" w:name="_Toc304965694"/>
      <w:r w:rsidRPr="007C2D51">
        <w:lastRenderedPageBreak/>
        <w:t>Compare Trips and Services</w:t>
      </w:r>
      <w:bookmarkEnd w:id="118"/>
    </w:p>
    <w:p w:rsidR="00254595" w:rsidRPr="007C2D51" w:rsidRDefault="00254595" w:rsidP="00837682">
      <w:pPr>
        <w:pStyle w:val="BodyText"/>
      </w:pPr>
      <w:r w:rsidRPr="007C2D51">
        <w:t xml:space="preserve">The analysis compared the number of trips by service type </w:t>
      </w:r>
      <w:r w:rsidR="00FD5DCF" w:rsidRPr="007C2D51">
        <w:t>with</w:t>
      </w:r>
      <w:r w:rsidRPr="007C2D51">
        <w:t xml:space="preserve"> the number of programs</w:t>
      </w:r>
      <w:r w:rsidR="00FD5DCF" w:rsidRPr="007C2D51">
        <w:t>, focusing on trip-based services</w:t>
      </w:r>
      <w:r w:rsidR="00CE332B" w:rsidRPr="007C2D51">
        <w:t xml:space="preserve">.  </w:t>
      </w:r>
      <w:r w:rsidR="00FD5DCF" w:rsidRPr="007C2D51">
        <w:t>As Table 4-4 and Figure 4-4 illustrate, there is a clear divergence between the number of programs and the number of trips</w:t>
      </w:r>
      <w:r w:rsidR="00CE332B" w:rsidRPr="007C2D51">
        <w:t xml:space="preserve">.  </w:t>
      </w:r>
      <w:r w:rsidR="00FD5DCF" w:rsidRPr="007C2D51">
        <w:t xml:space="preserve">Specifically: </w:t>
      </w:r>
    </w:p>
    <w:p w:rsidR="00FD5DCF" w:rsidRPr="007C2D51" w:rsidRDefault="00FD5DCF" w:rsidP="00837682">
      <w:pPr>
        <w:pStyle w:val="ListBullet"/>
      </w:pPr>
      <w:r w:rsidRPr="007C2D51">
        <w:t xml:space="preserve">Overall, trip-based services comprised </w:t>
      </w:r>
      <w:r w:rsidR="00837682" w:rsidRPr="007C2D51">
        <w:t>79</w:t>
      </w:r>
      <w:r w:rsidRPr="007C2D51">
        <w:t>% of the services but (by definition) 9</w:t>
      </w:r>
      <w:r w:rsidR="00837682" w:rsidRPr="007C2D51">
        <w:t>9</w:t>
      </w:r>
      <w:r w:rsidRPr="007C2D51">
        <w:t>% of the one-way trips.</w:t>
      </w:r>
    </w:p>
    <w:p w:rsidR="00254595" w:rsidRPr="007C2D51" w:rsidRDefault="00254595" w:rsidP="00837682">
      <w:pPr>
        <w:pStyle w:val="ListBullet"/>
      </w:pPr>
      <w:r w:rsidRPr="007C2D51">
        <w:t xml:space="preserve">Fixed routes accounted for </w:t>
      </w:r>
      <w:r w:rsidR="00837682" w:rsidRPr="007C2D51">
        <w:t>39</w:t>
      </w:r>
      <w:r w:rsidRPr="007C2D51">
        <w:t xml:space="preserve">% of the JARC services but </w:t>
      </w:r>
      <w:r w:rsidR="00837682" w:rsidRPr="007C2D51">
        <w:t>86</w:t>
      </w:r>
      <w:r w:rsidRPr="007C2D51">
        <w:t>% of all one-way trips.</w:t>
      </w:r>
    </w:p>
    <w:p w:rsidR="00254595" w:rsidRPr="007C2D51" w:rsidRDefault="00837682" w:rsidP="00837682">
      <w:pPr>
        <w:pStyle w:val="ListBullet"/>
      </w:pPr>
      <w:r w:rsidRPr="007C2D51">
        <w:t>Demand response was the second most commonly reported service type, with 2</w:t>
      </w:r>
      <w:r w:rsidR="00864A4B" w:rsidRPr="007C2D51">
        <w:t>3</w:t>
      </w:r>
      <w:r w:rsidRPr="007C2D51">
        <w:t xml:space="preserve">% of the programs, but carried only </w:t>
      </w:r>
      <w:r w:rsidR="00864A4B" w:rsidRPr="007C2D51">
        <w:t>6</w:t>
      </w:r>
      <w:r w:rsidRPr="007C2D51">
        <w:t xml:space="preserve">% of the trips. </w:t>
      </w:r>
    </w:p>
    <w:p w:rsidR="00254595" w:rsidRPr="007C2D51" w:rsidRDefault="00254595" w:rsidP="00CE7C6F">
      <w:pPr>
        <w:pStyle w:val="BodyText"/>
      </w:pPr>
      <w:r w:rsidRPr="007C2D51">
        <w:t xml:space="preserve">This </w:t>
      </w:r>
      <w:r w:rsidR="00FD5DCF" w:rsidRPr="007C2D51">
        <w:t xml:space="preserve">pattern </w:t>
      </w:r>
      <w:r w:rsidRPr="007C2D51">
        <w:t>likely reflects several factors</w:t>
      </w:r>
      <w:r w:rsidR="00CE332B" w:rsidRPr="007C2D51">
        <w:t xml:space="preserve">.  </w:t>
      </w:r>
      <w:r w:rsidRPr="007C2D51">
        <w:t>First, as described earlier in this chapter, fixed route</w:t>
      </w:r>
      <w:r w:rsidR="009A66E3" w:rsidRPr="007C2D51">
        <w:t xml:space="preserve">s are more likely to use </w:t>
      </w:r>
      <w:r w:rsidRPr="007C2D51">
        <w:t xml:space="preserve">larger vehicles than other types of JARC-supported services and </w:t>
      </w:r>
      <w:r w:rsidR="009A66E3" w:rsidRPr="007C2D51">
        <w:t xml:space="preserve">to </w:t>
      </w:r>
      <w:r w:rsidR="00AB25C6" w:rsidRPr="007C2D51">
        <w:t xml:space="preserve">travel through </w:t>
      </w:r>
      <w:r w:rsidRPr="007C2D51">
        <w:t xml:space="preserve">densely developed </w:t>
      </w:r>
      <w:r w:rsidR="00864A4B" w:rsidRPr="007C2D51">
        <w:t xml:space="preserve">and high-ridership </w:t>
      </w:r>
      <w:r w:rsidRPr="007C2D51">
        <w:t>corridor</w:t>
      </w:r>
      <w:r w:rsidR="00864A4B" w:rsidRPr="007C2D51">
        <w:t>s</w:t>
      </w:r>
      <w:r w:rsidR="00CE332B" w:rsidRPr="007C2D51">
        <w:t xml:space="preserve">.  </w:t>
      </w:r>
      <w:r w:rsidRPr="007C2D51">
        <w:t xml:space="preserve">Demand response services </w:t>
      </w:r>
      <w:r w:rsidR="00AB25C6" w:rsidRPr="007C2D51">
        <w:t>typically</w:t>
      </w:r>
      <w:r w:rsidRPr="007C2D51">
        <w:t xml:space="preserve"> use vans and mini-buses, which carry fewer passengers than full-size buses, and they are more likely to operate in </w:t>
      </w:r>
      <w:r w:rsidR="009A66E3" w:rsidRPr="007C2D51">
        <w:t xml:space="preserve">low-density </w:t>
      </w:r>
      <w:r w:rsidRPr="007C2D51">
        <w:t>rural communities</w:t>
      </w:r>
      <w:r w:rsidR="00054AEA" w:rsidRPr="007C2D51">
        <w:t>. Second</w:t>
      </w:r>
      <w:r w:rsidR="00FD5DCF" w:rsidRPr="007C2D51">
        <w:t xml:space="preserve">, for purposes of this analysis, when a grant recipient used JARC funds to purchase a vehicle and place that vehicle in service, the resulting trips were assigned to the service rather than </w:t>
      </w:r>
      <w:r w:rsidR="009A66E3" w:rsidRPr="007C2D51">
        <w:t xml:space="preserve">to </w:t>
      </w:r>
      <w:r w:rsidR="00FD5DCF" w:rsidRPr="007C2D51">
        <w:t>the capital investment</w:t>
      </w:r>
      <w:r w:rsidR="00CE332B" w:rsidRPr="007C2D51">
        <w:t xml:space="preserve">.  </w:t>
      </w:r>
      <w:r w:rsidR="00AB25C6" w:rsidRPr="007C2D51">
        <w:t>Similarly, when a mobility manager program also provided service directly, the trips were attributed to the trip-based service and not to the mobility manager. These analytical conventions were intended to reduce double-counting but they also furth</w:t>
      </w:r>
      <w:r w:rsidR="009B6E1D" w:rsidRPr="007C2D51">
        <w:t xml:space="preserve">er </w:t>
      </w:r>
      <w:r w:rsidR="00AB25C6" w:rsidRPr="007C2D51">
        <w:t>affect</w:t>
      </w:r>
      <w:r w:rsidR="009B6E1D" w:rsidRPr="007C2D51">
        <w:t xml:space="preserve">ed the number of trips reported for </w:t>
      </w:r>
      <w:r w:rsidR="00AB25C6" w:rsidRPr="007C2D51">
        <w:t xml:space="preserve">information-based programs and </w:t>
      </w:r>
      <w:r w:rsidR="009B6E1D" w:rsidRPr="007C2D51">
        <w:t>capital projects in this analysis</w:t>
      </w:r>
      <w:r w:rsidR="00CE332B" w:rsidRPr="007C2D51">
        <w:t xml:space="preserve">.  </w:t>
      </w:r>
      <w:r w:rsidRPr="007C2D51">
        <w:br w:type="page"/>
      </w:r>
    </w:p>
    <w:p w:rsidR="00254595" w:rsidRPr="007C2D51" w:rsidRDefault="00254595" w:rsidP="00254595"/>
    <w:p w:rsidR="00254595" w:rsidRPr="007C2D51" w:rsidRDefault="001C2676" w:rsidP="001C2676">
      <w:pPr>
        <w:pStyle w:val="Caption"/>
      </w:pPr>
      <w:bookmarkStart w:id="119" w:name="_Toc304967475"/>
      <w:r w:rsidRPr="007C2D51">
        <w:t xml:space="preserve">Table </w:t>
      </w:r>
      <w:r w:rsidR="00022E2F" w:rsidRPr="007C2D51">
        <w:fldChar w:fldCharType="begin"/>
      </w:r>
      <w:r w:rsidR="00FB3E36" w:rsidRPr="007C2D51">
        <w:instrText xml:space="preserve"> STYLEREF 1 \s </w:instrText>
      </w:r>
      <w:r w:rsidR="00022E2F" w:rsidRPr="007C2D51">
        <w:fldChar w:fldCharType="separate"/>
      </w:r>
      <w:r w:rsidR="00F35ACC">
        <w:rPr>
          <w:noProof/>
        </w:rPr>
        <w:t>4</w:t>
      </w:r>
      <w:r w:rsidR="00022E2F" w:rsidRPr="007C2D51">
        <w:fldChar w:fldCharType="end"/>
      </w:r>
      <w:r w:rsidR="00FB3E36" w:rsidRPr="007C2D51">
        <w:noBreakHyphen/>
      </w:r>
      <w:r w:rsidR="00022E2F" w:rsidRPr="007C2D51">
        <w:fldChar w:fldCharType="begin"/>
      </w:r>
      <w:r w:rsidR="00FB3E36" w:rsidRPr="007C2D51">
        <w:instrText xml:space="preserve"> SEQ Table \* ARABIC \s 1 </w:instrText>
      </w:r>
      <w:r w:rsidR="00022E2F" w:rsidRPr="007C2D51">
        <w:fldChar w:fldCharType="separate"/>
      </w:r>
      <w:r w:rsidR="00F35ACC">
        <w:rPr>
          <w:noProof/>
        </w:rPr>
        <w:t>4</w:t>
      </w:r>
      <w:r w:rsidR="00022E2F" w:rsidRPr="007C2D51">
        <w:fldChar w:fldCharType="end"/>
      </w:r>
      <w:r w:rsidRPr="007C2D51">
        <w:br/>
        <w:t xml:space="preserve">Comparison of Services and </w:t>
      </w:r>
      <w:r w:rsidR="005C04BC" w:rsidRPr="007C2D51">
        <w:t xml:space="preserve">One-Way </w:t>
      </w:r>
      <w:r w:rsidR="008844B6" w:rsidRPr="007C2D51">
        <w:t xml:space="preserve">Trips </w:t>
      </w:r>
      <w:r w:rsidR="00FD5DCF" w:rsidRPr="007C2D51">
        <w:br/>
        <w:t xml:space="preserve">(Percentage </w:t>
      </w:r>
      <w:r w:rsidR="0065342B" w:rsidRPr="007C2D51">
        <w:t>by</w:t>
      </w:r>
      <w:r w:rsidR="00FD5DCF" w:rsidRPr="007C2D51">
        <w:t xml:space="preserve"> Column)</w:t>
      </w:r>
      <w:bookmarkEnd w:id="119"/>
    </w:p>
    <w:tbl>
      <w:tblPr>
        <w:tblStyle w:val="LightList-Accent6"/>
        <w:tblW w:w="41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21"/>
        <w:gridCol w:w="991"/>
        <w:gridCol w:w="711"/>
        <w:gridCol w:w="1222"/>
        <w:gridCol w:w="692"/>
      </w:tblGrid>
      <w:tr w:rsidR="00617A4E" w:rsidRPr="007C2D51" w:rsidTr="00F15767">
        <w:trPr>
          <w:cnfStyle w:val="100000000000"/>
          <w:trHeight w:val="233"/>
          <w:jc w:val="center"/>
        </w:trPr>
        <w:tc>
          <w:tcPr>
            <w:cnfStyle w:val="001000000000"/>
            <w:tcW w:w="2722" w:type="pct"/>
            <w:vMerge w:val="restart"/>
            <w:noWrap/>
            <w:vAlign w:val="bottom"/>
          </w:tcPr>
          <w:p w:rsidR="00617A4E" w:rsidRPr="007C2D51" w:rsidRDefault="00617A4E" w:rsidP="00617A4E">
            <w:r w:rsidRPr="007C2D51">
              <w:t>Service Type</w:t>
            </w:r>
          </w:p>
        </w:tc>
        <w:tc>
          <w:tcPr>
            <w:tcW w:w="1072" w:type="pct"/>
            <w:gridSpan w:val="2"/>
            <w:noWrap/>
            <w:vAlign w:val="bottom"/>
          </w:tcPr>
          <w:p w:rsidR="00617A4E" w:rsidRPr="007C2D51" w:rsidRDefault="00617A4E" w:rsidP="00617A4E">
            <w:pPr>
              <w:jc w:val="center"/>
              <w:cnfStyle w:val="100000000000"/>
            </w:pPr>
            <w:r w:rsidRPr="007C2D51">
              <w:t>Services</w:t>
            </w:r>
          </w:p>
        </w:tc>
        <w:tc>
          <w:tcPr>
            <w:tcW w:w="1206" w:type="pct"/>
            <w:gridSpan w:val="2"/>
            <w:vAlign w:val="bottom"/>
          </w:tcPr>
          <w:p w:rsidR="00617A4E" w:rsidRPr="007C2D51" w:rsidRDefault="00617A4E" w:rsidP="00617A4E">
            <w:pPr>
              <w:jc w:val="center"/>
              <w:cnfStyle w:val="100000000000"/>
            </w:pPr>
            <w:r w:rsidRPr="007C2D51">
              <w:t>One-Way Trips</w:t>
            </w:r>
          </w:p>
        </w:tc>
      </w:tr>
      <w:tr w:rsidR="00864A4B" w:rsidRPr="007C2D51" w:rsidTr="00F15767">
        <w:trPr>
          <w:cnfStyle w:val="000000100000"/>
          <w:trHeight w:val="232"/>
          <w:jc w:val="center"/>
        </w:trPr>
        <w:tc>
          <w:tcPr>
            <w:cnfStyle w:val="001000000000"/>
            <w:tcW w:w="2722" w:type="pct"/>
            <w:vMerge/>
            <w:tcBorders>
              <w:top w:val="none" w:sz="0" w:space="0" w:color="auto"/>
              <w:left w:val="none" w:sz="0" w:space="0" w:color="auto"/>
              <w:bottom w:val="none" w:sz="0" w:space="0" w:color="auto"/>
            </w:tcBorders>
            <w:shd w:val="clear" w:color="auto" w:fill="475A8D" w:themeFill="accent6"/>
            <w:noWrap/>
            <w:vAlign w:val="bottom"/>
          </w:tcPr>
          <w:p w:rsidR="00617A4E" w:rsidRPr="007C2D51" w:rsidRDefault="00617A4E" w:rsidP="00617A4E"/>
        </w:tc>
        <w:tc>
          <w:tcPr>
            <w:tcW w:w="624" w:type="pct"/>
            <w:tcBorders>
              <w:top w:val="none" w:sz="0" w:space="0" w:color="auto"/>
              <w:bottom w:val="none" w:sz="0" w:space="0" w:color="auto"/>
            </w:tcBorders>
            <w:shd w:val="clear" w:color="auto" w:fill="475A8D" w:themeFill="accent6"/>
            <w:noWrap/>
            <w:vAlign w:val="bottom"/>
          </w:tcPr>
          <w:p w:rsidR="00617A4E" w:rsidRPr="007C2D51" w:rsidRDefault="00617A4E" w:rsidP="00617A4E">
            <w:pPr>
              <w:jc w:val="center"/>
              <w:cnfStyle w:val="000000100000"/>
              <w:rPr>
                <w:b/>
                <w:color w:val="FFFFFF" w:themeColor="background1"/>
              </w:rPr>
            </w:pPr>
            <w:r w:rsidRPr="007C2D51">
              <w:rPr>
                <w:b/>
                <w:color w:val="FFFFFF" w:themeColor="background1"/>
              </w:rPr>
              <w:t>#</w:t>
            </w:r>
          </w:p>
        </w:tc>
        <w:tc>
          <w:tcPr>
            <w:tcW w:w="448" w:type="pct"/>
            <w:tcBorders>
              <w:top w:val="none" w:sz="0" w:space="0" w:color="auto"/>
              <w:bottom w:val="none" w:sz="0" w:space="0" w:color="auto"/>
            </w:tcBorders>
            <w:shd w:val="clear" w:color="auto" w:fill="475A8D" w:themeFill="accent6"/>
          </w:tcPr>
          <w:p w:rsidR="00617A4E" w:rsidRPr="007C2D51" w:rsidRDefault="00617A4E" w:rsidP="00617A4E">
            <w:pPr>
              <w:jc w:val="center"/>
              <w:cnfStyle w:val="000000100000"/>
              <w:rPr>
                <w:b/>
                <w:color w:val="FFFFFF" w:themeColor="background1"/>
              </w:rPr>
            </w:pPr>
            <w:r w:rsidRPr="007C2D51">
              <w:rPr>
                <w:b/>
                <w:color w:val="FFFFFF" w:themeColor="background1"/>
              </w:rPr>
              <w:t>%</w:t>
            </w:r>
          </w:p>
        </w:tc>
        <w:tc>
          <w:tcPr>
            <w:tcW w:w="770" w:type="pct"/>
            <w:tcBorders>
              <w:top w:val="none" w:sz="0" w:space="0" w:color="auto"/>
              <w:bottom w:val="none" w:sz="0" w:space="0" w:color="auto"/>
            </w:tcBorders>
            <w:shd w:val="clear" w:color="auto" w:fill="475A8D" w:themeFill="accent6"/>
            <w:vAlign w:val="bottom"/>
          </w:tcPr>
          <w:p w:rsidR="00617A4E" w:rsidRPr="007C2D51" w:rsidRDefault="00617A4E" w:rsidP="00617A4E">
            <w:pPr>
              <w:jc w:val="center"/>
              <w:cnfStyle w:val="000000100000"/>
              <w:rPr>
                <w:b/>
                <w:color w:val="FFFFFF" w:themeColor="background1"/>
              </w:rPr>
            </w:pPr>
            <w:r w:rsidRPr="007C2D51">
              <w:rPr>
                <w:b/>
                <w:color w:val="FFFFFF" w:themeColor="background1"/>
              </w:rPr>
              <w:t>#</w:t>
            </w:r>
          </w:p>
        </w:tc>
        <w:tc>
          <w:tcPr>
            <w:tcW w:w="436" w:type="pct"/>
            <w:tcBorders>
              <w:top w:val="none" w:sz="0" w:space="0" w:color="auto"/>
              <w:bottom w:val="none" w:sz="0" w:space="0" w:color="auto"/>
              <w:right w:val="none" w:sz="0" w:space="0" w:color="auto"/>
            </w:tcBorders>
            <w:shd w:val="clear" w:color="auto" w:fill="475A8D" w:themeFill="accent6"/>
            <w:noWrap/>
            <w:vAlign w:val="bottom"/>
          </w:tcPr>
          <w:p w:rsidR="00617A4E" w:rsidRPr="007C2D51" w:rsidRDefault="00617A4E" w:rsidP="00617A4E">
            <w:pPr>
              <w:jc w:val="center"/>
              <w:cnfStyle w:val="000000100000"/>
              <w:rPr>
                <w:b/>
                <w:color w:val="FFFFFF" w:themeColor="background1"/>
              </w:rPr>
            </w:pPr>
            <w:r w:rsidRPr="007C2D51">
              <w:rPr>
                <w:b/>
                <w:color w:val="FFFFFF" w:themeColor="background1"/>
              </w:rPr>
              <w:t>%</w:t>
            </w:r>
          </w:p>
        </w:tc>
      </w:tr>
      <w:tr w:rsidR="00617A4E" w:rsidRPr="007C2D51" w:rsidTr="00F15767">
        <w:trPr>
          <w:trHeight w:val="300"/>
          <w:jc w:val="center"/>
        </w:trPr>
        <w:tc>
          <w:tcPr>
            <w:cnfStyle w:val="001000000000"/>
            <w:tcW w:w="2722" w:type="pct"/>
            <w:shd w:val="clear" w:color="auto" w:fill="475A8D" w:themeFill="accent6"/>
            <w:noWrap/>
            <w:vAlign w:val="bottom"/>
          </w:tcPr>
          <w:p w:rsidR="00617A4E" w:rsidRPr="007C2D51" w:rsidRDefault="00617A4E" w:rsidP="00617A4E">
            <w:pPr>
              <w:rPr>
                <w:color w:val="FFFFFF" w:themeColor="background1"/>
              </w:rPr>
            </w:pPr>
            <w:r w:rsidRPr="007C2D51">
              <w:rPr>
                <w:color w:val="FFFFFF" w:themeColor="background1"/>
              </w:rPr>
              <w:t>Trip-Based Services</w:t>
            </w:r>
          </w:p>
        </w:tc>
        <w:tc>
          <w:tcPr>
            <w:tcW w:w="624" w:type="pct"/>
            <w:shd w:val="clear" w:color="auto" w:fill="475A8D" w:themeFill="accent6"/>
            <w:noWrap/>
            <w:vAlign w:val="bottom"/>
          </w:tcPr>
          <w:p w:rsidR="00617A4E" w:rsidRPr="007C2D51" w:rsidRDefault="00617A4E" w:rsidP="00617A4E">
            <w:pPr>
              <w:jc w:val="right"/>
              <w:cnfStyle w:val="000000000000"/>
              <w:rPr>
                <w:b/>
                <w:color w:val="FFFFFF" w:themeColor="background1"/>
              </w:rPr>
            </w:pPr>
            <w:r w:rsidRPr="007C2D51">
              <w:rPr>
                <w:b/>
                <w:color w:val="FFFFFF" w:themeColor="background1"/>
              </w:rPr>
              <w:t>813</w:t>
            </w:r>
          </w:p>
        </w:tc>
        <w:tc>
          <w:tcPr>
            <w:tcW w:w="448" w:type="pct"/>
            <w:shd w:val="clear" w:color="auto" w:fill="475A8D" w:themeFill="accent6"/>
            <w:vAlign w:val="bottom"/>
          </w:tcPr>
          <w:p w:rsidR="00617A4E" w:rsidRPr="007C2D51" w:rsidRDefault="00617A4E" w:rsidP="00617A4E">
            <w:pPr>
              <w:jc w:val="right"/>
              <w:cnfStyle w:val="000000000000"/>
              <w:rPr>
                <w:rFonts w:cs="Calibri"/>
                <w:b/>
                <w:bCs/>
                <w:color w:val="FFFFFF" w:themeColor="background1"/>
              </w:rPr>
            </w:pPr>
            <w:r w:rsidRPr="007C2D51">
              <w:rPr>
                <w:rFonts w:cs="Calibri"/>
                <w:b/>
                <w:bCs/>
                <w:color w:val="FFFFFF" w:themeColor="background1"/>
              </w:rPr>
              <w:t>79%</w:t>
            </w:r>
          </w:p>
        </w:tc>
        <w:tc>
          <w:tcPr>
            <w:tcW w:w="770" w:type="pct"/>
            <w:shd w:val="clear" w:color="auto" w:fill="475A8D" w:themeFill="accent6"/>
            <w:vAlign w:val="bottom"/>
          </w:tcPr>
          <w:p w:rsidR="00617A4E" w:rsidRPr="007C2D51" w:rsidRDefault="00617A4E" w:rsidP="00617A4E">
            <w:pPr>
              <w:jc w:val="right"/>
              <w:cnfStyle w:val="000000000000"/>
              <w:rPr>
                <w:rFonts w:cs="Calibri"/>
                <w:b/>
                <w:bCs/>
                <w:color w:val="FFFFFF" w:themeColor="background1"/>
              </w:rPr>
            </w:pPr>
            <w:r w:rsidRPr="007C2D51">
              <w:rPr>
                <w:rFonts w:cs="Calibri"/>
                <w:b/>
                <w:bCs/>
                <w:color w:val="FFFFFF" w:themeColor="background1"/>
              </w:rPr>
              <w:t xml:space="preserve">54,522,032 </w:t>
            </w:r>
          </w:p>
        </w:tc>
        <w:tc>
          <w:tcPr>
            <w:tcW w:w="436" w:type="pct"/>
            <w:shd w:val="clear" w:color="auto" w:fill="475A8D" w:themeFill="accent6"/>
            <w:noWrap/>
            <w:vAlign w:val="bottom"/>
          </w:tcPr>
          <w:p w:rsidR="00617A4E" w:rsidRPr="007C2D51" w:rsidRDefault="00617A4E" w:rsidP="00617A4E">
            <w:pPr>
              <w:jc w:val="right"/>
              <w:cnfStyle w:val="000000000000"/>
              <w:rPr>
                <w:b/>
                <w:color w:val="FFFFFF" w:themeColor="background1"/>
              </w:rPr>
            </w:pPr>
            <w:r w:rsidRPr="007C2D51">
              <w:rPr>
                <w:b/>
                <w:color w:val="FFFFFF" w:themeColor="background1"/>
              </w:rPr>
              <w:t>99%</w:t>
            </w:r>
          </w:p>
        </w:tc>
      </w:tr>
      <w:tr w:rsidR="00617A4E" w:rsidRPr="007C2D51" w:rsidTr="00F15767">
        <w:trPr>
          <w:cnfStyle w:val="000000100000"/>
          <w:trHeight w:val="300"/>
          <w:jc w:val="center"/>
        </w:trPr>
        <w:tc>
          <w:tcPr>
            <w:cnfStyle w:val="001000000000"/>
            <w:tcW w:w="2722" w:type="pct"/>
            <w:tcBorders>
              <w:top w:val="none" w:sz="0" w:space="0" w:color="auto"/>
              <w:left w:val="none" w:sz="0" w:space="0" w:color="auto"/>
              <w:bottom w:val="none" w:sz="0" w:space="0" w:color="auto"/>
            </w:tcBorders>
            <w:noWrap/>
            <w:vAlign w:val="bottom"/>
          </w:tcPr>
          <w:p w:rsidR="00617A4E" w:rsidRPr="007C2D51" w:rsidRDefault="00617A4E" w:rsidP="00617A4E">
            <w:r w:rsidRPr="007C2D51">
              <w:t>Fixed route</w:t>
            </w:r>
          </w:p>
        </w:tc>
        <w:tc>
          <w:tcPr>
            <w:tcW w:w="624" w:type="pct"/>
            <w:tcBorders>
              <w:top w:val="none" w:sz="0" w:space="0" w:color="auto"/>
              <w:bottom w:val="none" w:sz="0" w:space="0" w:color="auto"/>
            </w:tcBorders>
            <w:noWrap/>
            <w:vAlign w:val="bottom"/>
          </w:tcPr>
          <w:p w:rsidR="00617A4E" w:rsidRPr="007C2D51" w:rsidRDefault="00617A4E" w:rsidP="00617A4E">
            <w:pPr>
              <w:jc w:val="right"/>
              <w:cnfStyle w:val="000000100000"/>
              <w:rPr>
                <w:rFonts w:cs="Calibri"/>
                <w:color w:val="000000"/>
              </w:rPr>
            </w:pPr>
            <w:r w:rsidRPr="007C2D51">
              <w:rPr>
                <w:rFonts w:cs="Calibri"/>
                <w:color w:val="000000"/>
              </w:rPr>
              <w:t>397</w:t>
            </w:r>
          </w:p>
        </w:tc>
        <w:tc>
          <w:tcPr>
            <w:tcW w:w="448" w:type="pct"/>
            <w:tcBorders>
              <w:top w:val="none" w:sz="0" w:space="0" w:color="auto"/>
              <w:bottom w:val="none" w:sz="0" w:space="0" w:color="auto"/>
            </w:tcBorders>
            <w:vAlign w:val="bottom"/>
          </w:tcPr>
          <w:p w:rsidR="00617A4E" w:rsidRPr="007C2D51" w:rsidRDefault="00617A4E" w:rsidP="00617A4E">
            <w:pPr>
              <w:jc w:val="right"/>
              <w:cnfStyle w:val="000000100000"/>
              <w:rPr>
                <w:rFonts w:cs="Calibri"/>
                <w:color w:val="000000"/>
              </w:rPr>
            </w:pPr>
            <w:r w:rsidRPr="007C2D51">
              <w:rPr>
                <w:rFonts w:cs="Calibri"/>
                <w:color w:val="000000"/>
              </w:rPr>
              <w:t>39%</w:t>
            </w:r>
          </w:p>
        </w:tc>
        <w:tc>
          <w:tcPr>
            <w:tcW w:w="770" w:type="pct"/>
            <w:tcBorders>
              <w:top w:val="none" w:sz="0" w:space="0" w:color="auto"/>
              <w:bottom w:val="none" w:sz="0" w:space="0" w:color="auto"/>
            </w:tcBorders>
            <w:vAlign w:val="bottom"/>
          </w:tcPr>
          <w:p w:rsidR="00617A4E" w:rsidRPr="007C2D51" w:rsidRDefault="00617A4E" w:rsidP="00617A4E">
            <w:pPr>
              <w:jc w:val="right"/>
              <w:cnfStyle w:val="000000100000"/>
              <w:rPr>
                <w:rFonts w:cs="Calibri"/>
                <w:color w:val="000000"/>
              </w:rPr>
            </w:pPr>
            <w:r w:rsidRPr="007C2D51">
              <w:rPr>
                <w:rFonts w:cs="Calibri"/>
                <w:color w:val="000000"/>
              </w:rPr>
              <w:t xml:space="preserve">47,363,009 </w:t>
            </w:r>
          </w:p>
        </w:tc>
        <w:tc>
          <w:tcPr>
            <w:tcW w:w="436" w:type="pct"/>
            <w:tcBorders>
              <w:top w:val="none" w:sz="0" w:space="0" w:color="auto"/>
              <w:bottom w:val="none" w:sz="0" w:space="0" w:color="auto"/>
              <w:right w:val="none" w:sz="0" w:space="0" w:color="auto"/>
            </w:tcBorders>
            <w:noWrap/>
            <w:vAlign w:val="bottom"/>
          </w:tcPr>
          <w:p w:rsidR="00617A4E" w:rsidRPr="007C2D51" w:rsidRDefault="00617A4E" w:rsidP="00617A4E">
            <w:pPr>
              <w:jc w:val="right"/>
              <w:cnfStyle w:val="000000100000"/>
              <w:rPr>
                <w:rFonts w:cs="Calibri"/>
                <w:color w:val="000000"/>
              </w:rPr>
            </w:pPr>
            <w:r w:rsidRPr="007C2D51">
              <w:rPr>
                <w:rFonts w:cs="Calibri"/>
                <w:color w:val="000000"/>
              </w:rPr>
              <w:t>86%</w:t>
            </w:r>
          </w:p>
        </w:tc>
      </w:tr>
      <w:tr w:rsidR="00617A4E" w:rsidRPr="007C2D51" w:rsidTr="00F15767">
        <w:trPr>
          <w:trHeight w:val="300"/>
          <w:jc w:val="center"/>
        </w:trPr>
        <w:tc>
          <w:tcPr>
            <w:cnfStyle w:val="001000000000"/>
            <w:tcW w:w="2722" w:type="pct"/>
            <w:noWrap/>
            <w:vAlign w:val="bottom"/>
          </w:tcPr>
          <w:p w:rsidR="00617A4E" w:rsidRPr="007C2D51" w:rsidRDefault="00617A4E" w:rsidP="00617A4E">
            <w:r w:rsidRPr="007C2D51">
              <w:t>Demand response</w:t>
            </w:r>
          </w:p>
        </w:tc>
        <w:tc>
          <w:tcPr>
            <w:tcW w:w="624" w:type="pct"/>
            <w:noWrap/>
            <w:vAlign w:val="bottom"/>
          </w:tcPr>
          <w:p w:rsidR="00617A4E" w:rsidRPr="007C2D51" w:rsidRDefault="00617A4E" w:rsidP="00617A4E">
            <w:pPr>
              <w:jc w:val="right"/>
              <w:cnfStyle w:val="000000000000"/>
              <w:rPr>
                <w:rFonts w:cs="Calibri"/>
                <w:color w:val="000000"/>
              </w:rPr>
            </w:pPr>
            <w:r w:rsidRPr="007C2D51">
              <w:rPr>
                <w:rFonts w:cs="Calibri"/>
                <w:color w:val="000000"/>
              </w:rPr>
              <w:t>237</w:t>
            </w:r>
          </w:p>
        </w:tc>
        <w:tc>
          <w:tcPr>
            <w:tcW w:w="448" w:type="pct"/>
            <w:vAlign w:val="bottom"/>
          </w:tcPr>
          <w:p w:rsidR="00617A4E" w:rsidRPr="007C2D51" w:rsidRDefault="00617A4E" w:rsidP="00617A4E">
            <w:pPr>
              <w:jc w:val="right"/>
              <w:cnfStyle w:val="000000000000"/>
              <w:rPr>
                <w:rFonts w:cs="Calibri"/>
                <w:color w:val="000000"/>
              </w:rPr>
            </w:pPr>
            <w:r w:rsidRPr="007C2D51">
              <w:rPr>
                <w:rFonts w:cs="Calibri"/>
                <w:color w:val="000000"/>
              </w:rPr>
              <w:t>23%</w:t>
            </w:r>
          </w:p>
        </w:tc>
        <w:tc>
          <w:tcPr>
            <w:tcW w:w="770" w:type="pct"/>
            <w:vAlign w:val="bottom"/>
          </w:tcPr>
          <w:p w:rsidR="00617A4E" w:rsidRPr="007C2D51" w:rsidRDefault="00617A4E" w:rsidP="00617A4E">
            <w:pPr>
              <w:jc w:val="right"/>
              <w:cnfStyle w:val="000000000000"/>
              <w:rPr>
                <w:rFonts w:cs="Calibri"/>
                <w:color w:val="000000"/>
              </w:rPr>
            </w:pPr>
            <w:r w:rsidRPr="007C2D51">
              <w:rPr>
                <w:rFonts w:cs="Calibri"/>
                <w:color w:val="000000"/>
              </w:rPr>
              <w:t xml:space="preserve">3,054,526 </w:t>
            </w:r>
          </w:p>
        </w:tc>
        <w:tc>
          <w:tcPr>
            <w:tcW w:w="436" w:type="pct"/>
            <w:noWrap/>
            <w:vAlign w:val="bottom"/>
          </w:tcPr>
          <w:p w:rsidR="00617A4E" w:rsidRPr="007C2D51" w:rsidRDefault="00617A4E" w:rsidP="00617A4E">
            <w:pPr>
              <w:jc w:val="right"/>
              <w:cnfStyle w:val="000000000000"/>
              <w:rPr>
                <w:rFonts w:cs="Calibri"/>
                <w:color w:val="000000"/>
              </w:rPr>
            </w:pPr>
            <w:r w:rsidRPr="007C2D51">
              <w:rPr>
                <w:rFonts w:cs="Calibri"/>
                <w:color w:val="000000"/>
              </w:rPr>
              <w:t>6%</w:t>
            </w:r>
          </w:p>
        </w:tc>
      </w:tr>
      <w:tr w:rsidR="00617A4E" w:rsidRPr="007C2D51" w:rsidTr="00F15767">
        <w:trPr>
          <w:cnfStyle w:val="000000100000"/>
          <w:trHeight w:val="300"/>
          <w:jc w:val="center"/>
        </w:trPr>
        <w:tc>
          <w:tcPr>
            <w:cnfStyle w:val="001000000000"/>
            <w:tcW w:w="2722" w:type="pct"/>
            <w:tcBorders>
              <w:top w:val="none" w:sz="0" w:space="0" w:color="auto"/>
              <w:left w:val="none" w:sz="0" w:space="0" w:color="auto"/>
              <w:bottom w:val="none" w:sz="0" w:space="0" w:color="auto"/>
            </w:tcBorders>
            <w:noWrap/>
            <w:vAlign w:val="bottom"/>
          </w:tcPr>
          <w:p w:rsidR="00617A4E" w:rsidRPr="007C2D51" w:rsidRDefault="00617A4E" w:rsidP="00617A4E">
            <w:r w:rsidRPr="007C2D51">
              <w:t>Flexible routing</w:t>
            </w:r>
          </w:p>
        </w:tc>
        <w:tc>
          <w:tcPr>
            <w:tcW w:w="624" w:type="pct"/>
            <w:tcBorders>
              <w:top w:val="none" w:sz="0" w:space="0" w:color="auto"/>
              <w:bottom w:val="none" w:sz="0" w:space="0" w:color="auto"/>
            </w:tcBorders>
            <w:noWrap/>
            <w:vAlign w:val="bottom"/>
          </w:tcPr>
          <w:p w:rsidR="00617A4E" w:rsidRPr="007C2D51" w:rsidRDefault="00617A4E" w:rsidP="00617A4E">
            <w:pPr>
              <w:jc w:val="right"/>
              <w:cnfStyle w:val="000000100000"/>
              <w:rPr>
                <w:rFonts w:cs="Calibri"/>
                <w:color w:val="000000"/>
              </w:rPr>
            </w:pPr>
            <w:r w:rsidRPr="007C2D51">
              <w:rPr>
                <w:rFonts w:cs="Calibri"/>
                <w:color w:val="000000"/>
              </w:rPr>
              <w:t>61</w:t>
            </w:r>
          </w:p>
        </w:tc>
        <w:tc>
          <w:tcPr>
            <w:tcW w:w="448" w:type="pct"/>
            <w:tcBorders>
              <w:top w:val="none" w:sz="0" w:space="0" w:color="auto"/>
              <w:bottom w:val="none" w:sz="0" w:space="0" w:color="auto"/>
            </w:tcBorders>
            <w:vAlign w:val="bottom"/>
          </w:tcPr>
          <w:p w:rsidR="00617A4E" w:rsidRPr="007C2D51" w:rsidRDefault="00617A4E" w:rsidP="00617A4E">
            <w:pPr>
              <w:jc w:val="right"/>
              <w:cnfStyle w:val="000000100000"/>
              <w:rPr>
                <w:rFonts w:cs="Calibri"/>
                <w:color w:val="000000"/>
              </w:rPr>
            </w:pPr>
            <w:r w:rsidRPr="007C2D51">
              <w:rPr>
                <w:rFonts w:cs="Calibri"/>
                <w:color w:val="000000"/>
              </w:rPr>
              <w:t>6%</w:t>
            </w:r>
          </w:p>
        </w:tc>
        <w:tc>
          <w:tcPr>
            <w:tcW w:w="770" w:type="pct"/>
            <w:tcBorders>
              <w:top w:val="none" w:sz="0" w:space="0" w:color="auto"/>
              <w:bottom w:val="none" w:sz="0" w:space="0" w:color="auto"/>
            </w:tcBorders>
            <w:vAlign w:val="bottom"/>
          </w:tcPr>
          <w:p w:rsidR="00617A4E" w:rsidRPr="007C2D51" w:rsidRDefault="00617A4E" w:rsidP="00617A4E">
            <w:pPr>
              <w:jc w:val="right"/>
              <w:cnfStyle w:val="000000100000"/>
              <w:rPr>
                <w:rFonts w:cs="Calibri"/>
                <w:color w:val="000000"/>
              </w:rPr>
            </w:pPr>
            <w:r w:rsidRPr="007C2D51">
              <w:rPr>
                <w:rFonts w:cs="Calibri"/>
                <w:color w:val="000000"/>
              </w:rPr>
              <w:t xml:space="preserve"> 1,431,176 </w:t>
            </w:r>
          </w:p>
        </w:tc>
        <w:tc>
          <w:tcPr>
            <w:tcW w:w="436" w:type="pct"/>
            <w:tcBorders>
              <w:top w:val="none" w:sz="0" w:space="0" w:color="auto"/>
              <w:bottom w:val="none" w:sz="0" w:space="0" w:color="auto"/>
              <w:right w:val="none" w:sz="0" w:space="0" w:color="auto"/>
            </w:tcBorders>
            <w:noWrap/>
            <w:vAlign w:val="bottom"/>
          </w:tcPr>
          <w:p w:rsidR="00617A4E" w:rsidRPr="007C2D51" w:rsidRDefault="00617A4E" w:rsidP="00617A4E">
            <w:pPr>
              <w:jc w:val="right"/>
              <w:cnfStyle w:val="000000100000"/>
              <w:rPr>
                <w:rFonts w:cs="Calibri"/>
                <w:color w:val="000000"/>
              </w:rPr>
            </w:pPr>
            <w:r w:rsidRPr="007C2D51">
              <w:rPr>
                <w:rFonts w:cs="Calibri"/>
                <w:color w:val="000000"/>
              </w:rPr>
              <w:t>3%</w:t>
            </w:r>
          </w:p>
        </w:tc>
      </w:tr>
      <w:tr w:rsidR="00617A4E" w:rsidRPr="007C2D51" w:rsidTr="00F15767">
        <w:trPr>
          <w:trHeight w:val="300"/>
          <w:jc w:val="center"/>
        </w:trPr>
        <w:tc>
          <w:tcPr>
            <w:cnfStyle w:val="001000000000"/>
            <w:tcW w:w="2722" w:type="pct"/>
            <w:noWrap/>
            <w:vAlign w:val="bottom"/>
          </w:tcPr>
          <w:p w:rsidR="00617A4E" w:rsidRPr="007C2D51" w:rsidRDefault="00617A4E" w:rsidP="00617A4E">
            <w:r w:rsidRPr="007C2D51">
              <w:t>Shuttle/Feeder</w:t>
            </w:r>
          </w:p>
        </w:tc>
        <w:tc>
          <w:tcPr>
            <w:tcW w:w="624" w:type="pct"/>
            <w:noWrap/>
            <w:vAlign w:val="bottom"/>
          </w:tcPr>
          <w:p w:rsidR="00617A4E" w:rsidRPr="007C2D51" w:rsidRDefault="00617A4E" w:rsidP="00617A4E">
            <w:pPr>
              <w:jc w:val="right"/>
              <w:cnfStyle w:val="000000000000"/>
              <w:rPr>
                <w:rFonts w:cs="Calibri"/>
                <w:color w:val="000000"/>
              </w:rPr>
            </w:pPr>
            <w:r w:rsidRPr="007C2D51">
              <w:rPr>
                <w:rFonts w:cs="Calibri"/>
                <w:color w:val="000000"/>
              </w:rPr>
              <w:t>52</w:t>
            </w:r>
          </w:p>
        </w:tc>
        <w:tc>
          <w:tcPr>
            <w:tcW w:w="448" w:type="pct"/>
            <w:vAlign w:val="bottom"/>
          </w:tcPr>
          <w:p w:rsidR="00617A4E" w:rsidRPr="007C2D51" w:rsidRDefault="00617A4E" w:rsidP="00617A4E">
            <w:pPr>
              <w:jc w:val="right"/>
              <w:cnfStyle w:val="000000000000"/>
              <w:rPr>
                <w:rFonts w:cs="Calibri"/>
                <w:color w:val="000000"/>
              </w:rPr>
            </w:pPr>
            <w:r w:rsidRPr="007C2D51">
              <w:rPr>
                <w:rFonts w:cs="Calibri"/>
                <w:color w:val="000000"/>
              </w:rPr>
              <w:t>5%</w:t>
            </w:r>
          </w:p>
        </w:tc>
        <w:tc>
          <w:tcPr>
            <w:tcW w:w="770" w:type="pct"/>
            <w:vAlign w:val="bottom"/>
          </w:tcPr>
          <w:p w:rsidR="00617A4E" w:rsidRPr="007C2D51" w:rsidRDefault="00617A4E" w:rsidP="00617A4E">
            <w:pPr>
              <w:jc w:val="right"/>
              <w:cnfStyle w:val="000000000000"/>
              <w:rPr>
                <w:rFonts w:cs="Calibri"/>
                <w:color w:val="000000"/>
              </w:rPr>
            </w:pPr>
            <w:r w:rsidRPr="007C2D51">
              <w:rPr>
                <w:rFonts w:cs="Calibri"/>
                <w:color w:val="000000"/>
              </w:rPr>
              <w:t xml:space="preserve">1,229,871 </w:t>
            </w:r>
          </w:p>
        </w:tc>
        <w:tc>
          <w:tcPr>
            <w:tcW w:w="436" w:type="pct"/>
            <w:noWrap/>
            <w:vAlign w:val="bottom"/>
          </w:tcPr>
          <w:p w:rsidR="00617A4E" w:rsidRPr="007C2D51" w:rsidRDefault="00617A4E" w:rsidP="00617A4E">
            <w:pPr>
              <w:jc w:val="right"/>
              <w:cnfStyle w:val="000000000000"/>
              <w:rPr>
                <w:rFonts w:cs="Calibri"/>
                <w:color w:val="000000"/>
              </w:rPr>
            </w:pPr>
            <w:r w:rsidRPr="007C2D51">
              <w:rPr>
                <w:rFonts w:cs="Calibri"/>
                <w:color w:val="000000"/>
              </w:rPr>
              <w:t>2%</w:t>
            </w:r>
          </w:p>
        </w:tc>
      </w:tr>
      <w:tr w:rsidR="00617A4E" w:rsidRPr="007C2D51" w:rsidTr="00F15767">
        <w:trPr>
          <w:cnfStyle w:val="000000100000"/>
          <w:trHeight w:val="300"/>
          <w:jc w:val="center"/>
        </w:trPr>
        <w:tc>
          <w:tcPr>
            <w:cnfStyle w:val="001000000000"/>
            <w:tcW w:w="2722" w:type="pct"/>
            <w:tcBorders>
              <w:top w:val="none" w:sz="0" w:space="0" w:color="auto"/>
              <w:left w:val="none" w:sz="0" w:space="0" w:color="auto"/>
              <w:bottom w:val="none" w:sz="0" w:space="0" w:color="auto"/>
            </w:tcBorders>
            <w:noWrap/>
            <w:vAlign w:val="bottom"/>
          </w:tcPr>
          <w:p w:rsidR="00617A4E" w:rsidRPr="007C2D51" w:rsidRDefault="00617A4E" w:rsidP="00617A4E">
            <w:r w:rsidRPr="007C2D51">
              <w:t>Vanpool service</w:t>
            </w:r>
          </w:p>
        </w:tc>
        <w:tc>
          <w:tcPr>
            <w:tcW w:w="624" w:type="pct"/>
            <w:tcBorders>
              <w:top w:val="none" w:sz="0" w:space="0" w:color="auto"/>
              <w:bottom w:val="none" w:sz="0" w:space="0" w:color="auto"/>
            </w:tcBorders>
            <w:noWrap/>
            <w:vAlign w:val="bottom"/>
          </w:tcPr>
          <w:p w:rsidR="00617A4E" w:rsidRPr="007C2D51" w:rsidRDefault="00617A4E" w:rsidP="00617A4E">
            <w:pPr>
              <w:jc w:val="right"/>
              <w:cnfStyle w:val="000000100000"/>
              <w:rPr>
                <w:rFonts w:cs="Calibri"/>
                <w:color w:val="000000"/>
              </w:rPr>
            </w:pPr>
            <w:r w:rsidRPr="007C2D51">
              <w:rPr>
                <w:rFonts w:cs="Calibri"/>
                <w:color w:val="000000"/>
              </w:rPr>
              <w:t>28</w:t>
            </w:r>
          </w:p>
        </w:tc>
        <w:tc>
          <w:tcPr>
            <w:tcW w:w="448" w:type="pct"/>
            <w:tcBorders>
              <w:top w:val="none" w:sz="0" w:space="0" w:color="auto"/>
              <w:bottom w:val="none" w:sz="0" w:space="0" w:color="auto"/>
            </w:tcBorders>
            <w:vAlign w:val="bottom"/>
          </w:tcPr>
          <w:p w:rsidR="00617A4E" w:rsidRPr="007C2D51" w:rsidRDefault="00617A4E" w:rsidP="00617A4E">
            <w:pPr>
              <w:jc w:val="right"/>
              <w:cnfStyle w:val="000000100000"/>
              <w:rPr>
                <w:rFonts w:cs="Calibri"/>
                <w:color w:val="000000"/>
              </w:rPr>
            </w:pPr>
            <w:r w:rsidRPr="007C2D51">
              <w:rPr>
                <w:rFonts w:cs="Calibri"/>
                <w:color w:val="000000"/>
              </w:rPr>
              <w:t>3%</w:t>
            </w:r>
          </w:p>
        </w:tc>
        <w:tc>
          <w:tcPr>
            <w:tcW w:w="770" w:type="pct"/>
            <w:tcBorders>
              <w:top w:val="none" w:sz="0" w:space="0" w:color="auto"/>
              <w:bottom w:val="none" w:sz="0" w:space="0" w:color="auto"/>
            </w:tcBorders>
            <w:vAlign w:val="bottom"/>
          </w:tcPr>
          <w:p w:rsidR="00617A4E" w:rsidRPr="007C2D51" w:rsidRDefault="00617A4E" w:rsidP="00617A4E">
            <w:pPr>
              <w:jc w:val="right"/>
              <w:cnfStyle w:val="000000100000"/>
              <w:rPr>
                <w:rFonts w:cs="Calibri"/>
                <w:color w:val="000000"/>
              </w:rPr>
            </w:pPr>
            <w:r w:rsidRPr="007C2D51">
              <w:rPr>
                <w:rFonts w:cs="Calibri"/>
                <w:color w:val="000000"/>
              </w:rPr>
              <w:t xml:space="preserve"> 870,453 </w:t>
            </w:r>
          </w:p>
        </w:tc>
        <w:tc>
          <w:tcPr>
            <w:tcW w:w="436" w:type="pct"/>
            <w:tcBorders>
              <w:top w:val="none" w:sz="0" w:space="0" w:color="auto"/>
              <w:bottom w:val="none" w:sz="0" w:space="0" w:color="auto"/>
              <w:right w:val="none" w:sz="0" w:space="0" w:color="auto"/>
            </w:tcBorders>
            <w:noWrap/>
            <w:vAlign w:val="bottom"/>
          </w:tcPr>
          <w:p w:rsidR="00617A4E" w:rsidRPr="007C2D51" w:rsidRDefault="00617A4E" w:rsidP="00617A4E">
            <w:pPr>
              <w:jc w:val="right"/>
              <w:cnfStyle w:val="000000100000"/>
              <w:rPr>
                <w:rFonts w:cs="Calibri"/>
                <w:color w:val="000000"/>
              </w:rPr>
            </w:pPr>
            <w:r w:rsidRPr="007C2D51">
              <w:rPr>
                <w:rFonts w:cs="Calibri"/>
                <w:color w:val="000000"/>
              </w:rPr>
              <w:t>2%</w:t>
            </w:r>
          </w:p>
        </w:tc>
      </w:tr>
      <w:tr w:rsidR="00617A4E" w:rsidRPr="007C2D51" w:rsidTr="00F15767">
        <w:trPr>
          <w:trHeight w:val="300"/>
          <w:jc w:val="center"/>
        </w:trPr>
        <w:tc>
          <w:tcPr>
            <w:cnfStyle w:val="001000000000"/>
            <w:tcW w:w="2722" w:type="pct"/>
            <w:noWrap/>
            <w:vAlign w:val="bottom"/>
          </w:tcPr>
          <w:p w:rsidR="00617A4E" w:rsidRPr="007C2D51" w:rsidRDefault="00617A4E" w:rsidP="00617A4E">
            <w:r w:rsidRPr="007C2D51">
              <w:t>User-side subsidy</w:t>
            </w:r>
          </w:p>
        </w:tc>
        <w:tc>
          <w:tcPr>
            <w:tcW w:w="624" w:type="pct"/>
            <w:noWrap/>
            <w:vAlign w:val="bottom"/>
          </w:tcPr>
          <w:p w:rsidR="00617A4E" w:rsidRPr="007C2D51" w:rsidRDefault="00617A4E" w:rsidP="00617A4E">
            <w:pPr>
              <w:jc w:val="right"/>
              <w:cnfStyle w:val="000000000000"/>
              <w:rPr>
                <w:rFonts w:cs="Calibri"/>
                <w:color w:val="000000"/>
              </w:rPr>
            </w:pPr>
            <w:r w:rsidRPr="007C2D51">
              <w:rPr>
                <w:rFonts w:cs="Calibri"/>
                <w:color w:val="000000"/>
              </w:rPr>
              <w:t>38</w:t>
            </w:r>
          </w:p>
        </w:tc>
        <w:tc>
          <w:tcPr>
            <w:tcW w:w="448" w:type="pct"/>
            <w:vAlign w:val="bottom"/>
          </w:tcPr>
          <w:p w:rsidR="00617A4E" w:rsidRPr="007C2D51" w:rsidRDefault="00617A4E" w:rsidP="00617A4E">
            <w:pPr>
              <w:jc w:val="right"/>
              <w:cnfStyle w:val="000000000000"/>
              <w:rPr>
                <w:rFonts w:cs="Calibri"/>
                <w:color w:val="000000"/>
              </w:rPr>
            </w:pPr>
            <w:r w:rsidRPr="007C2D51">
              <w:rPr>
                <w:rFonts w:cs="Calibri"/>
                <w:color w:val="000000"/>
              </w:rPr>
              <w:t>4%</w:t>
            </w:r>
          </w:p>
        </w:tc>
        <w:tc>
          <w:tcPr>
            <w:tcW w:w="770" w:type="pct"/>
            <w:vAlign w:val="bottom"/>
          </w:tcPr>
          <w:p w:rsidR="00617A4E" w:rsidRPr="007C2D51" w:rsidRDefault="00617A4E" w:rsidP="00617A4E">
            <w:pPr>
              <w:jc w:val="right"/>
              <w:cnfStyle w:val="000000000000"/>
              <w:rPr>
                <w:rFonts w:cs="Calibri"/>
                <w:color w:val="000000"/>
              </w:rPr>
            </w:pPr>
            <w:r w:rsidRPr="007C2D51">
              <w:rPr>
                <w:rFonts w:cs="Calibri"/>
                <w:color w:val="000000"/>
              </w:rPr>
              <w:t xml:space="preserve">572,997 </w:t>
            </w:r>
          </w:p>
        </w:tc>
        <w:tc>
          <w:tcPr>
            <w:tcW w:w="436" w:type="pct"/>
            <w:noWrap/>
            <w:vAlign w:val="bottom"/>
          </w:tcPr>
          <w:p w:rsidR="00617A4E" w:rsidRPr="007C2D51" w:rsidRDefault="00617A4E" w:rsidP="00617A4E">
            <w:pPr>
              <w:jc w:val="right"/>
              <w:cnfStyle w:val="000000000000"/>
              <w:rPr>
                <w:rFonts w:cs="Calibri"/>
                <w:color w:val="000000"/>
              </w:rPr>
            </w:pPr>
            <w:r w:rsidRPr="007C2D51">
              <w:rPr>
                <w:rFonts w:cs="Calibri"/>
                <w:color w:val="000000"/>
              </w:rPr>
              <w:t>1%</w:t>
            </w:r>
          </w:p>
        </w:tc>
      </w:tr>
      <w:tr w:rsidR="00617A4E" w:rsidRPr="007C2D51" w:rsidTr="00F15767">
        <w:trPr>
          <w:cnfStyle w:val="000000100000"/>
          <w:trHeight w:val="300"/>
          <w:jc w:val="center"/>
        </w:trPr>
        <w:tc>
          <w:tcPr>
            <w:cnfStyle w:val="001000000000"/>
            <w:tcW w:w="2722" w:type="pct"/>
            <w:tcBorders>
              <w:top w:val="none" w:sz="0" w:space="0" w:color="auto"/>
              <w:left w:val="none" w:sz="0" w:space="0" w:color="auto"/>
              <w:bottom w:val="none" w:sz="0" w:space="0" w:color="auto"/>
            </w:tcBorders>
            <w:shd w:val="clear" w:color="auto" w:fill="475A8D" w:themeFill="accent6"/>
            <w:noWrap/>
            <w:vAlign w:val="bottom"/>
          </w:tcPr>
          <w:p w:rsidR="00617A4E" w:rsidRPr="007C2D51" w:rsidRDefault="00617A4E" w:rsidP="00617A4E">
            <w:pPr>
              <w:rPr>
                <w:color w:val="FFFFFF" w:themeColor="background1"/>
              </w:rPr>
            </w:pPr>
            <w:r w:rsidRPr="007C2D51">
              <w:rPr>
                <w:color w:val="FFFFFF" w:themeColor="background1"/>
              </w:rPr>
              <w:t>Information-Based Services</w:t>
            </w:r>
          </w:p>
        </w:tc>
        <w:tc>
          <w:tcPr>
            <w:tcW w:w="624" w:type="pct"/>
            <w:tcBorders>
              <w:top w:val="none" w:sz="0" w:space="0" w:color="auto"/>
              <w:bottom w:val="none" w:sz="0" w:space="0" w:color="auto"/>
            </w:tcBorders>
            <w:shd w:val="clear" w:color="auto" w:fill="475A8D" w:themeFill="accent6"/>
            <w:noWrap/>
            <w:vAlign w:val="bottom"/>
          </w:tcPr>
          <w:p w:rsidR="00617A4E" w:rsidRPr="007C2D51" w:rsidRDefault="00617A4E" w:rsidP="00617A4E">
            <w:pPr>
              <w:jc w:val="right"/>
              <w:cnfStyle w:val="000000100000"/>
              <w:rPr>
                <w:rFonts w:cs="Calibri"/>
                <w:b/>
                <w:bCs/>
                <w:color w:val="FFFFFF" w:themeColor="background1"/>
              </w:rPr>
            </w:pPr>
            <w:r w:rsidRPr="007C2D51">
              <w:rPr>
                <w:rFonts w:cs="Calibri"/>
                <w:b/>
                <w:bCs/>
                <w:color w:val="FFFFFF" w:themeColor="background1"/>
              </w:rPr>
              <w:t>120</w:t>
            </w:r>
          </w:p>
        </w:tc>
        <w:tc>
          <w:tcPr>
            <w:tcW w:w="448" w:type="pct"/>
            <w:tcBorders>
              <w:top w:val="none" w:sz="0" w:space="0" w:color="auto"/>
              <w:bottom w:val="none" w:sz="0" w:space="0" w:color="auto"/>
            </w:tcBorders>
            <w:shd w:val="clear" w:color="auto" w:fill="475A8D" w:themeFill="accent6"/>
            <w:vAlign w:val="bottom"/>
          </w:tcPr>
          <w:p w:rsidR="00617A4E" w:rsidRPr="007C2D51" w:rsidRDefault="00617A4E" w:rsidP="00617A4E">
            <w:pPr>
              <w:jc w:val="right"/>
              <w:cnfStyle w:val="000000100000"/>
              <w:rPr>
                <w:rFonts w:cs="Calibri"/>
                <w:b/>
                <w:bCs/>
                <w:color w:val="FFFFFF" w:themeColor="background1"/>
              </w:rPr>
            </w:pPr>
            <w:r w:rsidRPr="007C2D51">
              <w:rPr>
                <w:rFonts w:cs="Calibri"/>
                <w:b/>
                <w:bCs/>
                <w:color w:val="FFFFFF" w:themeColor="background1"/>
              </w:rPr>
              <w:t>12%</w:t>
            </w:r>
          </w:p>
        </w:tc>
        <w:tc>
          <w:tcPr>
            <w:tcW w:w="770" w:type="pct"/>
            <w:tcBorders>
              <w:top w:val="none" w:sz="0" w:space="0" w:color="auto"/>
              <w:bottom w:val="none" w:sz="0" w:space="0" w:color="auto"/>
            </w:tcBorders>
            <w:shd w:val="clear" w:color="auto" w:fill="475A8D" w:themeFill="accent6"/>
            <w:vAlign w:val="bottom"/>
          </w:tcPr>
          <w:p w:rsidR="00617A4E" w:rsidRPr="007C2D51" w:rsidRDefault="00617A4E" w:rsidP="00617A4E">
            <w:pPr>
              <w:jc w:val="right"/>
              <w:cnfStyle w:val="000000100000"/>
              <w:rPr>
                <w:rFonts w:cs="Calibri"/>
                <w:b/>
                <w:color w:val="FFFFFF" w:themeColor="background1"/>
              </w:rPr>
            </w:pPr>
            <w:r w:rsidRPr="007C2D51">
              <w:rPr>
                <w:rFonts w:cs="Calibri"/>
                <w:b/>
                <w:color w:val="FFFFFF" w:themeColor="background1"/>
              </w:rPr>
              <w:t xml:space="preserve">375,254 </w:t>
            </w:r>
          </w:p>
        </w:tc>
        <w:tc>
          <w:tcPr>
            <w:tcW w:w="436" w:type="pct"/>
            <w:tcBorders>
              <w:top w:val="none" w:sz="0" w:space="0" w:color="auto"/>
              <w:bottom w:val="none" w:sz="0" w:space="0" w:color="auto"/>
              <w:right w:val="none" w:sz="0" w:space="0" w:color="auto"/>
            </w:tcBorders>
            <w:shd w:val="clear" w:color="auto" w:fill="475A8D" w:themeFill="accent6"/>
            <w:noWrap/>
            <w:vAlign w:val="bottom"/>
          </w:tcPr>
          <w:p w:rsidR="00617A4E" w:rsidRPr="007C2D51" w:rsidRDefault="00617A4E" w:rsidP="00617A4E">
            <w:pPr>
              <w:jc w:val="right"/>
              <w:cnfStyle w:val="000000100000"/>
              <w:rPr>
                <w:b/>
                <w:color w:val="FFFFFF" w:themeColor="background1"/>
              </w:rPr>
            </w:pPr>
            <w:r w:rsidRPr="007C2D51">
              <w:rPr>
                <w:b/>
                <w:color w:val="FFFFFF" w:themeColor="background1"/>
              </w:rPr>
              <w:t>1%</w:t>
            </w:r>
          </w:p>
        </w:tc>
      </w:tr>
      <w:tr w:rsidR="00617A4E" w:rsidRPr="007C2D51" w:rsidTr="00F15767">
        <w:trPr>
          <w:trHeight w:val="315"/>
          <w:jc w:val="center"/>
        </w:trPr>
        <w:tc>
          <w:tcPr>
            <w:cnfStyle w:val="001000000000"/>
            <w:tcW w:w="2722" w:type="pct"/>
            <w:noWrap/>
            <w:vAlign w:val="bottom"/>
          </w:tcPr>
          <w:p w:rsidR="00617A4E" w:rsidRPr="007C2D51" w:rsidRDefault="00617A4E" w:rsidP="00617A4E">
            <w:r w:rsidRPr="007C2D51">
              <w:t>Mobility manager</w:t>
            </w:r>
          </w:p>
        </w:tc>
        <w:tc>
          <w:tcPr>
            <w:tcW w:w="624" w:type="pct"/>
            <w:noWrap/>
            <w:vAlign w:val="bottom"/>
          </w:tcPr>
          <w:p w:rsidR="00617A4E" w:rsidRPr="007C2D51" w:rsidRDefault="00617A4E" w:rsidP="00617A4E">
            <w:pPr>
              <w:jc w:val="right"/>
              <w:cnfStyle w:val="000000000000"/>
              <w:rPr>
                <w:rFonts w:cs="Calibri"/>
                <w:color w:val="000000"/>
              </w:rPr>
            </w:pPr>
            <w:r w:rsidRPr="007C2D51">
              <w:rPr>
                <w:rFonts w:cs="Calibri"/>
                <w:color w:val="000000"/>
              </w:rPr>
              <w:t>65</w:t>
            </w:r>
          </w:p>
        </w:tc>
        <w:tc>
          <w:tcPr>
            <w:tcW w:w="448" w:type="pct"/>
            <w:vAlign w:val="bottom"/>
          </w:tcPr>
          <w:p w:rsidR="00617A4E" w:rsidRPr="007C2D51" w:rsidRDefault="00617A4E" w:rsidP="00617A4E">
            <w:pPr>
              <w:jc w:val="right"/>
              <w:cnfStyle w:val="000000000000"/>
              <w:rPr>
                <w:rFonts w:cs="Calibri"/>
                <w:color w:val="000000"/>
              </w:rPr>
            </w:pPr>
            <w:r w:rsidRPr="007C2D51">
              <w:rPr>
                <w:rFonts w:cs="Calibri"/>
                <w:color w:val="000000"/>
              </w:rPr>
              <w:t>6%</w:t>
            </w:r>
          </w:p>
        </w:tc>
        <w:tc>
          <w:tcPr>
            <w:tcW w:w="770" w:type="pct"/>
            <w:vAlign w:val="bottom"/>
          </w:tcPr>
          <w:p w:rsidR="00617A4E" w:rsidRPr="007C2D51" w:rsidRDefault="00617A4E" w:rsidP="00617A4E">
            <w:pPr>
              <w:jc w:val="right"/>
              <w:cnfStyle w:val="000000000000"/>
              <w:rPr>
                <w:rFonts w:cs="Calibri"/>
                <w:color w:val="000000"/>
              </w:rPr>
            </w:pPr>
            <w:r w:rsidRPr="007C2D51">
              <w:rPr>
                <w:rFonts w:cs="Calibri"/>
                <w:color w:val="000000"/>
              </w:rPr>
              <w:t xml:space="preserve">375,254 </w:t>
            </w:r>
          </w:p>
        </w:tc>
        <w:tc>
          <w:tcPr>
            <w:tcW w:w="436" w:type="pct"/>
            <w:noWrap/>
            <w:vAlign w:val="bottom"/>
          </w:tcPr>
          <w:p w:rsidR="00617A4E" w:rsidRPr="007C2D51" w:rsidRDefault="00617A4E" w:rsidP="00617A4E">
            <w:pPr>
              <w:jc w:val="right"/>
              <w:cnfStyle w:val="000000000000"/>
            </w:pPr>
            <w:r w:rsidRPr="007C2D51">
              <w:t>1%</w:t>
            </w:r>
          </w:p>
        </w:tc>
      </w:tr>
      <w:tr w:rsidR="00617A4E" w:rsidRPr="007C2D51" w:rsidTr="00F15767">
        <w:trPr>
          <w:cnfStyle w:val="000000100000"/>
          <w:trHeight w:val="315"/>
          <w:jc w:val="center"/>
        </w:trPr>
        <w:tc>
          <w:tcPr>
            <w:cnfStyle w:val="001000000000"/>
            <w:tcW w:w="2722" w:type="pct"/>
            <w:tcBorders>
              <w:top w:val="none" w:sz="0" w:space="0" w:color="auto"/>
              <w:left w:val="none" w:sz="0" w:space="0" w:color="auto"/>
              <w:bottom w:val="none" w:sz="0" w:space="0" w:color="auto"/>
            </w:tcBorders>
            <w:noWrap/>
            <w:vAlign w:val="bottom"/>
          </w:tcPr>
          <w:p w:rsidR="00617A4E" w:rsidRPr="007C2D51" w:rsidRDefault="00617A4E" w:rsidP="00617A4E">
            <w:r w:rsidRPr="007C2D51">
              <w:t>One-on-one transit training</w:t>
            </w:r>
          </w:p>
        </w:tc>
        <w:tc>
          <w:tcPr>
            <w:tcW w:w="624" w:type="pct"/>
            <w:tcBorders>
              <w:top w:val="none" w:sz="0" w:space="0" w:color="auto"/>
              <w:bottom w:val="none" w:sz="0" w:space="0" w:color="auto"/>
            </w:tcBorders>
            <w:noWrap/>
            <w:vAlign w:val="bottom"/>
          </w:tcPr>
          <w:p w:rsidR="00617A4E" w:rsidRPr="007C2D51" w:rsidRDefault="00617A4E" w:rsidP="00617A4E">
            <w:pPr>
              <w:jc w:val="right"/>
              <w:cnfStyle w:val="000000100000"/>
              <w:rPr>
                <w:rFonts w:cs="Calibri"/>
                <w:color w:val="000000"/>
              </w:rPr>
            </w:pPr>
            <w:r w:rsidRPr="007C2D51">
              <w:rPr>
                <w:rFonts w:cs="Calibri"/>
                <w:color w:val="000000"/>
              </w:rPr>
              <w:t>15</w:t>
            </w:r>
          </w:p>
        </w:tc>
        <w:tc>
          <w:tcPr>
            <w:tcW w:w="448" w:type="pct"/>
            <w:tcBorders>
              <w:top w:val="none" w:sz="0" w:space="0" w:color="auto"/>
              <w:bottom w:val="none" w:sz="0" w:space="0" w:color="auto"/>
            </w:tcBorders>
            <w:vAlign w:val="bottom"/>
          </w:tcPr>
          <w:p w:rsidR="00617A4E" w:rsidRPr="007C2D51" w:rsidRDefault="00617A4E" w:rsidP="00617A4E">
            <w:pPr>
              <w:jc w:val="right"/>
              <w:cnfStyle w:val="000000100000"/>
              <w:rPr>
                <w:rFonts w:cs="Calibri"/>
                <w:color w:val="000000"/>
              </w:rPr>
            </w:pPr>
            <w:r w:rsidRPr="007C2D51">
              <w:rPr>
                <w:rFonts w:cs="Calibri"/>
                <w:color w:val="000000"/>
              </w:rPr>
              <w:t>1%</w:t>
            </w:r>
          </w:p>
        </w:tc>
        <w:tc>
          <w:tcPr>
            <w:tcW w:w="770" w:type="pct"/>
            <w:tcBorders>
              <w:top w:val="none" w:sz="0" w:space="0" w:color="auto"/>
              <w:bottom w:val="none" w:sz="0" w:space="0" w:color="auto"/>
            </w:tcBorders>
            <w:vAlign w:val="bottom"/>
          </w:tcPr>
          <w:p w:rsidR="00617A4E" w:rsidRPr="007C2D51" w:rsidRDefault="00617A4E" w:rsidP="00617A4E">
            <w:pPr>
              <w:jc w:val="right"/>
              <w:cnfStyle w:val="000000100000"/>
            </w:pPr>
            <w:r w:rsidRPr="007C2D51">
              <w:t>N/A</w:t>
            </w:r>
          </w:p>
        </w:tc>
        <w:tc>
          <w:tcPr>
            <w:tcW w:w="436" w:type="pct"/>
            <w:tcBorders>
              <w:top w:val="none" w:sz="0" w:space="0" w:color="auto"/>
              <w:bottom w:val="none" w:sz="0" w:space="0" w:color="auto"/>
              <w:right w:val="none" w:sz="0" w:space="0" w:color="auto"/>
            </w:tcBorders>
            <w:noWrap/>
            <w:vAlign w:val="bottom"/>
          </w:tcPr>
          <w:p w:rsidR="00617A4E" w:rsidRPr="007C2D51" w:rsidRDefault="00617A4E" w:rsidP="00617A4E">
            <w:pPr>
              <w:jc w:val="right"/>
              <w:cnfStyle w:val="000000100000"/>
            </w:pPr>
            <w:r w:rsidRPr="007C2D51">
              <w:t>0%</w:t>
            </w:r>
          </w:p>
        </w:tc>
      </w:tr>
      <w:tr w:rsidR="00617A4E" w:rsidRPr="007C2D51" w:rsidTr="00F15767">
        <w:trPr>
          <w:trHeight w:val="315"/>
          <w:jc w:val="center"/>
        </w:trPr>
        <w:tc>
          <w:tcPr>
            <w:cnfStyle w:val="001000000000"/>
            <w:tcW w:w="2722" w:type="pct"/>
            <w:noWrap/>
            <w:vAlign w:val="bottom"/>
          </w:tcPr>
          <w:p w:rsidR="00617A4E" w:rsidRPr="007C2D51" w:rsidRDefault="00617A4E" w:rsidP="00617A4E">
            <w:r w:rsidRPr="007C2D51">
              <w:t>Materials and marketing</w:t>
            </w:r>
          </w:p>
        </w:tc>
        <w:tc>
          <w:tcPr>
            <w:tcW w:w="624" w:type="pct"/>
            <w:noWrap/>
            <w:vAlign w:val="bottom"/>
          </w:tcPr>
          <w:p w:rsidR="00617A4E" w:rsidRPr="007C2D51" w:rsidRDefault="00617A4E" w:rsidP="00617A4E">
            <w:pPr>
              <w:jc w:val="right"/>
              <w:cnfStyle w:val="000000000000"/>
              <w:rPr>
                <w:rFonts w:cs="Calibri"/>
                <w:color w:val="000000"/>
              </w:rPr>
            </w:pPr>
            <w:r w:rsidRPr="007C2D51">
              <w:rPr>
                <w:rFonts w:cs="Calibri"/>
                <w:color w:val="000000"/>
              </w:rPr>
              <w:t>13</w:t>
            </w:r>
          </w:p>
        </w:tc>
        <w:tc>
          <w:tcPr>
            <w:tcW w:w="448" w:type="pct"/>
            <w:vAlign w:val="bottom"/>
          </w:tcPr>
          <w:p w:rsidR="00617A4E" w:rsidRPr="007C2D51" w:rsidRDefault="00617A4E" w:rsidP="00617A4E">
            <w:pPr>
              <w:jc w:val="right"/>
              <w:cnfStyle w:val="000000000000"/>
              <w:rPr>
                <w:rFonts w:cs="Calibri"/>
                <w:color w:val="000000"/>
              </w:rPr>
            </w:pPr>
            <w:r w:rsidRPr="007C2D51">
              <w:rPr>
                <w:rFonts w:cs="Calibri"/>
                <w:color w:val="000000"/>
              </w:rPr>
              <w:t>1%</w:t>
            </w:r>
          </w:p>
        </w:tc>
        <w:tc>
          <w:tcPr>
            <w:tcW w:w="770" w:type="pct"/>
            <w:vAlign w:val="bottom"/>
          </w:tcPr>
          <w:p w:rsidR="00617A4E" w:rsidRPr="007C2D51" w:rsidRDefault="00617A4E" w:rsidP="00617A4E">
            <w:pPr>
              <w:jc w:val="right"/>
              <w:cnfStyle w:val="000000000000"/>
            </w:pPr>
            <w:r w:rsidRPr="007C2D51">
              <w:t>N/A</w:t>
            </w:r>
          </w:p>
        </w:tc>
        <w:tc>
          <w:tcPr>
            <w:tcW w:w="436" w:type="pct"/>
            <w:noWrap/>
            <w:vAlign w:val="bottom"/>
          </w:tcPr>
          <w:p w:rsidR="00617A4E" w:rsidRPr="007C2D51" w:rsidRDefault="00617A4E" w:rsidP="00617A4E">
            <w:pPr>
              <w:jc w:val="right"/>
              <w:cnfStyle w:val="000000000000"/>
            </w:pPr>
            <w:r w:rsidRPr="007C2D51">
              <w:t>0%</w:t>
            </w:r>
          </w:p>
        </w:tc>
      </w:tr>
      <w:tr w:rsidR="00617A4E" w:rsidRPr="007C2D51" w:rsidTr="00F15767">
        <w:trPr>
          <w:cnfStyle w:val="000000100000"/>
          <w:trHeight w:val="315"/>
          <w:jc w:val="center"/>
        </w:trPr>
        <w:tc>
          <w:tcPr>
            <w:cnfStyle w:val="001000000000"/>
            <w:tcW w:w="2722" w:type="pct"/>
            <w:tcBorders>
              <w:top w:val="none" w:sz="0" w:space="0" w:color="auto"/>
              <w:left w:val="none" w:sz="0" w:space="0" w:color="auto"/>
              <w:bottom w:val="none" w:sz="0" w:space="0" w:color="auto"/>
            </w:tcBorders>
            <w:noWrap/>
            <w:vAlign w:val="bottom"/>
          </w:tcPr>
          <w:p w:rsidR="00617A4E" w:rsidRPr="007C2D51" w:rsidRDefault="00617A4E" w:rsidP="00617A4E">
            <w:r w:rsidRPr="007C2D51">
              <w:t>Transportation resource training</w:t>
            </w:r>
          </w:p>
        </w:tc>
        <w:tc>
          <w:tcPr>
            <w:tcW w:w="624" w:type="pct"/>
            <w:tcBorders>
              <w:top w:val="none" w:sz="0" w:space="0" w:color="auto"/>
              <w:bottom w:val="none" w:sz="0" w:space="0" w:color="auto"/>
            </w:tcBorders>
            <w:noWrap/>
            <w:vAlign w:val="bottom"/>
          </w:tcPr>
          <w:p w:rsidR="00617A4E" w:rsidRPr="007C2D51" w:rsidRDefault="00617A4E" w:rsidP="00617A4E">
            <w:pPr>
              <w:jc w:val="right"/>
              <w:cnfStyle w:val="000000100000"/>
              <w:rPr>
                <w:rFonts w:cs="Calibri"/>
                <w:color w:val="000000"/>
              </w:rPr>
            </w:pPr>
            <w:r w:rsidRPr="007C2D51">
              <w:rPr>
                <w:rFonts w:cs="Calibri"/>
                <w:color w:val="000000"/>
              </w:rPr>
              <w:t>10</w:t>
            </w:r>
          </w:p>
        </w:tc>
        <w:tc>
          <w:tcPr>
            <w:tcW w:w="448" w:type="pct"/>
            <w:tcBorders>
              <w:top w:val="none" w:sz="0" w:space="0" w:color="auto"/>
              <w:bottom w:val="none" w:sz="0" w:space="0" w:color="auto"/>
            </w:tcBorders>
            <w:vAlign w:val="bottom"/>
          </w:tcPr>
          <w:p w:rsidR="00617A4E" w:rsidRPr="007C2D51" w:rsidRDefault="00617A4E" w:rsidP="00617A4E">
            <w:pPr>
              <w:jc w:val="right"/>
              <w:cnfStyle w:val="000000100000"/>
              <w:rPr>
                <w:rFonts w:cs="Calibri"/>
                <w:color w:val="000000"/>
              </w:rPr>
            </w:pPr>
            <w:r w:rsidRPr="007C2D51">
              <w:rPr>
                <w:rFonts w:cs="Calibri"/>
                <w:color w:val="000000"/>
              </w:rPr>
              <w:t>1%</w:t>
            </w:r>
          </w:p>
        </w:tc>
        <w:tc>
          <w:tcPr>
            <w:tcW w:w="770" w:type="pct"/>
            <w:tcBorders>
              <w:top w:val="none" w:sz="0" w:space="0" w:color="auto"/>
              <w:bottom w:val="none" w:sz="0" w:space="0" w:color="auto"/>
            </w:tcBorders>
            <w:vAlign w:val="bottom"/>
          </w:tcPr>
          <w:p w:rsidR="00617A4E" w:rsidRPr="007C2D51" w:rsidRDefault="00617A4E" w:rsidP="00617A4E">
            <w:pPr>
              <w:jc w:val="right"/>
              <w:cnfStyle w:val="000000100000"/>
            </w:pPr>
            <w:r w:rsidRPr="007C2D51">
              <w:t>N/A</w:t>
            </w:r>
          </w:p>
        </w:tc>
        <w:tc>
          <w:tcPr>
            <w:tcW w:w="436" w:type="pct"/>
            <w:tcBorders>
              <w:top w:val="none" w:sz="0" w:space="0" w:color="auto"/>
              <w:bottom w:val="none" w:sz="0" w:space="0" w:color="auto"/>
              <w:right w:val="none" w:sz="0" w:space="0" w:color="auto"/>
            </w:tcBorders>
            <w:noWrap/>
            <w:vAlign w:val="bottom"/>
          </w:tcPr>
          <w:p w:rsidR="00617A4E" w:rsidRPr="007C2D51" w:rsidRDefault="00617A4E" w:rsidP="00617A4E">
            <w:pPr>
              <w:jc w:val="right"/>
              <w:cnfStyle w:val="000000100000"/>
            </w:pPr>
            <w:r w:rsidRPr="007C2D51">
              <w:t>0%</w:t>
            </w:r>
          </w:p>
        </w:tc>
      </w:tr>
      <w:tr w:rsidR="00617A4E" w:rsidRPr="007C2D51" w:rsidTr="00F15767">
        <w:trPr>
          <w:trHeight w:val="315"/>
          <w:jc w:val="center"/>
        </w:trPr>
        <w:tc>
          <w:tcPr>
            <w:cnfStyle w:val="001000000000"/>
            <w:tcW w:w="2722" w:type="pct"/>
            <w:noWrap/>
            <w:vAlign w:val="bottom"/>
          </w:tcPr>
          <w:p w:rsidR="00617A4E" w:rsidRPr="007C2D51" w:rsidRDefault="00617A4E" w:rsidP="00617A4E">
            <w:r w:rsidRPr="007C2D51">
              <w:t>One-stop center</w:t>
            </w:r>
          </w:p>
        </w:tc>
        <w:tc>
          <w:tcPr>
            <w:tcW w:w="624" w:type="pct"/>
            <w:noWrap/>
            <w:vAlign w:val="bottom"/>
          </w:tcPr>
          <w:p w:rsidR="00617A4E" w:rsidRPr="007C2D51" w:rsidRDefault="00617A4E" w:rsidP="00617A4E">
            <w:pPr>
              <w:jc w:val="right"/>
              <w:cnfStyle w:val="000000000000"/>
              <w:rPr>
                <w:rFonts w:cs="Calibri"/>
                <w:color w:val="000000"/>
              </w:rPr>
            </w:pPr>
            <w:r w:rsidRPr="007C2D51">
              <w:rPr>
                <w:rFonts w:cs="Calibri"/>
                <w:color w:val="000000"/>
              </w:rPr>
              <w:t>9</w:t>
            </w:r>
          </w:p>
        </w:tc>
        <w:tc>
          <w:tcPr>
            <w:tcW w:w="448" w:type="pct"/>
            <w:vAlign w:val="bottom"/>
          </w:tcPr>
          <w:p w:rsidR="00617A4E" w:rsidRPr="007C2D51" w:rsidRDefault="00617A4E" w:rsidP="00617A4E">
            <w:pPr>
              <w:jc w:val="right"/>
              <w:cnfStyle w:val="000000000000"/>
              <w:rPr>
                <w:rFonts w:cs="Calibri"/>
                <w:color w:val="000000"/>
              </w:rPr>
            </w:pPr>
            <w:r w:rsidRPr="007C2D51">
              <w:rPr>
                <w:rFonts w:cs="Calibri"/>
                <w:color w:val="000000"/>
              </w:rPr>
              <w:t>1%</w:t>
            </w:r>
          </w:p>
        </w:tc>
        <w:tc>
          <w:tcPr>
            <w:tcW w:w="770" w:type="pct"/>
            <w:vAlign w:val="bottom"/>
          </w:tcPr>
          <w:p w:rsidR="00617A4E" w:rsidRPr="007C2D51" w:rsidRDefault="00617A4E" w:rsidP="00617A4E">
            <w:pPr>
              <w:jc w:val="right"/>
              <w:cnfStyle w:val="000000000000"/>
            </w:pPr>
            <w:r w:rsidRPr="007C2D51">
              <w:t>N/A</w:t>
            </w:r>
          </w:p>
        </w:tc>
        <w:tc>
          <w:tcPr>
            <w:tcW w:w="436" w:type="pct"/>
            <w:noWrap/>
            <w:vAlign w:val="bottom"/>
          </w:tcPr>
          <w:p w:rsidR="00617A4E" w:rsidRPr="007C2D51" w:rsidRDefault="00617A4E" w:rsidP="00617A4E">
            <w:pPr>
              <w:jc w:val="right"/>
              <w:cnfStyle w:val="000000000000"/>
            </w:pPr>
            <w:r w:rsidRPr="007C2D51">
              <w:t>0%</w:t>
            </w:r>
          </w:p>
        </w:tc>
      </w:tr>
      <w:tr w:rsidR="00617A4E" w:rsidRPr="007C2D51" w:rsidTr="00F15767">
        <w:trPr>
          <w:cnfStyle w:val="000000100000"/>
          <w:trHeight w:val="300"/>
          <w:jc w:val="center"/>
        </w:trPr>
        <w:tc>
          <w:tcPr>
            <w:cnfStyle w:val="001000000000"/>
            <w:tcW w:w="2722" w:type="pct"/>
            <w:tcBorders>
              <w:top w:val="none" w:sz="0" w:space="0" w:color="auto"/>
              <w:left w:val="none" w:sz="0" w:space="0" w:color="auto"/>
              <w:bottom w:val="none" w:sz="0" w:space="0" w:color="auto"/>
            </w:tcBorders>
            <w:noWrap/>
            <w:vAlign w:val="bottom"/>
          </w:tcPr>
          <w:p w:rsidR="00617A4E" w:rsidRPr="007C2D51" w:rsidRDefault="00617A4E" w:rsidP="00617A4E">
            <w:r w:rsidRPr="007C2D51">
              <w:t>Trip/itinerary planning</w:t>
            </w:r>
          </w:p>
        </w:tc>
        <w:tc>
          <w:tcPr>
            <w:tcW w:w="624" w:type="pct"/>
            <w:tcBorders>
              <w:top w:val="none" w:sz="0" w:space="0" w:color="auto"/>
              <w:bottom w:val="none" w:sz="0" w:space="0" w:color="auto"/>
            </w:tcBorders>
            <w:noWrap/>
            <w:vAlign w:val="bottom"/>
          </w:tcPr>
          <w:p w:rsidR="00617A4E" w:rsidRPr="007C2D51" w:rsidRDefault="00617A4E" w:rsidP="00617A4E">
            <w:pPr>
              <w:jc w:val="right"/>
              <w:cnfStyle w:val="000000100000"/>
              <w:rPr>
                <w:rFonts w:cs="Calibri"/>
                <w:color w:val="000000"/>
              </w:rPr>
            </w:pPr>
            <w:r w:rsidRPr="007C2D51">
              <w:rPr>
                <w:rFonts w:cs="Calibri"/>
                <w:color w:val="000000"/>
              </w:rPr>
              <w:t>5</w:t>
            </w:r>
          </w:p>
        </w:tc>
        <w:tc>
          <w:tcPr>
            <w:tcW w:w="448" w:type="pct"/>
            <w:tcBorders>
              <w:top w:val="none" w:sz="0" w:space="0" w:color="auto"/>
              <w:bottom w:val="none" w:sz="0" w:space="0" w:color="auto"/>
            </w:tcBorders>
            <w:vAlign w:val="bottom"/>
          </w:tcPr>
          <w:p w:rsidR="00617A4E" w:rsidRPr="007C2D51" w:rsidRDefault="00617A4E" w:rsidP="00617A4E">
            <w:pPr>
              <w:jc w:val="right"/>
              <w:cnfStyle w:val="000000100000"/>
              <w:rPr>
                <w:rFonts w:cs="Calibri"/>
                <w:color w:val="000000"/>
              </w:rPr>
            </w:pPr>
            <w:r w:rsidRPr="007C2D51">
              <w:rPr>
                <w:rFonts w:cs="Calibri"/>
                <w:color w:val="000000"/>
              </w:rPr>
              <w:t>0%</w:t>
            </w:r>
          </w:p>
        </w:tc>
        <w:tc>
          <w:tcPr>
            <w:tcW w:w="770" w:type="pct"/>
            <w:tcBorders>
              <w:top w:val="none" w:sz="0" w:space="0" w:color="auto"/>
              <w:bottom w:val="none" w:sz="0" w:space="0" w:color="auto"/>
            </w:tcBorders>
            <w:vAlign w:val="bottom"/>
          </w:tcPr>
          <w:p w:rsidR="00617A4E" w:rsidRPr="007C2D51" w:rsidRDefault="00617A4E" w:rsidP="00617A4E">
            <w:pPr>
              <w:jc w:val="right"/>
              <w:cnfStyle w:val="000000100000"/>
            </w:pPr>
            <w:r w:rsidRPr="007C2D51">
              <w:t>N/A</w:t>
            </w:r>
          </w:p>
        </w:tc>
        <w:tc>
          <w:tcPr>
            <w:tcW w:w="436" w:type="pct"/>
            <w:tcBorders>
              <w:top w:val="none" w:sz="0" w:space="0" w:color="auto"/>
              <w:bottom w:val="none" w:sz="0" w:space="0" w:color="auto"/>
              <w:right w:val="none" w:sz="0" w:space="0" w:color="auto"/>
            </w:tcBorders>
            <w:noWrap/>
            <w:vAlign w:val="bottom"/>
          </w:tcPr>
          <w:p w:rsidR="00617A4E" w:rsidRPr="007C2D51" w:rsidRDefault="00617A4E" w:rsidP="00617A4E">
            <w:pPr>
              <w:jc w:val="right"/>
              <w:cnfStyle w:val="000000100000"/>
            </w:pPr>
            <w:r w:rsidRPr="007C2D51">
              <w:t>0%</w:t>
            </w:r>
          </w:p>
        </w:tc>
      </w:tr>
      <w:tr w:rsidR="00617A4E" w:rsidRPr="007C2D51" w:rsidTr="00F15767">
        <w:trPr>
          <w:trHeight w:val="300"/>
          <w:jc w:val="center"/>
        </w:trPr>
        <w:tc>
          <w:tcPr>
            <w:cnfStyle w:val="001000000000"/>
            <w:tcW w:w="2722" w:type="pct"/>
            <w:noWrap/>
            <w:vAlign w:val="bottom"/>
          </w:tcPr>
          <w:p w:rsidR="00617A4E" w:rsidRPr="007C2D51" w:rsidRDefault="00617A4E" w:rsidP="00617A4E">
            <w:r w:rsidRPr="007C2D51">
              <w:t>Internet-based information</w:t>
            </w:r>
          </w:p>
        </w:tc>
        <w:tc>
          <w:tcPr>
            <w:tcW w:w="624" w:type="pct"/>
            <w:noWrap/>
            <w:vAlign w:val="bottom"/>
          </w:tcPr>
          <w:p w:rsidR="00617A4E" w:rsidRPr="007C2D51" w:rsidRDefault="00617A4E" w:rsidP="00617A4E">
            <w:pPr>
              <w:jc w:val="right"/>
              <w:cnfStyle w:val="000000000000"/>
              <w:rPr>
                <w:rFonts w:cs="Calibri"/>
                <w:color w:val="000000"/>
              </w:rPr>
            </w:pPr>
            <w:r w:rsidRPr="007C2D51">
              <w:rPr>
                <w:rFonts w:cs="Calibri"/>
                <w:color w:val="000000"/>
              </w:rPr>
              <w:t>3</w:t>
            </w:r>
          </w:p>
        </w:tc>
        <w:tc>
          <w:tcPr>
            <w:tcW w:w="448" w:type="pct"/>
            <w:vAlign w:val="bottom"/>
          </w:tcPr>
          <w:p w:rsidR="00617A4E" w:rsidRPr="007C2D51" w:rsidRDefault="00617A4E" w:rsidP="00617A4E">
            <w:pPr>
              <w:jc w:val="right"/>
              <w:cnfStyle w:val="000000000000"/>
              <w:rPr>
                <w:rFonts w:cs="Calibri"/>
                <w:color w:val="000000"/>
              </w:rPr>
            </w:pPr>
            <w:r w:rsidRPr="007C2D51">
              <w:rPr>
                <w:rFonts w:cs="Calibri"/>
                <w:color w:val="000000"/>
              </w:rPr>
              <w:t>0%</w:t>
            </w:r>
          </w:p>
        </w:tc>
        <w:tc>
          <w:tcPr>
            <w:tcW w:w="770" w:type="pct"/>
            <w:vAlign w:val="bottom"/>
          </w:tcPr>
          <w:p w:rsidR="00617A4E" w:rsidRPr="007C2D51" w:rsidRDefault="00617A4E" w:rsidP="00617A4E">
            <w:pPr>
              <w:jc w:val="right"/>
              <w:cnfStyle w:val="000000000000"/>
            </w:pPr>
            <w:r w:rsidRPr="007C2D51">
              <w:t>N/A</w:t>
            </w:r>
          </w:p>
        </w:tc>
        <w:tc>
          <w:tcPr>
            <w:tcW w:w="436" w:type="pct"/>
            <w:noWrap/>
            <w:vAlign w:val="bottom"/>
          </w:tcPr>
          <w:p w:rsidR="00617A4E" w:rsidRPr="007C2D51" w:rsidRDefault="00617A4E" w:rsidP="00617A4E">
            <w:pPr>
              <w:jc w:val="right"/>
              <w:cnfStyle w:val="000000000000"/>
            </w:pPr>
            <w:r w:rsidRPr="007C2D51">
              <w:t>0%</w:t>
            </w:r>
          </w:p>
        </w:tc>
      </w:tr>
      <w:tr w:rsidR="00617A4E" w:rsidRPr="007C2D51" w:rsidTr="00F15767">
        <w:trPr>
          <w:cnfStyle w:val="000000100000"/>
          <w:trHeight w:val="300"/>
          <w:jc w:val="center"/>
        </w:trPr>
        <w:tc>
          <w:tcPr>
            <w:cnfStyle w:val="001000000000"/>
            <w:tcW w:w="2722" w:type="pct"/>
            <w:tcBorders>
              <w:top w:val="none" w:sz="0" w:space="0" w:color="auto"/>
              <w:left w:val="none" w:sz="0" w:space="0" w:color="auto"/>
              <w:bottom w:val="none" w:sz="0" w:space="0" w:color="auto"/>
            </w:tcBorders>
            <w:shd w:val="clear" w:color="auto" w:fill="475A8D" w:themeFill="accent6"/>
            <w:noWrap/>
            <w:vAlign w:val="bottom"/>
          </w:tcPr>
          <w:p w:rsidR="00617A4E" w:rsidRPr="007C2D51" w:rsidRDefault="00617A4E" w:rsidP="00617A4E">
            <w:pPr>
              <w:rPr>
                <w:color w:val="FFFFFF" w:themeColor="background1"/>
              </w:rPr>
            </w:pPr>
            <w:r w:rsidRPr="007C2D51">
              <w:rPr>
                <w:color w:val="FFFFFF" w:themeColor="background1"/>
              </w:rPr>
              <w:t>Capital Investment Projects</w:t>
            </w:r>
          </w:p>
        </w:tc>
        <w:tc>
          <w:tcPr>
            <w:tcW w:w="624" w:type="pct"/>
            <w:tcBorders>
              <w:top w:val="none" w:sz="0" w:space="0" w:color="auto"/>
              <w:bottom w:val="none" w:sz="0" w:space="0" w:color="auto"/>
            </w:tcBorders>
            <w:shd w:val="clear" w:color="auto" w:fill="475A8D" w:themeFill="accent6"/>
            <w:noWrap/>
            <w:vAlign w:val="bottom"/>
          </w:tcPr>
          <w:p w:rsidR="00617A4E" w:rsidRPr="007C2D51" w:rsidRDefault="00617A4E" w:rsidP="00617A4E">
            <w:pPr>
              <w:jc w:val="right"/>
              <w:cnfStyle w:val="000000100000"/>
              <w:rPr>
                <w:rFonts w:cs="Calibri"/>
                <w:b/>
                <w:bCs/>
                <w:color w:val="FFFFFF" w:themeColor="background1"/>
              </w:rPr>
            </w:pPr>
            <w:r w:rsidRPr="007C2D51">
              <w:rPr>
                <w:rFonts w:cs="Calibri"/>
                <w:b/>
                <w:bCs/>
                <w:color w:val="FFFFFF" w:themeColor="background1"/>
              </w:rPr>
              <w:t>83</w:t>
            </w:r>
          </w:p>
        </w:tc>
        <w:tc>
          <w:tcPr>
            <w:tcW w:w="448" w:type="pct"/>
            <w:tcBorders>
              <w:top w:val="none" w:sz="0" w:space="0" w:color="auto"/>
              <w:bottom w:val="none" w:sz="0" w:space="0" w:color="auto"/>
            </w:tcBorders>
            <w:shd w:val="clear" w:color="auto" w:fill="475A8D" w:themeFill="accent6"/>
            <w:vAlign w:val="bottom"/>
          </w:tcPr>
          <w:p w:rsidR="00617A4E" w:rsidRPr="007C2D51" w:rsidRDefault="00617A4E" w:rsidP="00617A4E">
            <w:pPr>
              <w:jc w:val="right"/>
              <w:cnfStyle w:val="000000100000"/>
              <w:rPr>
                <w:rFonts w:cs="Calibri"/>
                <w:b/>
                <w:bCs/>
                <w:color w:val="FFFFFF" w:themeColor="background1"/>
              </w:rPr>
            </w:pPr>
          </w:p>
        </w:tc>
        <w:tc>
          <w:tcPr>
            <w:tcW w:w="770" w:type="pct"/>
            <w:tcBorders>
              <w:top w:val="none" w:sz="0" w:space="0" w:color="auto"/>
              <w:bottom w:val="none" w:sz="0" w:space="0" w:color="auto"/>
            </w:tcBorders>
            <w:shd w:val="clear" w:color="auto" w:fill="475A8D" w:themeFill="accent6"/>
            <w:vAlign w:val="bottom"/>
          </w:tcPr>
          <w:p w:rsidR="00617A4E" w:rsidRPr="007C2D51" w:rsidRDefault="00617A4E" w:rsidP="00617A4E">
            <w:pPr>
              <w:jc w:val="right"/>
              <w:cnfStyle w:val="000000100000"/>
              <w:rPr>
                <w:rFonts w:cs="Calibri"/>
                <w:b/>
                <w:bCs/>
                <w:color w:val="FFFFFF" w:themeColor="background1"/>
              </w:rPr>
            </w:pPr>
            <w:r w:rsidRPr="007C2D51">
              <w:rPr>
                <w:rFonts w:cs="Calibri"/>
                <w:b/>
                <w:bCs/>
                <w:color w:val="FFFFFF" w:themeColor="background1"/>
              </w:rPr>
              <w:t xml:space="preserve">377,959 </w:t>
            </w:r>
          </w:p>
        </w:tc>
        <w:tc>
          <w:tcPr>
            <w:tcW w:w="436" w:type="pct"/>
            <w:tcBorders>
              <w:top w:val="none" w:sz="0" w:space="0" w:color="auto"/>
              <w:bottom w:val="none" w:sz="0" w:space="0" w:color="auto"/>
              <w:right w:val="none" w:sz="0" w:space="0" w:color="auto"/>
            </w:tcBorders>
            <w:shd w:val="clear" w:color="auto" w:fill="475A8D" w:themeFill="accent6"/>
            <w:noWrap/>
            <w:vAlign w:val="bottom"/>
          </w:tcPr>
          <w:p w:rsidR="00617A4E" w:rsidRPr="007C2D51" w:rsidRDefault="00617A4E" w:rsidP="00617A4E">
            <w:pPr>
              <w:jc w:val="right"/>
              <w:cnfStyle w:val="000000100000"/>
              <w:rPr>
                <w:b/>
                <w:color w:val="FFFFFF" w:themeColor="background1"/>
              </w:rPr>
            </w:pPr>
            <w:r w:rsidRPr="007C2D51">
              <w:rPr>
                <w:b/>
                <w:color w:val="FFFFFF" w:themeColor="background1"/>
              </w:rPr>
              <w:t>1%</w:t>
            </w:r>
          </w:p>
        </w:tc>
      </w:tr>
      <w:tr w:rsidR="00617A4E" w:rsidRPr="007C2D51" w:rsidTr="00F15767">
        <w:trPr>
          <w:trHeight w:val="300"/>
          <w:jc w:val="center"/>
        </w:trPr>
        <w:tc>
          <w:tcPr>
            <w:cnfStyle w:val="001000000000"/>
            <w:tcW w:w="2722" w:type="pct"/>
            <w:noWrap/>
            <w:vAlign w:val="bottom"/>
          </w:tcPr>
          <w:p w:rsidR="00617A4E" w:rsidRPr="007C2D51" w:rsidRDefault="00617A4E" w:rsidP="00617A4E">
            <w:r w:rsidRPr="007C2D51">
              <w:t>Vehicle for individual</w:t>
            </w:r>
          </w:p>
        </w:tc>
        <w:tc>
          <w:tcPr>
            <w:tcW w:w="624" w:type="pct"/>
            <w:noWrap/>
            <w:vAlign w:val="bottom"/>
          </w:tcPr>
          <w:p w:rsidR="00617A4E" w:rsidRPr="007C2D51" w:rsidRDefault="00617A4E" w:rsidP="00617A4E">
            <w:pPr>
              <w:jc w:val="right"/>
              <w:cnfStyle w:val="000000000000"/>
              <w:rPr>
                <w:rFonts w:cs="Calibri"/>
                <w:color w:val="000000"/>
              </w:rPr>
            </w:pPr>
            <w:r w:rsidRPr="007C2D51">
              <w:rPr>
                <w:rFonts w:cs="Calibri"/>
                <w:color w:val="000000"/>
              </w:rPr>
              <w:t>31</w:t>
            </w:r>
          </w:p>
        </w:tc>
        <w:tc>
          <w:tcPr>
            <w:tcW w:w="448" w:type="pct"/>
            <w:vAlign w:val="bottom"/>
          </w:tcPr>
          <w:p w:rsidR="00617A4E" w:rsidRPr="007C2D51" w:rsidRDefault="00617A4E" w:rsidP="00617A4E">
            <w:pPr>
              <w:jc w:val="right"/>
              <w:cnfStyle w:val="000000000000"/>
              <w:rPr>
                <w:rFonts w:cs="Calibri"/>
                <w:color w:val="000000"/>
              </w:rPr>
            </w:pPr>
            <w:r w:rsidRPr="007C2D51">
              <w:rPr>
                <w:rFonts w:cs="Calibri"/>
                <w:color w:val="000000"/>
              </w:rPr>
              <w:t>3%</w:t>
            </w:r>
          </w:p>
        </w:tc>
        <w:tc>
          <w:tcPr>
            <w:tcW w:w="770" w:type="pct"/>
            <w:vAlign w:val="bottom"/>
          </w:tcPr>
          <w:p w:rsidR="00617A4E" w:rsidRPr="007C2D51" w:rsidRDefault="00617A4E" w:rsidP="00617A4E">
            <w:pPr>
              <w:jc w:val="right"/>
              <w:cnfStyle w:val="000000000000"/>
              <w:rPr>
                <w:rFonts w:cs="Calibri"/>
                <w:color w:val="000000"/>
              </w:rPr>
            </w:pPr>
            <w:r w:rsidRPr="007C2D51">
              <w:rPr>
                <w:rFonts w:cs="Calibri"/>
                <w:color w:val="000000"/>
              </w:rPr>
              <w:t xml:space="preserve">265,831 </w:t>
            </w:r>
          </w:p>
        </w:tc>
        <w:tc>
          <w:tcPr>
            <w:tcW w:w="436" w:type="pct"/>
            <w:noWrap/>
            <w:vAlign w:val="bottom"/>
          </w:tcPr>
          <w:p w:rsidR="00617A4E" w:rsidRPr="007C2D51" w:rsidRDefault="00617A4E" w:rsidP="00617A4E">
            <w:pPr>
              <w:jc w:val="right"/>
              <w:cnfStyle w:val="000000000000"/>
            </w:pPr>
            <w:r w:rsidRPr="007C2D51">
              <w:t>0%</w:t>
            </w:r>
          </w:p>
        </w:tc>
      </w:tr>
      <w:tr w:rsidR="00617A4E" w:rsidRPr="007C2D51" w:rsidTr="00F15767">
        <w:trPr>
          <w:cnfStyle w:val="000000100000"/>
          <w:trHeight w:val="300"/>
          <w:jc w:val="center"/>
        </w:trPr>
        <w:tc>
          <w:tcPr>
            <w:cnfStyle w:val="001000000000"/>
            <w:tcW w:w="2722" w:type="pct"/>
            <w:tcBorders>
              <w:top w:val="none" w:sz="0" w:space="0" w:color="auto"/>
              <w:left w:val="none" w:sz="0" w:space="0" w:color="auto"/>
              <w:bottom w:val="none" w:sz="0" w:space="0" w:color="auto"/>
            </w:tcBorders>
            <w:noWrap/>
            <w:vAlign w:val="bottom"/>
          </w:tcPr>
          <w:p w:rsidR="00617A4E" w:rsidRPr="007C2D51" w:rsidRDefault="00617A4E" w:rsidP="00617A4E">
            <w:r w:rsidRPr="007C2D51">
              <w:t>Vehicle for agency</w:t>
            </w:r>
          </w:p>
        </w:tc>
        <w:tc>
          <w:tcPr>
            <w:tcW w:w="624" w:type="pct"/>
            <w:tcBorders>
              <w:top w:val="none" w:sz="0" w:space="0" w:color="auto"/>
              <w:bottom w:val="none" w:sz="0" w:space="0" w:color="auto"/>
            </w:tcBorders>
            <w:noWrap/>
            <w:vAlign w:val="bottom"/>
          </w:tcPr>
          <w:p w:rsidR="00617A4E" w:rsidRPr="007C2D51" w:rsidRDefault="00617A4E" w:rsidP="00617A4E">
            <w:pPr>
              <w:jc w:val="right"/>
              <w:cnfStyle w:val="000000100000"/>
              <w:rPr>
                <w:rFonts w:cs="Calibri"/>
                <w:color w:val="000000"/>
              </w:rPr>
            </w:pPr>
            <w:r w:rsidRPr="007C2D51">
              <w:rPr>
                <w:rFonts w:cs="Calibri"/>
                <w:color w:val="000000"/>
              </w:rPr>
              <w:t>32</w:t>
            </w:r>
          </w:p>
        </w:tc>
        <w:tc>
          <w:tcPr>
            <w:tcW w:w="448" w:type="pct"/>
            <w:tcBorders>
              <w:top w:val="none" w:sz="0" w:space="0" w:color="auto"/>
              <w:bottom w:val="none" w:sz="0" w:space="0" w:color="auto"/>
            </w:tcBorders>
            <w:vAlign w:val="bottom"/>
          </w:tcPr>
          <w:p w:rsidR="00617A4E" w:rsidRPr="007C2D51" w:rsidRDefault="00617A4E" w:rsidP="00617A4E">
            <w:pPr>
              <w:jc w:val="right"/>
              <w:cnfStyle w:val="000000100000"/>
              <w:rPr>
                <w:rFonts w:cs="Calibri"/>
                <w:color w:val="000000"/>
              </w:rPr>
            </w:pPr>
            <w:r w:rsidRPr="007C2D51">
              <w:rPr>
                <w:rFonts w:cs="Calibri"/>
                <w:color w:val="000000"/>
              </w:rPr>
              <w:t>3%</w:t>
            </w:r>
          </w:p>
        </w:tc>
        <w:tc>
          <w:tcPr>
            <w:tcW w:w="770" w:type="pct"/>
            <w:tcBorders>
              <w:top w:val="none" w:sz="0" w:space="0" w:color="auto"/>
              <w:bottom w:val="none" w:sz="0" w:space="0" w:color="auto"/>
            </w:tcBorders>
            <w:vAlign w:val="bottom"/>
          </w:tcPr>
          <w:p w:rsidR="00617A4E" w:rsidRPr="007C2D51" w:rsidRDefault="00617A4E" w:rsidP="00617A4E">
            <w:pPr>
              <w:jc w:val="right"/>
              <w:cnfStyle w:val="000000100000"/>
              <w:rPr>
                <w:rFonts w:cs="Calibri"/>
                <w:color w:val="000000"/>
              </w:rPr>
            </w:pPr>
            <w:r w:rsidRPr="007C2D51">
              <w:rPr>
                <w:rFonts w:cs="Calibri"/>
                <w:color w:val="000000"/>
              </w:rPr>
              <w:t xml:space="preserve">112,090 </w:t>
            </w:r>
          </w:p>
        </w:tc>
        <w:tc>
          <w:tcPr>
            <w:tcW w:w="436" w:type="pct"/>
            <w:tcBorders>
              <w:top w:val="none" w:sz="0" w:space="0" w:color="auto"/>
              <w:bottom w:val="none" w:sz="0" w:space="0" w:color="auto"/>
              <w:right w:val="none" w:sz="0" w:space="0" w:color="auto"/>
            </w:tcBorders>
            <w:noWrap/>
            <w:vAlign w:val="bottom"/>
          </w:tcPr>
          <w:p w:rsidR="00617A4E" w:rsidRPr="007C2D51" w:rsidRDefault="00617A4E" w:rsidP="00617A4E">
            <w:pPr>
              <w:jc w:val="right"/>
              <w:cnfStyle w:val="000000100000"/>
            </w:pPr>
            <w:r w:rsidRPr="007C2D51">
              <w:t>0%</w:t>
            </w:r>
          </w:p>
        </w:tc>
      </w:tr>
      <w:tr w:rsidR="00617A4E" w:rsidRPr="007C2D51" w:rsidTr="00F15767">
        <w:trPr>
          <w:trHeight w:val="300"/>
          <w:jc w:val="center"/>
        </w:trPr>
        <w:tc>
          <w:tcPr>
            <w:cnfStyle w:val="001000000000"/>
            <w:tcW w:w="2722" w:type="pct"/>
            <w:noWrap/>
            <w:vAlign w:val="bottom"/>
          </w:tcPr>
          <w:p w:rsidR="00617A4E" w:rsidRPr="007C2D51" w:rsidRDefault="00617A4E" w:rsidP="00617A4E">
            <w:r w:rsidRPr="007C2D51">
              <w:t>Vanpool vehicles</w:t>
            </w:r>
          </w:p>
        </w:tc>
        <w:tc>
          <w:tcPr>
            <w:tcW w:w="624" w:type="pct"/>
            <w:noWrap/>
            <w:vAlign w:val="bottom"/>
          </w:tcPr>
          <w:p w:rsidR="00617A4E" w:rsidRPr="007C2D51" w:rsidRDefault="00617A4E" w:rsidP="00617A4E">
            <w:pPr>
              <w:jc w:val="right"/>
              <w:cnfStyle w:val="000000000000"/>
              <w:rPr>
                <w:rFonts w:cs="Calibri"/>
                <w:color w:val="000000"/>
              </w:rPr>
            </w:pPr>
            <w:r w:rsidRPr="007C2D51">
              <w:rPr>
                <w:rFonts w:cs="Calibri"/>
                <w:color w:val="000000"/>
              </w:rPr>
              <w:t>4</w:t>
            </w:r>
          </w:p>
        </w:tc>
        <w:tc>
          <w:tcPr>
            <w:tcW w:w="448" w:type="pct"/>
            <w:vAlign w:val="bottom"/>
          </w:tcPr>
          <w:p w:rsidR="00617A4E" w:rsidRPr="007C2D51" w:rsidRDefault="00617A4E" w:rsidP="00617A4E">
            <w:pPr>
              <w:jc w:val="right"/>
              <w:cnfStyle w:val="000000000000"/>
              <w:rPr>
                <w:rFonts w:cs="Calibri"/>
                <w:color w:val="000000"/>
              </w:rPr>
            </w:pPr>
            <w:r w:rsidRPr="007C2D51">
              <w:rPr>
                <w:rFonts w:cs="Calibri"/>
                <w:color w:val="000000"/>
              </w:rPr>
              <w:t>0%</w:t>
            </w:r>
          </w:p>
        </w:tc>
        <w:tc>
          <w:tcPr>
            <w:tcW w:w="770" w:type="pct"/>
            <w:vAlign w:val="bottom"/>
          </w:tcPr>
          <w:p w:rsidR="00617A4E" w:rsidRPr="007C2D51" w:rsidRDefault="00617A4E" w:rsidP="00617A4E">
            <w:pPr>
              <w:jc w:val="right"/>
              <w:cnfStyle w:val="000000000000"/>
              <w:rPr>
                <w:rFonts w:cs="Calibri"/>
                <w:color w:val="000000"/>
              </w:rPr>
            </w:pPr>
            <w:r w:rsidRPr="007C2D51">
              <w:rPr>
                <w:rFonts w:cs="Calibri"/>
                <w:color w:val="000000"/>
              </w:rPr>
              <w:t xml:space="preserve">38 </w:t>
            </w:r>
          </w:p>
        </w:tc>
        <w:tc>
          <w:tcPr>
            <w:tcW w:w="436" w:type="pct"/>
            <w:noWrap/>
            <w:vAlign w:val="bottom"/>
          </w:tcPr>
          <w:p w:rsidR="00617A4E" w:rsidRPr="007C2D51" w:rsidRDefault="00617A4E" w:rsidP="00617A4E">
            <w:pPr>
              <w:jc w:val="right"/>
              <w:cnfStyle w:val="000000000000"/>
            </w:pPr>
            <w:r w:rsidRPr="007C2D51">
              <w:t>0%</w:t>
            </w:r>
          </w:p>
        </w:tc>
      </w:tr>
      <w:tr w:rsidR="00617A4E" w:rsidRPr="007C2D51" w:rsidTr="00F15767">
        <w:trPr>
          <w:cnfStyle w:val="000000100000"/>
          <w:trHeight w:val="300"/>
          <w:jc w:val="center"/>
        </w:trPr>
        <w:tc>
          <w:tcPr>
            <w:cnfStyle w:val="001000000000"/>
            <w:tcW w:w="2722" w:type="pct"/>
            <w:tcBorders>
              <w:top w:val="none" w:sz="0" w:space="0" w:color="auto"/>
              <w:left w:val="none" w:sz="0" w:space="0" w:color="auto"/>
              <w:bottom w:val="none" w:sz="0" w:space="0" w:color="auto"/>
            </w:tcBorders>
            <w:noWrap/>
            <w:vAlign w:val="bottom"/>
          </w:tcPr>
          <w:p w:rsidR="00617A4E" w:rsidRPr="007C2D51" w:rsidRDefault="00617A4E" w:rsidP="00617A4E">
            <w:r w:rsidRPr="007C2D51">
              <w:t>ITS investments</w:t>
            </w:r>
          </w:p>
        </w:tc>
        <w:tc>
          <w:tcPr>
            <w:tcW w:w="624" w:type="pct"/>
            <w:tcBorders>
              <w:top w:val="none" w:sz="0" w:space="0" w:color="auto"/>
              <w:bottom w:val="none" w:sz="0" w:space="0" w:color="auto"/>
            </w:tcBorders>
            <w:noWrap/>
            <w:vAlign w:val="bottom"/>
          </w:tcPr>
          <w:p w:rsidR="00617A4E" w:rsidRPr="007C2D51" w:rsidRDefault="00617A4E" w:rsidP="00617A4E">
            <w:pPr>
              <w:jc w:val="right"/>
              <w:cnfStyle w:val="000000100000"/>
              <w:rPr>
                <w:rFonts w:cs="Calibri"/>
                <w:color w:val="000000"/>
              </w:rPr>
            </w:pPr>
            <w:r w:rsidRPr="007C2D51">
              <w:rPr>
                <w:rFonts w:cs="Calibri"/>
                <w:color w:val="000000"/>
              </w:rPr>
              <w:t>12</w:t>
            </w:r>
          </w:p>
        </w:tc>
        <w:tc>
          <w:tcPr>
            <w:tcW w:w="448" w:type="pct"/>
            <w:tcBorders>
              <w:top w:val="none" w:sz="0" w:space="0" w:color="auto"/>
              <w:bottom w:val="none" w:sz="0" w:space="0" w:color="auto"/>
            </w:tcBorders>
            <w:vAlign w:val="bottom"/>
          </w:tcPr>
          <w:p w:rsidR="00617A4E" w:rsidRPr="007C2D51" w:rsidRDefault="00617A4E" w:rsidP="00617A4E">
            <w:pPr>
              <w:jc w:val="right"/>
              <w:cnfStyle w:val="000000100000"/>
            </w:pPr>
            <w:r w:rsidRPr="007C2D51">
              <w:rPr>
                <w:rFonts w:cs="Calibri"/>
                <w:color w:val="000000"/>
              </w:rPr>
              <w:t>1%</w:t>
            </w:r>
          </w:p>
        </w:tc>
        <w:tc>
          <w:tcPr>
            <w:tcW w:w="770" w:type="pct"/>
            <w:tcBorders>
              <w:top w:val="none" w:sz="0" w:space="0" w:color="auto"/>
              <w:bottom w:val="none" w:sz="0" w:space="0" w:color="auto"/>
            </w:tcBorders>
            <w:vAlign w:val="bottom"/>
          </w:tcPr>
          <w:p w:rsidR="00617A4E" w:rsidRPr="007C2D51" w:rsidRDefault="00617A4E" w:rsidP="00617A4E">
            <w:pPr>
              <w:jc w:val="right"/>
              <w:cnfStyle w:val="000000100000"/>
            </w:pPr>
            <w:r w:rsidRPr="007C2D51">
              <w:t>N/A</w:t>
            </w:r>
          </w:p>
        </w:tc>
        <w:tc>
          <w:tcPr>
            <w:tcW w:w="436" w:type="pct"/>
            <w:tcBorders>
              <w:top w:val="none" w:sz="0" w:space="0" w:color="auto"/>
              <w:bottom w:val="none" w:sz="0" w:space="0" w:color="auto"/>
              <w:right w:val="none" w:sz="0" w:space="0" w:color="auto"/>
            </w:tcBorders>
            <w:noWrap/>
            <w:vAlign w:val="bottom"/>
          </w:tcPr>
          <w:p w:rsidR="00617A4E" w:rsidRPr="007C2D51" w:rsidRDefault="00617A4E" w:rsidP="00617A4E">
            <w:pPr>
              <w:jc w:val="right"/>
              <w:cnfStyle w:val="000000100000"/>
            </w:pPr>
            <w:r w:rsidRPr="007C2D51">
              <w:t>0%</w:t>
            </w:r>
          </w:p>
        </w:tc>
      </w:tr>
      <w:tr w:rsidR="00617A4E" w:rsidRPr="007C2D51" w:rsidTr="00F15767">
        <w:trPr>
          <w:trHeight w:val="300"/>
          <w:jc w:val="center"/>
        </w:trPr>
        <w:tc>
          <w:tcPr>
            <w:cnfStyle w:val="001000000000"/>
            <w:tcW w:w="2722" w:type="pct"/>
            <w:noWrap/>
            <w:vAlign w:val="bottom"/>
          </w:tcPr>
          <w:p w:rsidR="00617A4E" w:rsidRPr="007C2D51" w:rsidRDefault="00617A4E" w:rsidP="00617A4E">
            <w:r w:rsidRPr="007C2D51">
              <w:t>Other capital projects</w:t>
            </w:r>
          </w:p>
        </w:tc>
        <w:tc>
          <w:tcPr>
            <w:tcW w:w="624" w:type="pct"/>
            <w:noWrap/>
            <w:vAlign w:val="bottom"/>
          </w:tcPr>
          <w:p w:rsidR="00617A4E" w:rsidRPr="007C2D51" w:rsidRDefault="00617A4E" w:rsidP="00617A4E">
            <w:pPr>
              <w:jc w:val="right"/>
              <w:cnfStyle w:val="000000000000"/>
              <w:rPr>
                <w:rFonts w:cs="Calibri"/>
                <w:color w:val="000000"/>
              </w:rPr>
            </w:pPr>
            <w:r w:rsidRPr="007C2D51">
              <w:rPr>
                <w:rFonts w:cs="Calibri"/>
                <w:color w:val="000000"/>
              </w:rPr>
              <w:t>3</w:t>
            </w:r>
          </w:p>
        </w:tc>
        <w:tc>
          <w:tcPr>
            <w:tcW w:w="448" w:type="pct"/>
            <w:vAlign w:val="bottom"/>
          </w:tcPr>
          <w:p w:rsidR="00617A4E" w:rsidRPr="007C2D51" w:rsidRDefault="00617A4E" w:rsidP="00617A4E">
            <w:pPr>
              <w:jc w:val="right"/>
              <w:cnfStyle w:val="000000000000"/>
            </w:pPr>
            <w:r w:rsidRPr="007C2D51">
              <w:rPr>
                <w:rFonts w:cs="Calibri"/>
                <w:color w:val="000000"/>
              </w:rPr>
              <w:t>0%</w:t>
            </w:r>
          </w:p>
        </w:tc>
        <w:tc>
          <w:tcPr>
            <w:tcW w:w="770" w:type="pct"/>
            <w:vAlign w:val="bottom"/>
          </w:tcPr>
          <w:p w:rsidR="00617A4E" w:rsidRPr="007C2D51" w:rsidRDefault="00617A4E" w:rsidP="00617A4E">
            <w:pPr>
              <w:jc w:val="right"/>
              <w:cnfStyle w:val="000000000000"/>
            </w:pPr>
            <w:r w:rsidRPr="007C2D51">
              <w:t>N/A</w:t>
            </w:r>
          </w:p>
        </w:tc>
        <w:tc>
          <w:tcPr>
            <w:tcW w:w="436" w:type="pct"/>
            <w:noWrap/>
            <w:vAlign w:val="bottom"/>
          </w:tcPr>
          <w:p w:rsidR="00617A4E" w:rsidRPr="007C2D51" w:rsidRDefault="00617A4E" w:rsidP="00617A4E">
            <w:pPr>
              <w:jc w:val="right"/>
              <w:cnfStyle w:val="000000000000"/>
            </w:pPr>
            <w:r w:rsidRPr="007C2D51">
              <w:t>0%</w:t>
            </w:r>
          </w:p>
        </w:tc>
      </w:tr>
      <w:tr w:rsidR="00617A4E" w:rsidRPr="007C2D51" w:rsidTr="00F15767">
        <w:trPr>
          <w:cnfStyle w:val="000000100000"/>
          <w:trHeight w:val="300"/>
          <w:jc w:val="center"/>
        </w:trPr>
        <w:tc>
          <w:tcPr>
            <w:cnfStyle w:val="001000000000"/>
            <w:tcW w:w="2722" w:type="pct"/>
            <w:tcBorders>
              <w:top w:val="none" w:sz="0" w:space="0" w:color="auto"/>
              <w:left w:val="none" w:sz="0" w:space="0" w:color="auto"/>
              <w:bottom w:val="none" w:sz="0" w:space="0" w:color="auto"/>
            </w:tcBorders>
            <w:noWrap/>
            <w:vAlign w:val="bottom"/>
          </w:tcPr>
          <w:p w:rsidR="00617A4E" w:rsidRPr="007C2D51" w:rsidRDefault="00617A4E" w:rsidP="00617A4E">
            <w:r w:rsidRPr="007C2D51">
              <w:t>Car-sharing</w:t>
            </w:r>
          </w:p>
        </w:tc>
        <w:tc>
          <w:tcPr>
            <w:tcW w:w="624" w:type="pct"/>
            <w:tcBorders>
              <w:top w:val="none" w:sz="0" w:space="0" w:color="auto"/>
              <w:bottom w:val="none" w:sz="0" w:space="0" w:color="auto"/>
            </w:tcBorders>
            <w:noWrap/>
            <w:vAlign w:val="bottom"/>
          </w:tcPr>
          <w:p w:rsidR="00617A4E" w:rsidRPr="007C2D51" w:rsidRDefault="00617A4E" w:rsidP="00617A4E">
            <w:pPr>
              <w:jc w:val="right"/>
              <w:cnfStyle w:val="000000100000"/>
              <w:rPr>
                <w:rFonts w:cs="Calibri"/>
                <w:color w:val="000000"/>
              </w:rPr>
            </w:pPr>
            <w:r w:rsidRPr="007C2D51">
              <w:rPr>
                <w:rFonts w:cs="Calibri"/>
                <w:color w:val="000000"/>
              </w:rPr>
              <w:t>1</w:t>
            </w:r>
          </w:p>
        </w:tc>
        <w:tc>
          <w:tcPr>
            <w:tcW w:w="448" w:type="pct"/>
            <w:tcBorders>
              <w:top w:val="none" w:sz="0" w:space="0" w:color="auto"/>
              <w:bottom w:val="none" w:sz="0" w:space="0" w:color="auto"/>
            </w:tcBorders>
            <w:vAlign w:val="bottom"/>
          </w:tcPr>
          <w:p w:rsidR="00617A4E" w:rsidRPr="007C2D51" w:rsidRDefault="00617A4E" w:rsidP="00617A4E">
            <w:pPr>
              <w:jc w:val="right"/>
              <w:cnfStyle w:val="000000100000"/>
            </w:pPr>
            <w:r w:rsidRPr="007C2D51">
              <w:rPr>
                <w:rFonts w:cs="Calibri"/>
                <w:color w:val="000000"/>
              </w:rPr>
              <w:t>0%</w:t>
            </w:r>
          </w:p>
        </w:tc>
        <w:tc>
          <w:tcPr>
            <w:tcW w:w="770" w:type="pct"/>
            <w:tcBorders>
              <w:top w:val="none" w:sz="0" w:space="0" w:color="auto"/>
              <w:bottom w:val="none" w:sz="0" w:space="0" w:color="auto"/>
            </w:tcBorders>
            <w:vAlign w:val="bottom"/>
          </w:tcPr>
          <w:p w:rsidR="00617A4E" w:rsidRPr="007C2D51" w:rsidRDefault="00617A4E" w:rsidP="00617A4E">
            <w:pPr>
              <w:jc w:val="right"/>
              <w:cnfStyle w:val="000000100000"/>
            </w:pPr>
            <w:r w:rsidRPr="007C2D51">
              <w:t>N/A</w:t>
            </w:r>
          </w:p>
        </w:tc>
        <w:tc>
          <w:tcPr>
            <w:tcW w:w="436" w:type="pct"/>
            <w:tcBorders>
              <w:top w:val="none" w:sz="0" w:space="0" w:color="auto"/>
              <w:bottom w:val="none" w:sz="0" w:space="0" w:color="auto"/>
              <w:right w:val="none" w:sz="0" w:space="0" w:color="auto"/>
            </w:tcBorders>
            <w:noWrap/>
            <w:vAlign w:val="bottom"/>
          </w:tcPr>
          <w:p w:rsidR="00617A4E" w:rsidRPr="007C2D51" w:rsidRDefault="00617A4E" w:rsidP="00617A4E">
            <w:pPr>
              <w:jc w:val="right"/>
              <w:cnfStyle w:val="000000100000"/>
            </w:pPr>
            <w:r w:rsidRPr="007C2D51">
              <w:t>0%</w:t>
            </w:r>
          </w:p>
        </w:tc>
      </w:tr>
      <w:tr w:rsidR="00617A4E" w:rsidRPr="007C2D51" w:rsidTr="00F15767">
        <w:trPr>
          <w:trHeight w:val="300"/>
          <w:jc w:val="center"/>
        </w:trPr>
        <w:tc>
          <w:tcPr>
            <w:cnfStyle w:val="001000000000"/>
            <w:tcW w:w="2722" w:type="pct"/>
            <w:shd w:val="clear" w:color="auto" w:fill="475A8D" w:themeFill="accent6"/>
            <w:noWrap/>
            <w:vAlign w:val="bottom"/>
          </w:tcPr>
          <w:p w:rsidR="00617A4E" w:rsidRPr="007C2D51" w:rsidRDefault="00617A4E" w:rsidP="00617A4E">
            <w:pPr>
              <w:rPr>
                <w:color w:val="FFFFFF" w:themeColor="background1"/>
              </w:rPr>
            </w:pPr>
            <w:r w:rsidRPr="007C2D51">
              <w:rPr>
                <w:color w:val="FFFFFF" w:themeColor="background1"/>
              </w:rPr>
              <w:t>Planning Projects</w:t>
            </w:r>
          </w:p>
        </w:tc>
        <w:tc>
          <w:tcPr>
            <w:tcW w:w="624" w:type="pct"/>
            <w:shd w:val="clear" w:color="auto" w:fill="475A8D" w:themeFill="accent6"/>
            <w:noWrap/>
            <w:vAlign w:val="bottom"/>
          </w:tcPr>
          <w:p w:rsidR="00617A4E" w:rsidRPr="007C2D51" w:rsidRDefault="00617A4E" w:rsidP="00617A4E">
            <w:pPr>
              <w:jc w:val="right"/>
              <w:cnfStyle w:val="000000000000"/>
              <w:rPr>
                <w:rFonts w:cs="Calibri"/>
                <w:b/>
                <w:color w:val="FFFFFF" w:themeColor="background1"/>
              </w:rPr>
            </w:pPr>
            <w:r w:rsidRPr="007C2D51">
              <w:rPr>
                <w:rFonts w:cs="Calibri"/>
                <w:b/>
                <w:color w:val="FFFFFF" w:themeColor="background1"/>
              </w:rPr>
              <w:t>11</w:t>
            </w:r>
          </w:p>
        </w:tc>
        <w:tc>
          <w:tcPr>
            <w:tcW w:w="448" w:type="pct"/>
            <w:shd w:val="clear" w:color="auto" w:fill="475A8D" w:themeFill="accent6"/>
            <w:vAlign w:val="bottom"/>
          </w:tcPr>
          <w:p w:rsidR="00617A4E" w:rsidRPr="007C2D51" w:rsidRDefault="00617A4E" w:rsidP="00617A4E">
            <w:pPr>
              <w:jc w:val="right"/>
              <w:cnfStyle w:val="000000000000"/>
              <w:rPr>
                <w:b/>
                <w:color w:val="FFFFFF" w:themeColor="background1"/>
              </w:rPr>
            </w:pPr>
            <w:r w:rsidRPr="007C2D51">
              <w:rPr>
                <w:b/>
                <w:color w:val="FFFFFF" w:themeColor="background1"/>
              </w:rPr>
              <w:t>1%</w:t>
            </w:r>
          </w:p>
        </w:tc>
        <w:tc>
          <w:tcPr>
            <w:tcW w:w="770" w:type="pct"/>
            <w:shd w:val="clear" w:color="auto" w:fill="475A8D" w:themeFill="accent6"/>
            <w:vAlign w:val="bottom"/>
          </w:tcPr>
          <w:p w:rsidR="00617A4E" w:rsidRPr="007C2D51" w:rsidRDefault="00617A4E" w:rsidP="00617A4E">
            <w:pPr>
              <w:jc w:val="right"/>
              <w:cnfStyle w:val="000000000000"/>
              <w:rPr>
                <w:b/>
                <w:color w:val="FFFFFF" w:themeColor="background1"/>
              </w:rPr>
            </w:pPr>
            <w:r w:rsidRPr="007C2D51">
              <w:rPr>
                <w:b/>
                <w:color w:val="FFFFFF" w:themeColor="background1"/>
              </w:rPr>
              <w:t>N/A</w:t>
            </w:r>
          </w:p>
        </w:tc>
        <w:tc>
          <w:tcPr>
            <w:tcW w:w="436" w:type="pct"/>
            <w:shd w:val="clear" w:color="auto" w:fill="475A8D" w:themeFill="accent6"/>
            <w:noWrap/>
            <w:vAlign w:val="bottom"/>
          </w:tcPr>
          <w:p w:rsidR="00617A4E" w:rsidRPr="007C2D51" w:rsidRDefault="00617A4E" w:rsidP="00617A4E">
            <w:pPr>
              <w:jc w:val="right"/>
              <w:cnfStyle w:val="000000000000"/>
              <w:rPr>
                <w:b/>
                <w:color w:val="FFFFFF" w:themeColor="background1"/>
              </w:rPr>
            </w:pPr>
            <w:r w:rsidRPr="007C2D51">
              <w:rPr>
                <w:b/>
                <w:color w:val="FFFFFF" w:themeColor="background1"/>
              </w:rPr>
              <w:t>0%</w:t>
            </w:r>
          </w:p>
        </w:tc>
      </w:tr>
      <w:tr w:rsidR="00617A4E" w:rsidRPr="007C2D51" w:rsidTr="00F15767">
        <w:trPr>
          <w:cnfStyle w:val="000000100000"/>
          <w:trHeight w:val="300"/>
          <w:jc w:val="center"/>
        </w:trPr>
        <w:tc>
          <w:tcPr>
            <w:cnfStyle w:val="001000000000"/>
            <w:tcW w:w="2722" w:type="pct"/>
            <w:tcBorders>
              <w:top w:val="none" w:sz="0" w:space="0" w:color="auto"/>
              <w:left w:val="none" w:sz="0" w:space="0" w:color="auto"/>
              <w:bottom w:val="none" w:sz="0" w:space="0" w:color="auto"/>
            </w:tcBorders>
            <w:noWrap/>
            <w:vAlign w:val="bottom"/>
          </w:tcPr>
          <w:p w:rsidR="00617A4E" w:rsidRPr="007C2D51" w:rsidRDefault="00617A4E" w:rsidP="00617A4E">
            <w:r w:rsidRPr="007C2D51">
              <w:t>Feasibility studies</w:t>
            </w:r>
          </w:p>
        </w:tc>
        <w:tc>
          <w:tcPr>
            <w:tcW w:w="624" w:type="pct"/>
            <w:tcBorders>
              <w:top w:val="none" w:sz="0" w:space="0" w:color="auto"/>
              <w:bottom w:val="none" w:sz="0" w:space="0" w:color="auto"/>
            </w:tcBorders>
            <w:noWrap/>
            <w:vAlign w:val="bottom"/>
          </w:tcPr>
          <w:p w:rsidR="00617A4E" w:rsidRPr="007C2D51" w:rsidRDefault="00617A4E" w:rsidP="00617A4E">
            <w:pPr>
              <w:jc w:val="right"/>
              <w:cnfStyle w:val="000000100000"/>
              <w:rPr>
                <w:rFonts w:cs="Calibri"/>
                <w:color w:val="000000"/>
              </w:rPr>
            </w:pPr>
            <w:r w:rsidRPr="007C2D51">
              <w:rPr>
                <w:rFonts w:cs="Calibri"/>
                <w:color w:val="000000"/>
              </w:rPr>
              <w:t>11</w:t>
            </w:r>
          </w:p>
        </w:tc>
        <w:tc>
          <w:tcPr>
            <w:tcW w:w="448" w:type="pct"/>
            <w:tcBorders>
              <w:top w:val="none" w:sz="0" w:space="0" w:color="auto"/>
              <w:bottom w:val="none" w:sz="0" w:space="0" w:color="auto"/>
            </w:tcBorders>
            <w:vAlign w:val="bottom"/>
          </w:tcPr>
          <w:p w:rsidR="00617A4E" w:rsidRPr="007C2D51" w:rsidRDefault="00617A4E" w:rsidP="00617A4E">
            <w:pPr>
              <w:jc w:val="right"/>
              <w:cnfStyle w:val="000000100000"/>
            </w:pPr>
            <w:r w:rsidRPr="007C2D51">
              <w:t>1%</w:t>
            </w:r>
          </w:p>
        </w:tc>
        <w:tc>
          <w:tcPr>
            <w:tcW w:w="770" w:type="pct"/>
            <w:tcBorders>
              <w:top w:val="none" w:sz="0" w:space="0" w:color="auto"/>
              <w:bottom w:val="none" w:sz="0" w:space="0" w:color="auto"/>
            </w:tcBorders>
            <w:vAlign w:val="bottom"/>
          </w:tcPr>
          <w:p w:rsidR="00617A4E" w:rsidRPr="007C2D51" w:rsidRDefault="00617A4E" w:rsidP="00617A4E">
            <w:pPr>
              <w:jc w:val="right"/>
              <w:cnfStyle w:val="000000100000"/>
            </w:pPr>
            <w:r w:rsidRPr="007C2D51">
              <w:t>N/A</w:t>
            </w:r>
          </w:p>
        </w:tc>
        <w:tc>
          <w:tcPr>
            <w:tcW w:w="436" w:type="pct"/>
            <w:tcBorders>
              <w:top w:val="none" w:sz="0" w:space="0" w:color="auto"/>
              <w:bottom w:val="none" w:sz="0" w:space="0" w:color="auto"/>
              <w:right w:val="none" w:sz="0" w:space="0" w:color="auto"/>
            </w:tcBorders>
            <w:noWrap/>
            <w:vAlign w:val="bottom"/>
          </w:tcPr>
          <w:p w:rsidR="00617A4E" w:rsidRPr="007C2D51" w:rsidRDefault="00617A4E" w:rsidP="00617A4E">
            <w:pPr>
              <w:jc w:val="right"/>
              <w:cnfStyle w:val="000000100000"/>
            </w:pPr>
            <w:r w:rsidRPr="007C2D51">
              <w:t>0%</w:t>
            </w:r>
          </w:p>
        </w:tc>
      </w:tr>
      <w:tr w:rsidR="00617A4E" w:rsidRPr="007C2D51" w:rsidTr="00F15767">
        <w:trPr>
          <w:trHeight w:val="300"/>
          <w:jc w:val="center"/>
        </w:trPr>
        <w:tc>
          <w:tcPr>
            <w:cnfStyle w:val="001000000000"/>
            <w:tcW w:w="2722" w:type="pct"/>
            <w:shd w:val="clear" w:color="auto" w:fill="475A8D" w:themeFill="accent6"/>
            <w:noWrap/>
            <w:vAlign w:val="bottom"/>
          </w:tcPr>
          <w:p w:rsidR="00617A4E" w:rsidRPr="007C2D51" w:rsidRDefault="00617A4E" w:rsidP="00617A4E">
            <w:pPr>
              <w:rPr>
                <w:color w:val="FFFFFF" w:themeColor="background1"/>
              </w:rPr>
            </w:pPr>
            <w:r w:rsidRPr="007C2D51">
              <w:rPr>
                <w:color w:val="FFFFFF" w:themeColor="background1"/>
              </w:rPr>
              <w:t>Total</w:t>
            </w:r>
          </w:p>
        </w:tc>
        <w:tc>
          <w:tcPr>
            <w:tcW w:w="624" w:type="pct"/>
            <w:shd w:val="clear" w:color="auto" w:fill="475A8D" w:themeFill="accent6"/>
            <w:noWrap/>
            <w:vAlign w:val="bottom"/>
          </w:tcPr>
          <w:p w:rsidR="00617A4E" w:rsidRPr="007C2D51" w:rsidRDefault="00617A4E" w:rsidP="00617A4E">
            <w:pPr>
              <w:jc w:val="right"/>
              <w:cnfStyle w:val="000000000000"/>
              <w:rPr>
                <w:rFonts w:cs="Calibri"/>
                <w:b/>
                <w:bCs/>
                <w:color w:val="FFFFFF" w:themeColor="background1"/>
              </w:rPr>
            </w:pPr>
            <w:r w:rsidRPr="007C2D51">
              <w:rPr>
                <w:rFonts w:cs="Calibri"/>
                <w:b/>
                <w:bCs/>
                <w:color w:val="FFFFFF" w:themeColor="background1"/>
              </w:rPr>
              <w:t>1027</w:t>
            </w:r>
          </w:p>
        </w:tc>
        <w:tc>
          <w:tcPr>
            <w:tcW w:w="448" w:type="pct"/>
            <w:shd w:val="clear" w:color="auto" w:fill="475A8D" w:themeFill="accent6"/>
            <w:vAlign w:val="bottom"/>
          </w:tcPr>
          <w:p w:rsidR="00617A4E" w:rsidRPr="007C2D51" w:rsidRDefault="00617A4E" w:rsidP="00617A4E">
            <w:pPr>
              <w:jc w:val="right"/>
              <w:cnfStyle w:val="000000000000"/>
              <w:rPr>
                <w:rFonts w:cs="Calibri"/>
                <w:b/>
                <w:bCs/>
                <w:color w:val="FFFFFF" w:themeColor="background1"/>
              </w:rPr>
            </w:pPr>
            <w:r w:rsidRPr="007C2D51">
              <w:rPr>
                <w:rFonts w:cs="Calibri"/>
                <w:b/>
                <w:bCs/>
                <w:color w:val="FFFFFF" w:themeColor="background1"/>
              </w:rPr>
              <w:t>100%</w:t>
            </w:r>
          </w:p>
        </w:tc>
        <w:tc>
          <w:tcPr>
            <w:tcW w:w="770" w:type="pct"/>
            <w:shd w:val="clear" w:color="auto" w:fill="475A8D" w:themeFill="accent6"/>
            <w:vAlign w:val="bottom"/>
          </w:tcPr>
          <w:p w:rsidR="00617A4E" w:rsidRPr="007C2D51" w:rsidRDefault="00617A4E" w:rsidP="00617A4E">
            <w:pPr>
              <w:jc w:val="right"/>
              <w:cnfStyle w:val="000000000000"/>
              <w:rPr>
                <w:b/>
                <w:color w:val="FFFFFF" w:themeColor="background1"/>
              </w:rPr>
            </w:pPr>
            <w:r w:rsidRPr="007C2D51">
              <w:rPr>
                <w:rFonts w:cs="Calibri"/>
                <w:b/>
                <w:bCs/>
                <w:color w:val="FFFFFF" w:themeColor="background1"/>
              </w:rPr>
              <w:t>55,275,245</w:t>
            </w:r>
          </w:p>
        </w:tc>
        <w:tc>
          <w:tcPr>
            <w:tcW w:w="436" w:type="pct"/>
            <w:shd w:val="clear" w:color="auto" w:fill="475A8D" w:themeFill="accent6"/>
            <w:noWrap/>
            <w:vAlign w:val="bottom"/>
          </w:tcPr>
          <w:p w:rsidR="00617A4E" w:rsidRPr="007C2D51" w:rsidRDefault="00617A4E" w:rsidP="00617A4E">
            <w:pPr>
              <w:jc w:val="right"/>
              <w:cnfStyle w:val="000000000000"/>
              <w:rPr>
                <w:b/>
                <w:color w:val="FFFFFF" w:themeColor="background1"/>
              </w:rPr>
            </w:pPr>
            <w:r w:rsidRPr="007C2D51">
              <w:rPr>
                <w:b/>
                <w:color w:val="FFFFFF" w:themeColor="background1"/>
              </w:rPr>
              <w:t>100%</w:t>
            </w:r>
          </w:p>
        </w:tc>
      </w:tr>
    </w:tbl>
    <w:p w:rsidR="00254595" w:rsidRPr="007C2D51" w:rsidRDefault="00254595" w:rsidP="00254595"/>
    <w:p w:rsidR="00254595" w:rsidRPr="007C2D51" w:rsidRDefault="00254595" w:rsidP="00254595">
      <w:r w:rsidRPr="007C2D51">
        <w:br w:type="page"/>
      </w:r>
    </w:p>
    <w:p w:rsidR="00254595" w:rsidRPr="007C2D51" w:rsidRDefault="00864A4B" w:rsidP="00254595">
      <w:r w:rsidRPr="007C2D51">
        <w:rPr>
          <w:noProof/>
          <w:lang w:eastAsia="en-US"/>
        </w:rPr>
        <w:lastRenderedPageBreak/>
        <w:drawing>
          <wp:anchor distT="0" distB="0" distL="114300" distR="114300" simplePos="0" relativeHeight="251735040" behindDoc="0" locked="0" layoutInCell="1" allowOverlap="1">
            <wp:simplePos x="0" y="0"/>
            <wp:positionH relativeFrom="margin">
              <wp:align>center</wp:align>
            </wp:positionH>
            <wp:positionV relativeFrom="paragraph">
              <wp:posOffset>0</wp:posOffset>
            </wp:positionV>
            <wp:extent cx="5943600" cy="6143625"/>
            <wp:effectExtent l="0" t="0" r="0" b="0"/>
            <wp:wrapTopAndBottom/>
            <wp:docPr id="18"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p>
    <w:p w:rsidR="00254595" w:rsidRPr="007C2D51" w:rsidRDefault="005C04BC" w:rsidP="005C04BC">
      <w:pPr>
        <w:pStyle w:val="Caption"/>
      </w:pPr>
      <w:bookmarkStart w:id="120" w:name="_Toc304967493"/>
      <w:r w:rsidRPr="007C2D51">
        <w:t xml:space="preserve">Figure </w:t>
      </w:r>
      <w:fldSimple w:instr=" STYLEREF 1 \s ">
        <w:r w:rsidR="00F35ACC">
          <w:rPr>
            <w:noProof/>
          </w:rPr>
          <w:t>4</w:t>
        </w:r>
      </w:fldSimple>
      <w:r w:rsidR="0009713B" w:rsidRPr="007C2D51">
        <w:noBreakHyphen/>
      </w:r>
      <w:fldSimple w:instr=" SEQ Figure \* ARABIC \s 1 ">
        <w:r w:rsidR="00F35ACC">
          <w:rPr>
            <w:noProof/>
          </w:rPr>
          <w:t>4</w:t>
        </w:r>
      </w:fldSimple>
      <w:r w:rsidRPr="007C2D51">
        <w:br/>
      </w:r>
      <w:r w:rsidR="00254595" w:rsidRPr="007C2D51">
        <w:t xml:space="preserve">Comparison of Services and One-Way </w:t>
      </w:r>
      <w:r w:rsidR="008844B6" w:rsidRPr="007C2D51">
        <w:t xml:space="preserve">Trips </w:t>
      </w:r>
      <w:r w:rsidR="006F5B08" w:rsidRPr="007C2D51">
        <w:br/>
        <w:t xml:space="preserve">(Percentage </w:t>
      </w:r>
      <w:r w:rsidR="005B406E" w:rsidRPr="007C2D51">
        <w:t>by</w:t>
      </w:r>
      <w:r w:rsidR="006F5B08" w:rsidRPr="007C2D51">
        <w:t xml:space="preserve"> Column)</w:t>
      </w:r>
      <w:bookmarkEnd w:id="120"/>
    </w:p>
    <w:p w:rsidR="00254595" w:rsidRPr="007C2D51" w:rsidRDefault="00254595" w:rsidP="00254595">
      <w:pPr>
        <w:rPr>
          <w:rFonts w:asciiTheme="majorHAnsi" w:hAnsiTheme="majorHAnsi"/>
          <w:color w:val="FEB80A" w:themeColor="accent2"/>
          <w:sz w:val="28"/>
          <w:szCs w:val="28"/>
        </w:rPr>
      </w:pPr>
      <w:r w:rsidRPr="007C2D51">
        <w:br w:type="page"/>
      </w:r>
    </w:p>
    <w:p w:rsidR="00E735EC" w:rsidRPr="007C2D51" w:rsidRDefault="00E735EC" w:rsidP="005606E4">
      <w:pPr>
        <w:pStyle w:val="Heading1"/>
      </w:pPr>
      <w:bookmarkStart w:id="121" w:name="_Toc242869876"/>
      <w:bookmarkStart w:id="122" w:name="_Toc244660208"/>
      <w:bookmarkStart w:id="123" w:name="_Toc304965695"/>
      <w:r w:rsidRPr="007C2D51">
        <w:lastRenderedPageBreak/>
        <w:t>Jobs Accessed</w:t>
      </w:r>
      <w:bookmarkEnd w:id="121"/>
      <w:bookmarkEnd w:id="122"/>
      <w:bookmarkEnd w:id="123"/>
    </w:p>
    <w:p w:rsidR="00EF235F" w:rsidRPr="007C2D51" w:rsidRDefault="00EF235F" w:rsidP="00EF235F">
      <w:pPr>
        <w:pStyle w:val="BodyText"/>
      </w:pPr>
      <w:bookmarkStart w:id="124" w:name="_Toc242869877"/>
      <w:bookmarkStart w:id="125" w:name="_Toc244660209"/>
      <w:r w:rsidRPr="007C2D51">
        <w:t>As indicated in Chapter 1, FTA has established two key performance measures for JARC program:</w:t>
      </w:r>
    </w:p>
    <w:p w:rsidR="00EF235F" w:rsidRPr="007C2D51" w:rsidRDefault="00EF235F" w:rsidP="00EF235F">
      <w:pPr>
        <w:pStyle w:val="ListBullet"/>
        <w:spacing w:after="200" w:line="276" w:lineRule="auto"/>
      </w:pPr>
      <w:r w:rsidRPr="007C2D51">
        <w:t xml:space="preserve">One-way trips provided </w:t>
      </w:r>
    </w:p>
    <w:p w:rsidR="00EF235F" w:rsidRPr="007C2D51" w:rsidRDefault="00EF235F" w:rsidP="00EF235F">
      <w:pPr>
        <w:pStyle w:val="ListBullet"/>
        <w:spacing w:after="200" w:line="276" w:lineRule="auto"/>
      </w:pPr>
      <w:r w:rsidRPr="007C2D51">
        <w:t>Jobs accessed</w:t>
      </w:r>
    </w:p>
    <w:p w:rsidR="00EF235F" w:rsidRPr="007C2D51" w:rsidRDefault="00EF235F" w:rsidP="00EF235F">
      <w:pPr>
        <w:pStyle w:val="BodyText"/>
      </w:pPr>
      <w:r w:rsidRPr="007C2D51">
        <w:t>One-way trips, summarized in the previous chapter, are a standard transportation measure that most service providers capture routinely</w:t>
      </w:r>
      <w:r w:rsidR="00CE332B" w:rsidRPr="007C2D51">
        <w:t xml:space="preserve">.  </w:t>
      </w:r>
      <w:r w:rsidRPr="007C2D51">
        <w:t>The number of jobs accessed, on the other hand, is not a conventional measure of transit performance</w:t>
      </w:r>
      <w:r w:rsidR="00CE332B" w:rsidRPr="007C2D51">
        <w:t xml:space="preserve">.  </w:t>
      </w:r>
      <w:r w:rsidRPr="007C2D51">
        <w:t>Because most transportation organizations do not have ready access to employment data, especially information about job</w:t>
      </w:r>
      <w:r w:rsidR="005E22EC" w:rsidRPr="007C2D51">
        <w:t xml:space="preserve"> location</w:t>
      </w:r>
      <w:r w:rsidRPr="007C2D51">
        <w:t>s, JARC recipients were not asked to report jobs accessed directly</w:t>
      </w:r>
      <w:r w:rsidR="00CE332B" w:rsidRPr="007C2D51">
        <w:t xml:space="preserve">.  </w:t>
      </w:r>
      <w:r w:rsidRPr="007C2D51">
        <w:t>Instead, FTA asked the JARC Evaluation Team to develop an approach for collecting information about jobs accessed</w:t>
      </w:r>
      <w:r w:rsidR="00CE332B" w:rsidRPr="007C2D51">
        <w:t xml:space="preserve">.  </w:t>
      </w:r>
    </w:p>
    <w:p w:rsidR="00EF235F" w:rsidRPr="007C2D51" w:rsidRDefault="00EF235F" w:rsidP="00EF235F">
      <w:pPr>
        <w:pStyle w:val="BodyText"/>
      </w:pPr>
      <w:r w:rsidRPr="007C2D51">
        <w:t>The team initially developed a methodology for estimating jobs accessed for the FY 2006 data analysis and refined the approach for subsequent</w:t>
      </w:r>
      <w:r w:rsidR="005E22EC" w:rsidRPr="007C2D51">
        <w:t xml:space="preserve"> data collection cycles</w:t>
      </w:r>
      <w:r w:rsidR="00CE332B" w:rsidRPr="007C2D51">
        <w:t xml:space="preserve">.  </w:t>
      </w:r>
      <w:r w:rsidRPr="007C2D51">
        <w:t>Rather than asking JARC recipients to report the number of jobs accessed, the team asked grantees to provide information about service coverage and then used external data sources to develop estimates of jobs accessed</w:t>
      </w:r>
      <w:r w:rsidR="00CE332B" w:rsidRPr="007C2D51">
        <w:t xml:space="preserve">.  </w:t>
      </w:r>
    </w:p>
    <w:p w:rsidR="00EF235F" w:rsidRPr="007C2D51" w:rsidRDefault="00EF235F" w:rsidP="00EF235F">
      <w:pPr>
        <w:pStyle w:val="BodyText"/>
      </w:pPr>
      <w:r w:rsidRPr="007C2D51">
        <w:t>This approach yielded three estimates of jobs accessed which, taken together, provide an overview of the success of JARC services in helping people reach jobs:</w:t>
      </w:r>
    </w:p>
    <w:p w:rsidR="00EF235F" w:rsidRPr="007C2D51" w:rsidRDefault="00EF235F" w:rsidP="00EF235F">
      <w:pPr>
        <w:pStyle w:val="ListBullet"/>
        <w:spacing w:after="200" w:line="276" w:lineRule="auto"/>
      </w:pPr>
      <w:r w:rsidRPr="007C2D51">
        <w:rPr>
          <w:i/>
        </w:rPr>
        <w:t>Jobs made accessible</w:t>
      </w:r>
      <w:r w:rsidRPr="007C2D51">
        <w:t xml:space="preserve"> – The total number of jobs available within the service coverage area for JARC-supported services, independent of service level or vehicle capacity.</w:t>
      </w:r>
    </w:p>
    <w:p w:rsidR="00EF235F" w:rsidRPr="007C2D51" w:rsidRDefault="00EF235F" w:rsidP="00EF235F">
      <w:pPr>
        <w:pStyle w:val="ListBullet"/>
        <w:spacing w:after="200" w:line="276" w:lineRule="auto"/>
      </w:pPr>
      <w:r w:rsidRPr="007C2D51">
        <w:rPr>
          <w:i/>
        </w:rPr>
        <w:t>Low-wage jobs made accessible</w:t>
      </w:r>
      <w:r w:rsidRPr="007C2D51">
        <w:t xml:space="preserve"> – The total number of low-wage or entry-level jobs available within the service coverage area for JARC-supported services, independent service level or vehicle capacity.</w:t>
      </w:r>
    </w:p>
    <w:p w:rsidR="00EF235F" w:rsidRPr="007C2D51" w:rsidRDefault="00EF235F" w:rsidP="00EF235F">
      <w:pPr>
        <w:pStyle w:val="ListBullet"/>
        <w:spacing w:after="200" w:line="276" w:lineRule="auto"/>
      </w:pPr>
      <w:r w:rsidRPr="007C2D51">
        <w:rPr>
          <w:i/>
        </w:rPr>
        <w:t>Jobs likely reached</w:t>
      </w:r>
      <w:r w:rsidRPr="007C2D51">
        <w:t xml:space="preserve"> – The number of jobs that riders likely reached via JARC-supported services during the reporting year, taking into account service levels and vehicle capacity</w:t>
      </w:r>
      <w:r w:rsidR="00CE332B" w:rsidRPr="007C2D51">
        <w:t xml:space="preserve">.  </w:t>
      </w:r>
    </w:p>
    <w:p w:rsidR="003B230E" w:rsidRPr="007C2D51" w:rsidRDefault="00EF235F" w:rsidP="003B230E">
      <w:pPr>
        <w:pStyle w:val="BlockText"/>
      </w:pPr>
      <w:r w:rsidRPr="007C2D51">
        <w:t>For FY 20</w:t>
      </w:r>
      <w:r w:rsidR="003B230E" w:rsidRPr="007C2D51">
        <w:t>10</w:t>
      </w:r>
      <w:r w:rsidRPr="007C2D51">
        <w:t xml:space="preserve">, JARC-supported services made </w:t>
      </w:r>
      <w:r w:rsidR="003B230E" w:rsidRPr="007C2D51">
        <w:t>53</w:t>
      </w:r>
      <w:r w:rsidRPr="007C2D51">
        <w:t>.</w:t>
      </w:r>
      <w:r w:rsidR="005E22EC" w:rsidRPr="007C2D51">
        <w:t>7</w:t>
      </w:r>
      <w:r w:rsidRPr="007C2D51">
        <w:t xml:space="preserve"> million jobs accessible, which included </w:t>
      </w:r>
      <w:r w:rsidR="003B230E" w:rsidRPr="007C2D51">
        <w:t>26.</w:t>
      </w:r>
      <w:r w:rsidR="005E22EC" w:rsidRPr="007C2D51">
        <w:t>5</w:t>
      </w:r>
      <w:r w:rsidRPr="007C2D51">
        <w:t xml:space="preserve"> million low-wage jobs</w:t>
      </w:r>
      <w:r w:rsidR="00CE332B" w:rsidRPr="007C2D51">
        <w:t xml:space="preserve">.  </w:t>
      </w:r>
      <w:r w:rsidRPr="007C2D51">
        <w:t xml:space="preserve">In addition, </w:t>
      </w:r>
      <w:r w:rsidR="003B230E" w:rsidRPr="007C2D51">
        <w:t>15.9</w:t>
      </w:r>
      <w:r w:rsidRPr="007C2D51">
        <w:t xml:space="preserve"> million jobs were likely reached during the service year</w:t>
      </w:r>
      <w:r w:rsidR="003B230E" w:rsidRPr="007C2D51">
        <w:t xml:space="preserve">. </w:t>
      </w:r>
    </w:p>
    <w:p w:rsidR="00EF235F" w:rsidRPr="007C2D51" w:rsidRDefault="00EF235F" w:rsidP="003B230E">
      <w:pPr>
        <w:pStyle w:val="BodyText"/>
      </w:pPr>
      <w:r w:rsidRPr="007C2D51">
        <w:t>The elements of the methodology are described briefly below; Appendix B provides more detail</w:t>
      </w:r>
      <w:r w:rsidR="00CE332B" w:rsidRPr="007C2D51">
        <w:t xml:space="preserve">.  </w:t>
      </w:r>
    </w:p>
    <w:p w:rsidR="00EF235F" w:rsidRPr="007C2D51" w:rsidRDefault="00EF235F" w:rsidP="00EF235F">
      <w:pPr>
        <w:pStyle w:val="Heading2"/>
      </w:pPr>
      <w:bookmarkStart w:id="126" w:name="_Toc304965696"/>
      <w:r w:rsidRPr="007C2D51">
        <w:t>Jobs Estimation Methodology</w:t>
      </w:r>
      <w:bookmarkEnd w:id="126"/>
      <w:r w:rsidRPr="007C2D51">
        <w:t xml:space="preserve"> </w:t>
      </w:r>
    </w:p>
    <w:p w:rsidR="00EF235F" w:rsidRPr="007C2D51" w:rsidRDefault="00EF235F" w:rsidP="00EF235F">
      <w:pPr>
        <w:pStyle w:val="BodyText"/>
      </w:pPr>
      <w:r w:rsidRPr="007C2D51">
        <w:t>Because of the different characteristics of demand response and fixed route transportation, a combination of approaches was used to develop these estimates.</w:t>
      </w:r>
    </w:p>
    <w:p w:rsidR="00EF235F" w:rsidRPr="007C2D51" w:rsidRDefault="00EF235F" w:rsidP="00EF235F">
      <w:pPr>
        <w:pStyle w:val="ListBullet"/>
        <w:spacing w:after="200" w:line="276" w:lineRule="auto"/>
      </w:pPr>
      <w:r w:rsidRPr="007C2D51">
        <w:lastRenderedPageBreak/>
        <w:t>For jobs made accessible</w:t>
      </w:r>
      <w:r w:rsidR="005E22EC" w:rsidRPr="007C2D51">
        <w:t xml:space="preserve"> by fixed route, flexible, and shuttle/feeder services</w:t>
      </w:r>
      <w:r w:rsidRPr="007C2D51">
        <w:t>, a factor was developed to estimate jobs per linear route mile using external data sources.</w:t>
      </w:r>
    </w:p>
    <w:p w:rsidR="005E22EC" w:rsidRPr="007C2D51" w:rsidRDefault="005E22EC" w:rsidP="005E22EC">
      <w:pPr>
        <w:pStyle w:val="ListBullet"/>
        <w:spacing w:after="200" w:line="276" w:lineRule="auto"/>
      </w:pPr>
      <w:r w:rsidRPr="007C2D51">
        <w:t>For jobs made accessible via demand response services, jobs in the overall service area were counted using external data sources.</w:t>
      </w:r>
    </w:p>
    <w:p w:rsidR="00EF235F" w:rsidRPr="007C2D51" w:rsidRDefault="00EF235F" w:rsidP="00EF235F">
      <w:pPr>
        <w:pStyle w:val="ListBullet"/>
        <w:spacing w:after="200" w:line="276" w:lineRule="auto"/>
      </w:pPr>
      <w:r w:rsidRPr="007C2D51">
        <w:t>Jobs were classified as low-wage if they paid less than $3</w:t>
      </w:r>
      <w:r w:rsidR="00CE72CE" w:rsidRPr="007C2D51">
        <w:t>3</w:t>
      </w:r>
      <w:r w:rsidRPr="007C2D51">
        <w:t>,</w:t>
      </w:r>
      <w:r w:rsidR="00CE72CE" w:rsidRPr="007C2D51">
        <w:t>075</w:t>
      </w:r>
      <w:r w:rsidRPr="007C2D51">
        <w:t xml:space="preserve"> per year or $15.</w:t>
      </w:r>
      <w:r w:rsidR="00CE72CE" w:rsidRPr="007C2D51">
        <w:t>90</w:t>
      </w:r>
      <w:r w:rsidRPr="007C2D51">
        <w:t xml:space="preserve"> per hour</w:t>
      </w:r>
      <w:r w:rsidR="00CE332B" w:rsidRPr="007C2D51">
        <w:t xml:space="preserve">.  </w:t>
      </w:r>
      <w:r w:rsidRPr="007C2D51">
        <w:t xml:space="preserve">Estimates were based on national averages for median wages </w:t>
      </w:r>
      <w:r w:rsidR="006E714B" w:rsidRPr="007C2D51">
        <w:t xml:space="preserve">in 2009 </w:t>
      </w:r>
      <w:r w:rsidRPr="007C2D51">
        <w:t>using standard industrial classifications.</w:t>
      </w:r>
    </w:p>
    <w:p w:rsidR="00EF235F" w:rsidRPr="007C2D51" w:rsidRDefault="00EF235F" w:rsidP="00EF235F">
      <w:pPr>
        <w:pStyle w:val="ListBullet"/>
        <w:spacing w:after="200" w:line="276" w:lineRule="auto"/>
      </w:pPr>
      <w:r w:rsidRPr="007C2D51">
        <w:t>For jobs likely reached, reported one-way trips were adjusted to reflect work trips using standard industry definitions.</w:t>
      </w:r>
    </w:p>
    <w:p w:rsidR="00EF235F" w:rsidRPr="007C2D51" w:rsidRDefault="00EF235F" w:rsidP="00EF235F">
      <w:pPr>
        <w:pStyle w:val="BodyText"/>
      </w:pPr>
      <w:r w:rsidRPr="007C2D51">
        <w:t>Using these multiple approaches, the evaluation team developed estimates of jobs accessed for JARC trip-based services</w:t>
      </w:r>
      <w:r w:rsidR="00CE332B" w:rsidRPr="007C2D51">
        <w:t xml:space="preserve">.  </w:t>
      </w:r>
    </w:p>
    <w:p w:rsidR="00EF235F" w:rsidRPr="007C2D51" w:rsidRDefault="00EF235F" w:rsidP="00EF235F">
      <w:pPr>
        <w:pStyle w:val="Heading3"/>
      </w:pPr>
      <w:r w:rsidRPr="007C2D51">
        <w:t>Fixed-route services</w:t>
      </w:r>
    </w:p>
    <w:p w:rsidR="00EF235F" w:rsidRPr="007C2D51" w:rsidRDefault="00EF235F" w:rsidP="00EF235F">
      <w:pPr>
        <w:pStyle w:val="BodyText"/>
      </w:pPr>
      <w:r w:rsidRPr="007C2D51">
        <w:t>To estimate the number of jobs made accessible by fixed-route services, the team developed a jobs density factor that measured the average number of jobs located within one-quarter mile of the route in each direction</w:t>
      </w:r>
      <w:r w:rsidR="00CE332B" w:rsidRPr="007C2D51">
        <w:t xml:space="preserve">.  </w:t>
      </w:r>
      <w:r w:rsidRPr="007C2D51">
        <w:t>The FY 20</w:t>
      </w:r>
      <w:r w:rsidR="00C85056" w:rsidRPr="007C2D51">
        <w:t>10</w:t>
      </w:r>
      <w:r w:rsidRPr="007C2D51">
        <w:t xml:space="preserve"> analysis used the following jobs density factors:</w:t>
      </w:r>
    </w:p>
    <w:p w:rsidR="00C85056" w:rsidRPr="007C2D51" w:rsidRDefault="00C85056" w:rsidP="00EF235F">
      <w:pPr>
        <w:pStyle w:val="ListBullet"/>
        <w:spacing w:after="200" w:line="276" w:lineRule="auto"/>
      </w:pPr>
      <w:r w:rsidRPr="007C2D51">
        <w:t xml:space="preserve">For all jobs, 3,321 jobs per square mile or 1,661 jobs per linear route mile. </w:t>
      </w:r>
    </w:p>
    <w:p w:rsidR="00C85056" w:rsidRPr="007C2D51" w:rsidRDefault="00C85056" w:rsidP="00EF235F">
      <w:pPr>
        <w:pStyle w:val="ListBullet"/>
        <w:spacing w:after="200" w:line="276" w:lineRule="auto"/>
      </w:pPr>
      <w:r w:rsidRPr="007C2D51">
        <w:t>For low-wage jobs, 1,595 jobs per square mile, or 798 jobs per linear route mile.</w:t>
      </w:r>
    </w:p>
    <w:p w:rsidR="00C85056" w:rsidRPr="007C2D51" w:rsidRDefault="00022E2F" w:rsidP="00DA2C60">
      <w:pPr>
        <w:pStyle w:val="BodyText"/>
      </w:pPr>
      <w:r>
        <w:pict>
          <v:shape id="_x0000_s1042" type="#_x0000_t65" style="position:absolute;margin-left:.55pt;margin-top:314.5pt;width:252.3pt;height:131.9pt;z-index:251740160;mso-position-horizontal-relative:margin;mso-position-vertical-relative:margin" fillcolor="white [3201]" strokecolor="#fed36b [1941]" strokeweight="1pt">
            <v:fill color2="#fee29c [1301]" focusposition="1" focussize="" focus="100%" type="gradient"/>
            <v:shadow on="t" type="perspective" color="#825c00 [1605]" opacity=".5" offset="1pt" offset2="-3pt"/>
            <v:textbox>
              <w:txbxContent>
                <w:p w:rsidR="00F15767" w:rsidRPr="004023CC" w:rsidRDefault="00F15767">
                  <w:pPr>
                    <w:rPr>
                      <w:i/>
                    </w:rPr>
                  </w:pPr>
                  <w:r w:rsidRPr="004023CC">
                    <w:rPr>
                      <w:i/>
                    </w:rPr>
                    <w:t>It is difficult to quantify a feeling of accomplishment, developing a sense of worth, the satisfaction of a job well done, a smile, a person saying "I did it," the pride of earning a paycheck and being able to support yourself or your loved ones.</w:t>
                  </w:r>
                </w:p>
                <w:p w:rsidR="00F15767" w:rsidRDefault="00F15767">
                  <w:r>
                    <w:t>Cochise County Association for the Handicapped</w:t>
                  </w:r>
                  <w:r>
                    <w:br/>
                    <w:t>Arizona DOT</w:t>
                  </w:r>
                </w:p>
              </w:txbxContent>
            </v:textbox>
            <w10:wrap type="square" anchorx="margin" anchory="margin"/>
          </v:shape>
        </w:pict>
      </w:r>
      <w:r w:rsidR="00F31D64" w:rsidRPr="007C2D51">
        <w:t xml:space="preserve">These factors represent a 7% decrease over the equivalent factors developed for the FY 2009 analysis. The current factor is based on employment information from 2009 and may reflect changing economic conditions between 2009 and 2008 (the year used to support the FY 2009 analysis). </w:t>
      </w:r>
    </w:p>
    <w:p w:rsidR="00EF235F" w:rsidRPr="007C2D51" w:rsidRDefault="00EF235F" w:rsidP="00EF235F">
      <w:pPr>
        <w:pStyle w:val="BodyText"/>
      </w:pPr>
      <w:r w:rsidRPr="007C2D51">
        <w:t>Grantees reporting fixed routes, flexible routes, or shuttle/feeder services were asked to report unique route miles for each service</w:t>
      </w:r>
      <w:r w:rsidR="00CE332B" w:rsidRPr="007C2D51">
        <w:t xml:space="preserve">.  </w:t>
      </w:r>
      <w:r w:rsidRPr="007C2D51">
        <w:t>Unique route miles were defined as the length of the route in miles, from start to finish without duplication</w:t>
      </w:r>
      <w:r w:rsidR="00CE332B" w:rsidRPr="007C2D51">
        <w:t xml:space="preserve">.  </w:t>
      </w:r>
      <w:r w:rsidRPr="007C2D51">
        <w:t>After totaling the mileage reported for all routes in these categories, the team applied the jobs density factor to estimate total jobs made accessible and low-wage jobs made accessible</w:t>
      </w:r>
      <w:r w:rsidR="00CE332B" w:rsidRPr="007C2D51">
        <w:t xml:space="preserve">.  </w:t>
      </w:r>
    </w:p>
    <w:p w:rsidR="00EF235F" w:rsidRPr="007C2D51" w:rsidRDefault="00EF235F" w:rsidP="00EF235F">
      <w:pPr>
        <w:pStyle w:val="Heading3"/>
      </w:pPr>
      <w:r w:rsidRPr="007C2D51">
        <w:t>Demand response services</w:t>
      </w:r>
    </w:p>
    <w:p w:rsidR="00EF235F" w:rsidRPr="007C2D51" w:rsidRDefault="00EF235F" w:rsidP="00EF235F">
      <w:pPr>
        <w:pStyle w:val="BodyText"/>
      </w:pPr>
      <w:r w:rsidRPr="007C2D51">
        <w:t>To measure jobs accessed by demand response services, the team calculated total jobs in the service area</w:t>
      </w:r>
      <w:r w:rsidR="00CE332B" w:rsidRPr="007C2D51">
        <w:t xml:space="preserve">.  </w:t>
      </w:r>
      <w:r w:rsidRPr="007C2D51">
        <w:t>For each demand response service, grantees were asked to identify the county or counties served and to indicate how much of the county the service covered</w:t>
      </w:r>
      <w:r w:rsidR="00CE332B" w:rsidRPr="007C2D51">
        <w:t xml:space="preserve">.  </w:t>
      </w:r>
      <w:r w:rsidRPr="007C2D51">
        <w:t>Using an automated process, the evaluation team extracted jobs information from a Census database for each county with demand response service</w:t>
      </w:r>
      <w:r w:rsidR="00CE332B" w:rsidRPr="007C2D51">
        <w:t xml:space="preserve">.  </w:t>
      </w:r>
      <w:r w:rsidRPr="007C2D51">
        <w:t xml:space="preserve">Totals for </w:t>
      </w:r>
      <w:r w:rsidR="000118B0" w:rsidRPr="007C2D51">
        <w:t>all jobs</w:t>
      </w:r>
      <w:r w:rsidRPr="007C2D51">
        <w:t xml:space="preserve"> and low-wage jobs were extracted</w:t>
      </w:r>
      <w:r w:rsidR="00CE332B" w:rsidRPr="007C2D51">
        <w:t xml:space="preserve">.  </w:t>
      </w:r>
      <w:r w:rsidRPr="007C2D51">
        <w:t xml:space="preserve">The team then adjusted the findings based on percentage of coverage and eliminated </w:t>
      </w:r>
      <w:r w:rsidR="006418C7" w:rsidRPr="007C2D51">
        <w:lastRenderedPageBreak/>
        <w:softHyphen/>
      </w:r>
      <w:r w:rsidRPr="007C2D51">
        <w:t>duplicates (where multiple services operated within the same county)</w:t>
      </w:r>
      <w:r w:rsidR="00CE332B" w:rsidRPr="007C2D51">
        <w:t xml:space="preserve">.  </w:t>
      </w:r>
      <w:r w:rsidRPr="007C2D51">
        <w:t>Summing the records yielded an estimate of all jobs and low-wage jobs made accessible by demand response services</w:t>
      </w:r>
      <w:r w:rsidR="00CE332B" w:rsidRPr="007C2D51">
        <w:t xml:space="preserve">.  </w:t>
      </w:r>
    </w:p>
    <w:p w:rsidR="00EF235F" w:rsidRPr="007C2D51" w:rsidRDefault="00EF235F" w:rsidP="00EF235F">
      <w:pPr>
        <w:pStyle w:val="Heading3"/>
      </w:pPr>
      <w:r w:rsidRPr="007C2D51">
        <w:t>Jobs likely reached</w:t>
      </w:r>
    </w:p>
    <w:p w:rsidR="00EF235F" w:rsidRPr="007C2D51" w:rsidRDefault="00022E2F" w:rsidP="00EF235F">
      <w:pPr>
        <w:pStyle w:val="BodyText"/>
      </w:pPr>
      <w:r>
        <w:pict>
          <v:shape id="_x0000_s1043" type="#_x0000_t65" style="position:absolute;margin-left:3218.4pt;margin-top:0;width:227.25pt;height:182.2pt;z-index:251741184;mso-position-horizontal:right;mso-position-horizontal-relative:margin;mso-position-vertical:top;mso-position-vertical-relative:margin" fillcolor="white [3201]" strokecolor="#fed36b [1941]" strokeweight="1pt">
            <v:fill color2="#fee29c [1301]" focusposition="1" focussize="" focus="100%" type="gradient"/>
            <v:shadow on="t" type="perspective" color="#825c00 [1605]" opacity=".5" offset="1pt" offset2="-3pt"/>
            <v:textbox>
              <w:txbxContent>
                <w:p w:rsidR="00F15767" w:rsidRPr="001B6705" w:rsidRDefault="00F15767">
                  <w:pPr>
                    <w:rPr>
                      <w:i/>
                    </w:rPr>
                  </w:pPr>
                  <w:r w:rsidRPr="001B6705">
                    <w:rPr>
                      <w:i/>
                    </w:rPr>
                    <w:t>JARC rides are coordinated with other public transit rides, which gives the JARC passengers the opportunity to do things like stop at the library to check out books, stop for a haircut, pick up their own prescriptions, pick up groceries for their families, stop to buy a birthday present for a family member. Without public transportation, the passengers would have to wait until a family member had time to take them to do these things.</w:t>
                  </w:r>
                </w:p>
                <w:p w:rsidR="00F15767" w:rsidRDefault="00F15767">
                  <w:r>
                    <w:t>Pembina County Meals and Transportation</w:t>
                  </w:r>
                  <w:r>
                    <w:br/>
                    <w:t>North Dakota DOT</w:t>
                  </w:r>
                </w:p>
              </w:txbxContent>
            </v:textbox>
            <w10:wrap type="square" anchorx="margin" anchory="margin"/>
          </v:shape>
        </w:pict>
      </w:r>
      <w:r w:rsidR="00EF235F" w:rsidRPr="007C2D51">
        <w:t>The approach described above provides an estimate of the number of jobs that JARC programs made accessible based on the geographic coverage of the route or service</w:t>
      </w:r>
      <w:r w:rsidR="00CE332B" w:rsidRPr="007C2D51">
        <w:t xml:space="preserve">.  </w:t>
      </w:r>
      <w:r w:rsidR="00EF235F" w:rsidRPr="007C2D51">
        <w:t>This approach is consistent with FTA’s policy decision to measure the performance of most trip-based JARC programs according to the total number of jobs and low-wage jobs in the service region – in other words, the jobs that a customer could in principle reach using the service</w:t>
      </w:r>
      <w:r w:rsidR="00CE332B" w:rsidRPr="007C2D51">
        <w:t xml:space="preserve">.  </w:t>
      </w:r>
      <w:r w:rsidR="00EF235F" w:rsidRPr="007C2D51">
        <w:t xml:space="preserve">This measure highlights the capability of JARC services to make jobs in a particular service region accessible to </w:t>
      </w:r>
      <w:r w:rsidR="00A943CA" w:rsidRPr="007C2D51">
        <w:t>worker</w:t>
      </w:r>
      <w:r w:rsidR="00EF235F" w:rsidRPr="007C2D51">
        <w:t>s.</w:t>
      </w:r>
    </w:p>
    <w:p w:rsidR="00EF235F" w:rsidRPr="007C2D51" w:rsidRDefault="00EF235F" w:rsidP="00EF235F">
      <w:pPr>
        <w:pStyle w:val="BodyText"/>
        <w:rPr>
          <w:rFonts w:eastAsia="Georgia"/>
        </w:rPr>
      </w:pPr>
      <w:r w:rsidRPr="007C2D51">
        <w:t xml:space="preserve">But while a service might be expected to reach </w:t>
      </w:r>
      <w:r w:rsidRPr="007C2D51">
        <w:rPr>
          <w:i/>
        </w:rPr>
        <w:t>any</w:t>
      </w:r>
      <w:r w:rsidRPr="007C2D51">
        <w:t xml:space="preserve"> job in its service area, under normal circumstances, no transit service could be expected to provide transportation to </w:t>
      </w:r>
      <w:r w:rsidRPr="007C2D51">
        <w:rPr>
          <w:i/>
        </w:rPr>
        <w:t>every</w:t>
      </w:r>
      <w:r w:rsidRPr="007C2D51">
        <w:t xml:space="preserve"> job in its service region simultaneously</w:t>
      </w:r>
      <w:r w:rsidR="00CE332B" w:rsidRPr="007C2D51">
        <w:t xml:space="preserve">.  </w:t>
      </w:r>
      <w:r w:rsidRPr="007C2D51">
        <w:t>Therefore, the team developed an estimate of jobs likely reached to reflect service availability and capacity constraints</w:t>
      </w:r>
      <w:r w:rsidR="00CE332B" w:rsidRPr="007C2D51">
        <w:t xml:space="preserve">.  </w:t>
      </w:r>
      <w:r w:rsidRPr="007C2D51">
        <w:t xml:space="preserve">The </w:t>
      </w:r>
      <w:r w:rsidRPr="007C2D51">
        <w:rPr>
          <w:rFonts w:eastAsia="Georgia"/>
        </w:rPr>
        <w:t>methodology uses the following steps and assumptions:</w:t>
      </w:r>
    </w:p>
    <w:p w:rsidR="00EF235F" w:rsidRPr="007C2D51" w:rsidRDefault="00EF235F" w:rsidP="00A610B3">
      <w:pPr>
        <w:pStyle w:val="ListBullet"/>
        <w:rPr>
          <w:rFonts w:eastAsia="Georgia"/>
        </w:rPr>
      </w:pPr>
      <w:r w:rsidRPr="007C2D51">
        <w:rPr>
          <w:rFonts w:eastAsia="Georgia"/>
        </w:rPr>
        <w:t xml:space="preserve">Take total one-way trips as reported by </w:t>
      </w:r>
      <w:r w:rsidR="000118B0" w:rsidRPr="007C2D51">
        <w:rPr>
          <w:rFonts w:eastAsia="Georgia"/>
        </w:rPr>
        <w:t>recipients for</w:t>
      </w:r>
      <w:r w:rsidRPr="007C2D51">
        <w:rPr>
          <w:rFonts w:eastAsia="Georgia"/>
        </w:rPr>
        <w:t xml:space="preserve"> trip-based services with a defined service area (defined as fixed route, demand response, flexible routes, and shuttles).</w:t>
      </w:r>
    </w:p>
    <w:p w:rsidR="00EF235F" w:rsidRPr="007C2D51" w:rsidRDefault="00EF235F" w:rsidP="00A610B3">
      <w:pPr>
        <w:pStyle w:val="ListBullet"/>
        <w:rPr>
          <w:rFonts w:eastAsia="Georgia"/>
        </w:rPr>
      </w:pPr>
      <w:r w:rsidRPr="007C2D51">
        <w:rPr>
          <w:rFonts w:eastAsia="Georgia"/>
        </w:rPr>
        <w:t>Divide the number of one-way trips by two to represent individuals.</w:t>
      </w:r>
    </w:p>
    <w:p w:rsidR="00EF235F" w:rsidRPr="007C2D51" w:rsidRDefault="00EF235F" w:rsidP="00A610B3">
      <w:pPr>
        <w:pStyle w:val="ListBullet"/>
        <w:rPr>
          <w:rFonts w:eastAsia="Georgia"/>
        </w:rPr>
      </w:pPr>
      <w:r w:rsidRPr="007C2D51">
        <w:rPr>
          <w:rFonts w:eastAsia="Georgia"/>
        </w:rPr>
        <w:t>Estimate the percentage of people making commute trips, which will serve as a proxy for jobs accessed</w:t>
      </w:r>
      <w:r w:rsidR="00CE332B" w:rsidRPr="007C2D51">
        <w:rPr>
          <w:rFonts w:eastAsia="Georgia"/>
        </w:rPr>
        <w:t xml:space="preserve">.  </w:t>
      </w:r>
      <w:r w:rsidRPr="007C2D51">
        <w:rPr>
          <w:rFonts w:eastAsia="Georgia"/>
        </w:rPr>
        <w:t xml:space="preserve">According to the American Public Transportation Association, 59.2% of transit trips </w:t>
      </w:r>
      <w:r w:rsidR="003F6B56" w:rsidRPr="007C2D51">
        <w:rPr>
          <w:rFonts w:eastAsia="Georgia"/>
        </w:rPr>
        <w:t xml:space="preserve">in 2007 were </w:t>
      </w:r>
      <w:r w:rsidRPr="007C2D51">
        <w:rPr>
          <w:rFonts w:eastAsia="Georgia"/>
        </w:rPr>
        <w:t>commuting trips (traveling between home and work)</w:t>
      </w:r>
      <w:r w:rsidR="00A943CA" w:rsidRPr="007C2D51">
        <w:rPr>
          <w:rFonts w:eastAsia="Georgia"/>
        </w:rPr>
        <w:t>.</w:t>
      </w:r>
      <w:r w:rsidRPr="007C2D51">
        <w:rPr>
          <w:rStyle w:val="FootnoteReference"/>
        </w:rPr>
        <w:footnoteReference w:id="2"/>
      </w:r>
      <w:r w:rsidR="00A943CA" w:rsidRPr="007C2D51">
        <w:rPr>
          <w:rFonts w:eastAsia="Georgia"/>
        </w:rPr>
        <w:t xml:space="preserve"> </w:t>
      </w:r>
      <w:r w:rsidR="00CE332B" w:rsidRPr="007C2D51">
        <w:rPr>
          <w:rFonts w:eastAsia="Georgia"/>
        </w:rPr>
        <w:t xml:space="preserve"> </w:t>
      </w:r>
      <w:r w:rsidRPr="007C2D51">
        <w:rPr>
          <w:rFonts w:eastAsia="Georgia"/>
        </w:rPr>
        <w:t>For ease of calculation, this example uses 60%</w:t>
      </w:r>
      <w:r w:rsidR="00CE332B" w:rsidRPr="007C2D51">
        <w:rPr>
          <w:rFonts w:eastAsia="Georgia"/>
        </w:rPr>
        <w:t xml:space="preserve">.  </w:t>
      </w:r>
    </w:p>
    <w:p w:rsidR="00EF235F" w:rsidRPr="007C2D51" w:rsidRDefault="00014DC0" w:rsidP="00A943CA">
      <w:pPr>
        <w:pStyle w:val="BodyText"/>
      </w:pPr>
      <w:r w:rsidRPr="007C2D51">
        <w:t xml:space="preserve">Because this calculation uses trips for its baseline, it cannot be directly compared to measures of potential jobs accessed. Instead, it reflects annual commuting trips without reference to job status or duration (e.g., full-time, part-time, or seasonal). But in the absence of a direct local </w:t>
      </w:r>
      <w:r w:rsidRPr="007C2D51">
        <w:lastRenderedPageBreak/>
        <w:t xml:space="preserve">measure of jobs actually reached for every JARC-funded service, the estimate of jobs likely reached can acknowledge the limitations of vehicle capacity and scheduling constraints. </w:t>
      </w:r>
      <w:r w:rsidR="00EF235F" w:rsidRPr="007C2D51">
        <w:t>Appendix B shows the detailed calculations</w:t>
      </w:r>
      <w:r w:rsidR="00CE332B" w:rsidRPr="007C2D51">
        <w:t xml:space="preserve">.  </w:t>
      </w:r>
    </w:p>
    <w:p w:rsidR="00EF235F" w:rsidRPr="007C2D51" w:rsidRDefault="00EF235F" w:rsidP="00EF235F">
      <w:pPr>
        <w:pStyle w:val="Heading2"/>
      </w:pPr>
      <w:bookmarkStart w:id="127" w:name="_Toc304965697"/>
      <w:r w:rsidRPr="007C2D51">
        <w:t>Targeted Jobs</w:t>
      </w:r>
      <w:bookmarkEnd w:id="127"/>
    </w:p>
    <w:p w:rsidR="00EF235F" w:rsidRPr="007C2D51" w:rsidRDefault="00EF235F" w:rsidP="00EF235F">
      <w:pPr>
        <w:pStyle w:val="BodyText"/>
      </w:pPr>
      <w:r w:rsidRPr="007C2D51">
        <w:t>Recipients had the option to indicate the number of jobs that their JARC-supported services targeted</w:t>
      </w:r>
      <w:r w:rsidR="00CE332B" w:rsidRPr="007C2D51">
        <w:t xml:space="preserve">.  </w:t>
      </w:r>
      <w:r w:rsidRPr="007C2D51">
        <w:t>The question was originally intended for grantees with specialized services, such as routes that served a particular factory or night-owl services that accessed the night shift at a shipping facility</w:t>
      </w:r>
      <w:r w:rsidR="00CE332B" w:rsidRPr="007C2D51">
        <w:t xml:space="preserve">.  </w:t>
      </w:r>
      <w:r w:rsidRPr="007C2D51">
        <w:t>For FY 20</w:t>
      </w:r>
      <w:r w:rsidR="003F6B56" w:rsidRPr="007C2D51">
        <w:t>10</w:t>
      </w:r>
      <w:r w:rsidRPr="007C2D51">
        <w:t xml:space="preserve">, recipients </w:t>
      </w:r>
      <w:r w:rsidR="003F6B56" w:rsidRPr="007C2D51">
        <w:t xml:space="preserve">indicated that about </w:t>
      </w:r>
      <w:r w:rsidR="00786D1E" w:rsidRPr="007C2D51">
        <w:t>35</w:t>
      </w:r>
      <w:r w:rsidR="003F6B56" w:rsidRPr="007C2D51">
        <w:t>% of</w:t>
      </w:r>
      <w:r w:rsidR="00786D1E" w:rsidRPr="007C2D51">
        <w:t xml:space="preserve"> all</w:t>
      </w:r>
      <w:r w:rsidR="003F6B56" w:rsidRPr="007C2D51">
        <w:t xml:space="preserve"> programs targeted specific jobs</w:t>
      </w:r>
      <w:r w:rsidR="00786D1E" w:rsidRPr="007C2D51">
        <w:t xml:space="preserve"> (almost exclusively trip-based)</w:t>
      </w:r>
      <w:r w:rsidR="003F6B56" w:rsidRPr="007C2D51">
        <w:t xml:space="preserve">, but </w:t>
      </w:r>
      <w:r w:rsidR="00652B50" w:rsidRPr="007C2D51">
        <w:t xml:space="preserve">they provided job estimates for </w:t>
      </w:r>
      <w:r w:rsidR="003F6B56" w:rsidRPr="007C2D51">
        <w:t xml:space="preserve">only 22% </w:t>
      </w:r>
      <w:r w:rsidR="00652B50" w:rsidRPr="007C2D51">
        <w:t xml:space="preserve">of </w:t>
      </w:r>
      <w:r w:rsidR="00786D1E" w:rsidRPr="007C2D51">
        <w:t>programs</w:t>
      </w:r>
      <w:r w:rsidR="00652B50" w:rsidRPr="007C2D51">
        <w:t>.</w:t>
      </w:r>
      <w:bookmarkStart w:id="128" w:name="OLE_LINK47"/>
      <w:bookmarkStart w:id="129" w:name="OLE_LINK48"/>
      <w:r w:rsidR="00CE332B" w:rsidRPr="007C2D51">
        <w:t xml:space="preserve"> </w:t>
      </w:r>
      <w:r w:rsidR="00786D1E" w:rsidRPr="007C2D51">
        <w:t xml:space="preserve"> These services were designed to reach about 1.5 million jobs. </w:t>
      </w:r>
      <w:r w:rsidRPr="007C2D51">
        <w:t xml:space="preserve">Table 5-1 shows the </w:t>
      </w:r>
      <w:r w:rsidR="004023CC" w:rsidRPr="007C2D51">
        <w:t>distribution of targeted jobs by service type and the percentage of services in each category for which information on targeted jobs was reported.</w:t>
      </w:r>
    </w:p>
    <w:bookmarkEnd w:id="128"/>
    <w:bookmarkEnd w:id="129"/>
    <w:p w:rsidR="00EF235F" w:rsidRPr="007C2D51" w:rsidRDefault="00EF235F" w:rsidP="00EF235F">
      <w:pPr>
        <w:pStyle w:val="BodyText"/>
      </w:pPr>
      <w:r w:rsidRPr="007C2D51">
        <w:t xml:space="preserve">As the table shows, recipients reported targeted jobs for </w:t>
      </w:r>
      <w:r w:rsidR="003F6B56" w:rsidRPr="007C2D51">
        <w:t xml:space="preserve">one out of five </w:t>
      </w:r>
      <w:r w:rsidRPr="007C2D51">
        <w:t>trip-based services</w:t>
      </w:r>
      <w:r w:rsidR="00CE332B" w:rsidRPr="007C2D51">
        <w:t xml:space="preserve">.  </w:t>
      </w:r>
      <w:r w:rsidRPr="007C2D51">
        <w:t>Because it is impossible to know if the services for which targeted trips were reported were representative of the universe of trip-based services, the information cannot be expanded to represent all trip-based services</w:t>
      </w:r>
      <w:r w:rsidR="00CE332B" w:rsidRPr="007C2D51">
        <w:t xml:space="preserve">.  </w:t>
      </w:r>
      <w:r w:rsidRPr="007C2D51">
        <w:t xml:space="preserve">However, </w:t>
      </w:r>
      <w:r w:rsidR="00DF7A9D" w:rsidRPr="007C2D51">
        <w:t xml:space="preserve">this information provides additional insight into the performance of JARC-supported services </w:t>
      </w:r>
      <w:r w:rsidRPr="007C2D51">
        <w:t>based on local knowledge</w:t>
      </w:r>
      <w:r w:rsidR="00CE332B" w:rsidRPr="007C2D51">
        <w:t xml:space="preserve">.  </w:t>
      </w:r>
    </w:p>
    <w:p w:rsidR="00EF235F" w:rsidRPr="007C2D51" w:rsidRDefault="00EF235F" w:rsidP="00EF235F">
      <w:pPr>
        <w:pStyle w:val="Heading2"/>
      </w:pPr>
      <w:bookmarkStart w:id="130" w:name="_Toc304965698"/>
      <w:r w:rsidRPr="007C2D51">
        <w:t>Jobs Accessed in FY 20</w:t>
      </w:r>
      <w:r w:rsidR="00AB0E83" w:rsidRPr="007C2D51">
        <w:t>10</w:t>
      </w:r>
      <w:bookmarkEnd w:id="130"/>
    </w:p>
    <w:p w:rsidR="00EF235F" w:rsidRPr="007C2D51" w:rsidRDefault="00EF235F" w:rsidP="00EF235F">
      <w:pPr>
        <w:pStyle w:val="BodyText"/>
      </w:pPr>
      <w:r w:rsidRPr="007C2D51">
        <w:t>This analysis of jobs made accessible and jobs likely reached yielded the following estimates for FY 20</w:t>
      </w:r>
      <w:r w:rsidR="00AB0E83" w:rsidRPr="007C2D51">
        <w:t>10</w:t>
      </w:r>
      <w:r w:rsidRPr="007C2D51">
        <w:t xml:space="preserve">: </w:t>
      </w:r>
    </w:p>
    <w:p w:rsidR="00EF235F" w:rsidRPr="007C2D51" w:rsidRDefault="00EF235F" w:rsidP="00EF235F">
      <w:pPr>
        <w:pStyle w:val="ListBullet"/>
        <w:spacing w:after="200" w:line="276" w:lineRule="auto"/>
      </w:pPr>
      <w:r w:rsidRPr="007C2D51">
        <w:t>5</w:t>
      </w:r>
      <w:r w:rsidR="00AB0E83" w:rsidRPr="007C2D51">
        <w:t>3</w:t>
      </w:r>
      <w:r w:rsidRPr="007C2D51">
        <w:t>.</w:t>
      </w:r>
      <w:r w:rsidR="00E02B5C" w:rsidRPr="007C2D51">
        <w:t>7</w:t>
      </w:r>
      <w:r w:rsidRPr="007C2D51">
        <w:t xml:space="preserve"> million jobs made accessible</w:t>
      </w:r>
    </w:p>
    <w:p w:rsidR="00EF235F" w:rsidRPr="007C2D51" w:rsidRDefault="00EF235F" w:rsidP="00EF235F">
      <w:pPr>
        <w:pStyle w:val="ListBullet"/>
        <w:spacing w:after="200" w:line="276" w:lineRule="auto"/>
      </w:pPr>
      <w:r w:rsidRPr="007C2D51">
        <w:t>2</w:t>
      </w:r>
      <w:r w:rsidR="00AB0E83" w:rsidRPr="007C2D51">
        <w:t>6</w:t>
      </w:r>
      <w:r w:rsidRPr="007C2D51">
        <w:t>.</w:t>
      </w:r>
      <w:r w:rsidR="00E02B5C" w:rsidRPr="007C2D51">
        <w:t>5</w:t>
      </w:r>
      <w:r w:rsidRPr="007C2D51">
        <w:t xml:space="preserve"> million low-wage jobs made accessible.</w:t>
      </w:r>
    </w:p>
    <w:p w:rsidR="00EF235F" w:rsidRPr="007C2D51" w:rsidRDefault="00AB0E83" w:rsidP="00EF235F">
      <w:pPr>
        <w:pStyle w:val="ListBullet"/>
        <w:spacing w:after="200" w:line="276" w:lineRule="auto"/>
      </w:pPr>
      <w:r w:rsidRPr="007C2D51">
        <w:t>15.9</w:t>
      </w:r>
      <w:r w:rsidR="00EF235F" w:rsidRPr="007C2D51">
        <w:t xml:space="preserve"> million jobs likely reached</w:t>
      </w:r>
    </w:p>
    <w:p w:rsidR="00AB0E83" w:rsidRPr="007C2D51" w:rsidRDefault="00AB0E83" w:rsidP="00EF235F">
      <w:pPr>
        <w:pStyle w:val="ListBullet"/>
        <w:spacing w:after="200" w:line="276" w:lineRule="auto"/>
      </w:pPr>
      <w:r w:rsidRPr="007C2D51">
        <w:t>1.5 million targeted jobs</w:t>
      </w:r>
    </w:p>
    <w:p w:rsidR="00EF235F" w:rsidRPr="007C2D51" w:rsidRDefault="00EF235F" w:rsidP="00EF235F">
      <w:pPr>
        <w:pStyle w:val="BodyText"/>
      </w:pPr>
      <w:r w:rsidRPr="007C2D51">
        <w:t xml:space="preserve">As Table 5-2 shows, </w:t>
      </w:r>
      <w:r w:rsidR="00F869BB" w:rsidRPr="007C2D51">
        <w:t>demand response</w:t>
      </w:r>
      <w:r w:rsidRPr="007C2D51">
        <w:t xml:space="preserve"> services connected passengers with </w:t>
      </w:r>
      <w:r w:rsidR="00F869BB" w:rsidRPr="007C2D51">
        <w:t>nearly half of</w:t>
      </w:r>
      <w:r w:rsidRPr="007C2D51">
        <w:t xml:space="preserve"> the jobs made accessible in FY 20</w:t>
      </w:r>
      <w:r w:rsidR="00F869BB" w:rsidRPr="007C2D51">
        <w:t>10</w:t>
      </w:r>
      <w:r w:rsidRPr="007C2D51">
        <w:t xml:space="preserve"> and </w:t>
      </w:r>
      <w:r w:rsidR="00F869BB" w:rsidRPr="007C2D51">
        <w:t>fixed routes</w:t>
      </w:r>
      <w:r w:rsidRPr="007C2D51">
        <w:t xml:space="preserve"> provided access to 4</w:t>
      </w:r>
      <w:r w:rsidR="00F869BB" w:rsidRPr="007C2D51">
        <w:t>4</w:t>
      </w:r>
      <w:r w:rsidRPr="007C2D51">
        <w:t>%</w:t>
      </w:r>
      <w:r w:rsidR="00CE332B" w:rsidRPr="007C2D51">
        <w:t xml:space="preserve">.  </w:t>
      </w:r>
      <w:r w:rsidR="00E02B5C" w:rsidRPr="007C2D51">
        <w:t xml:space="preserve">Demand response services tend to cover larger geographic areas than fixed routes or shuttles – sometimes entire counties compared to narrow </w:t>
      </w:r>
      <w:r w:rsidR="00563C4C" w:rsidRPr="007C2D51">
        <w:t xml:space="preserve">urban </w:t>
      </w:r>
      <w:r w:rsidR="00E02B5C" w:rsidRPr="007C2D51">
        <w:t>corridors –</w:t>
      </w:r>
      <w:r w:rsidR="00563C4C" w:rsidRPr="007C2D51">
        <w:t xml:space="preserve"> and larger service areas may make more jobs potentially accessible. </w:t>
      </w:r>
      <w:r w:rsidRPr="007C2D51">
        <w:t>The estimate of jobs likely reached, which incorporates assumptions about service levels and vehicle capacity, shows a different distribution</w:t>
      </w:r>
      <w:r w:rsidR="00CE332B" w:rsidRPr="007C2D51">
        <w:t xml:space="preserve">.  </w:t>
      </w:r>
      <w:r w:rsidRPr="007C2D51">
        <w:t xml:space="preserve">The analysis of jobs likely reached suggests that fixed route services provided access to </w:t>
      </w:r>
      <w:r w:rsidR="00E02B5C" w:rsidRPr="007C2D51">
        <w:t>89</w:t>
      </w:r>
      <w:r w:rsidRPr="007C2D51">
        <w:t>% of all jobs reached in FY 20</w:t>
      </w:r>
      <w:r w:rsidR="00F869BB" w:rsidRPr="007C2D51">
        <w:t>10</w:t>
      </w:r>
      <w:r w:rsidRPr="007C2D51">
        <w:t xml:space="preserve"> and th</w:t>
      </w:r>
      <w:r w:rsidR="00052309" w:rsidRPr="007C2D51">
        <w:t>at</w:t>
      </w:r>
      <w:r w:rsidRPr="007C2D51">
        <w:t xml:space="preserve"> demand response served </w:t>
      </w:r>
      <w:r w:rsidR="00052309" w:rsidRPr="007C2D51">
        <w:t>6</w:t>
      </w:r>
      <w:r w:rsidRPr="007C2D51">
        <w:t>%</w:t>
      </w:r>
      <w:r w:rsidR="00CE332B" w:rsidRPr="007C2D51">
        <w:t xml:space="preserve">.  </w:t>
      </w:r>
      <w:r w:rsidRPr="007C2D51">
        <w:t xml:space="preserve">Since </w:t>
      </w:r>
      <w:r w:rsidR="00052309" w:rsidRPr="007C2D51">
        <w:t xml:space="preserve">the estimated of jobs likely reached is based primarily on one-way trips, the dominance of fixed route services – which carried 86% of all one-way trips – is plausible. </w:t>
      </w:r>
    </w:p>
    <w:p w:rsidR="004023CC" w:rsidRPr="007C2D51" w:rsidRDefault="004023CC" w:rsidP="004023CC">
      <w:pPr>
        <w:pStyle w:val="BodyText"/>
      </w:pPr>
      <w:r w:rsidRPr="007C2D51">
        <w:t xml:space="preserve">The findings reflect the data reported by grantees and do not incorporate any expansion factors or other efforts to interpret missing records.  </w:t>
      </w:r>
    </w:p>
    <w:p w:rsidR="004023CC" w:rsidRPr="007C2D51" w:rsidRDefault="004023CC">
      <w:r w:rsidRPr="007C2D51">
        <w:br w:type="page"/>
      </w:r>
    </w:p>
    <w:p w:rsidR="004023CC" w:rsidRPr="007C2D51" w:rsidRDefault="004023CC" w:rsidP="004023CC">
      <w:pPr>
        <w:pStyle w:val="Caption"/>
      </w:pPr>
      <w:bookmarkStart w:id="131" w:name="_Toc304967476"/>
      <w:r w:rsidRPr="007C2D51">
        <w:lastRenderedPageBreak/>
        <w:t xml:space="preserve">Table </w:t>
      </w:r>
      <w:fldSimple w:instr=" STYLEREF 1 \s ">
        <w:r w:rsidR="00F35ACC">
          <w:rPr>
            <w:noProof/>
          </w:rPr>
          <w:t>5</w:t>
        </w:r>
      </w:fldSimple>
      <w:r w:rsidRPr="007C2D51">
        <w:noBreakHyphen/>
      </w:r>
      <w:fldSimple w:instr=" SEQ Table \* ARABIC \s 1 ">
        <w:r w:rsidR="00F35ACC">
          <w:rPr>
            <w:noProof/>
          </w:rPr>
          <w:t>1</w:t>
        </w:r>
      </w:fldSimple>
      <w:r w:rsidRPr="007C2D51">
        <w:br/>
        <w:t>Targeted Jobs by Service Type</w:t>
      </w:r>
      <w:bookmarkEnd w:id="131"/>
    </w:p>
    <w:tbl>
      <w:tblPr>
        <w:tblStyle w:val="LightList-Accent6"/>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7"/>
        <w:gridCol w:w="1526"/>
        <w:gridCol w:w="1403"/>
      </w:tblGrid>
      <w:tr w:rsidR="004023CC" w:rsidRPr="007C2D51" w:rsidTr="00F15767">
        <w:trPr>
          <w:cnfStyle w:val="100000000000"/>
          <w:trHeight w:val="300"/>
          <w:jc w:val="center"/>
        </w:trPr>
        <w:tc>
          <w:tcPr>
            <w:cnfStyle w:val="001000000000"/>
            <w:tcW w:w="0" w:type="auto"/>
            <w:noWrap/>
            <w:vAlign w:val="bottom"/>
          </w:tcPr>
          <w:p w:rsidR="004023CC" w:rsidRPr="007C2D51" w:rsidRDefault="004023CC" w:rsidP="004E7755">
            <w:r w:rsidRPr="007C2D51">
              <w:t>Service Type</w:t>
            </w:r>
          </w:p>
        </w:tc>
        <w:tc>
          <w:tcPr>
            <w:tcW w:w="0" w:type="auto"/>
            <w:noWrap/>
            <w:vAlign w:val="bottom"/>
          </w:tcPr>
          <w:p w:rsidR="004023CC" w:rsidRPr="007C2D51" w:rsidRDefault="004023CC" w:rsidP="004E7755">
            <w:pPr>
              <w:jc w:val="center"/>
              <w:cnfStyle w:val="100000000000"/>
            </w:pPr>
            <w:r w:rsidRPr="007C2D51">
              <w:t>Targeted Jobs</w:t>
            </w:r>
          </w:p>
        </w:tc>
        <w:tc>
          <w:tcPr>
            <w:tcW w:w="0" w:type="auto"/>
            <w:vAlign w:val="bottom"/>
          </w:tcPr>
          <w:p w:rsidR="004023CC" w:rsidRPr="007C2D51" w:rsidRDefault="004023CC" w:rsidP="004E7755">
            <w:pPr>
              <w:jc w:val="center"/>
              <w:cnfStyle w:val="100000000000"/>
            </w:pPr>
            <w:r w:rsidRPr="007C2D51">
              <w:t>%  Reporting</w:t>
            </w:r>
          </w:p>
        </w:tc>
      </w:tr>
      <w:tr w:rsidR="004023CC" w:rsidRPr="007C2D51" w:rsidTr="00F15767">
        <w:trPr>
          <w:cnfStyle w:val="000000100000"/>
          <w:trHeight w:val="300"/>
          <w:jc w:val="center"/>
        </w:trPr>
        <w:tc>
          <w:tcPr>
            <w:cnfStyle w:val="001000000000"/>
            <w:tcW w:w="0" w:type="auto"/>
            <w:tcBorders>
              <w:top w:val="none" w:sz="0" w:space="0" w:color="auto"/>
              <w:left w:val="none" w:sz="0" w:space="0" w:color="auto"/>
              <w:bottom w:val="none" w:sz="0" w:space="0" w:color="auto"/>
            </w:tcBorders>
            <w:noWrap/>
            <w:vAlign w:val="bottom"/>
          </w:tcPr>
          <w:p w:rsidR="004023CC" w:rsidRPr="007C2D51" w:rsidRDefault="004023CC" w:rsidP="004E7755">
            <w:r w:rsidRPr="007C2D51">
              <w:t>Fixed route</w:t>
            </w:r>
          </w:p>
        </w:tc>
        <w:tc>
          <w:tcPr>
            <w:tcW w:w="0" w:type="auto"/>
            <w:tcBorders>
              <w:top w:val="none" w:sz="0" w:space="0" w:color="auto"/>
              <w:bottom w:val="none" w:sz="0" w:space="0" w:color="auto"/>
            </w:tcBorders>
            <w:noWrap/>
            <w:vAlign w:val="bottom"/>
          </w:tcPr>
          <w:p w:rsidR="004023CC" w:rsidRPr="007C2D51" w:rsidRDefault="004023CC" w:rsidP="004E7755">
            <w:pPr>
              <w:jc w:val="right"/>
              <w:cnfStyle w:val="000000100000"/>
              <w:rPr>
                <w:rFonts w:cs="Calibri"/>
                <w:color w:val="000000"/>
              </w:rPr>
            </w:pPr>
            <w:r w:rsidRPr="007C2D51">
              <w:rPr>
                <w:rFonts w:cs="Calibri"/>
                <w:color w:val="000000"/>
              </w:rPr>
              <w:t>1,208,564</w:t>
            </w:r>
          </w:p>
        </w:tc>
        <w:tc>
          <w:tcPr>
            <w:tcW w:w="0" w:type="auto"/>
            <w:tcBorders>
              <w:top w:val="none" w:sz="0" w:space="0" w:color="auto"/>
              <w:bottom w:val="none" w:sz="0" w:space="0" w:color="auto"/>
              <w:right w:val="none" w:sz="0" w:space="0" w:color="auto"/>
            </w:tcBorders>
            <w:vAlign w:val="bottom"/>
          </w:tcPr>
          <w:p w:rsidR="004023CC" w:rsidRPr="007C2D51" w:rsidRDefault="004023CC" w:rsidP="004E7755">
            <w:pPr>
              <w:jc w:val="right"/>
              <w:cnfStyle w:val="000000100000"/>
            </w:pPr>
            <w:r w:rsidRPr="007C2D51">
              <w:t>23%</w:t>
            </w:r>
          </w:p>
        </w:tc>
      </w:tr>
      <w:tr w:rsidR="004023CC" w:rsidRPr="007C2D51" w:rsidTr="00F15767">
        <w:trPr>
          <w:trHeight w:val="300"/>
          <w:jc w:val="center"/>
        </w:trPr>
        <w:tc>
          <w:tcPr>
            <w:cnfStyle w:val="001000000000"/>
            <w:tcW w:w="0" w:type="auto"/>
            <w:noWrap/>
            <w:vAlign w:val="bottom"/>
          </w:tcPr>
          <w:p w:rsidR="004023CC" w:rsidRPr="007C2D51" w:rsidRDefault="004023CC" w:rsidP="004E7755">
            <w:r w:rsidRPr="007C2D51">
              <w:t>Demand response</w:t>
            </w:r>
          </w:p>
        </w:tc>
        <w:tc>
          <w:tcPr>
            <w:tcW w:w="0" w:type="auto"/>
            <w:noWrap/>
            <w:vAlign w:val="bottom"/>
          </w:tcPr>
          <w:p w:rsidR="004023CC" w:rsidRPr="007C2D51" w:rsidRDefault="004023CC" w:rsidP="004E7755">
            <w:pPr>
              <w:jc w:val="right"/>
              <w:cnfStyle w:val="000000000000"/>
              <w:rPr>
                <w:rFonts w:cs="Calibri"/>
                <w:color w:val="000000"/>
              </w:rPr>
            </w:pPr>
            <w:r w:rsidRPr="007C2D51">
              <w:rPr>
                <w:rFonts w:cs="Calibri"/>
                <w:color w:val="000000"/>
              </w:rPr>
              <w:t>84,342</w:t>
            </w:r>
          </w:p>
        </w:tc>
        <w:tc>
          <w:tcPr>
            <w:tcW w:w="0" w:type="auto"/>
            <w:vAlign w:val="bottom"/>
          </w:tcPr>
          <w:p w:rsidR="004023CC" w:rsidRPr="007C2D51" w:rsidRDefault="004023CC" w:rsidP="004E7755">
            <w:pPr>
              <w:jc w:val="right"/>
              <w:cnfStyle w:val="000000000000"/>
            </w:pPr>
            <w:r w:rsidRPr="007C2D51">
              <w:t>20%</w:t>
            </w:r>
          </w:p>
        </w:tc>
      </w:tr>
      <w:tr w:rsidR="004023CC" w:rsidRPr="007C2D51" w:rsidTr="00F15767">
        <w:trPr>
          <w:cnfStyle w:val="000000100000"/>
          <w:trHeight w:val="300"/>
          <w:jc w:val="center"/>
        </w:trPr>
        <w:tc>
          <w:tcPr>
            <w:cnfStyle w:val="001000000000"/>
            <w:tcW w:w="0" w:type="auto"/>
            <w:tcBorders>
              <w:top w:val="none" w:sz="0" w:space="0" w:color="auto"/>
              <w:left w:val="none" w:sz="0" w:space="0" w:color="auto"/>
              <w:bottom w:val="none" w:sz="0" w:space="0" w:color="auto"/>
            </w:tcBorders>
            <w:noWrap/>
            <w:vAlign w:val="bottom"/>
          </w:tcPr>
          <w:p w:rsidR="004023CC" w:rsidRPr="007C2D51" w:rsidRDefault="004023CC" w:rsidP="004E7755">
            <w:r w:rsidRPr="007C2D51">
              <w:t>Flexible routing</w:t>
            </w:r>
          </w:p>
        </w:tc>
        <w:tc>
          <w:tcPr>
            <w:tcW w:w="0" w:type="auto"/>
            <w:tcBorders>
              <w:top w:val="none" w:sz="0" w:space="0" w:color="auto"/>
              <w:bottom w:val="none" w:sz="0" w:space="0" w:color="auto"/>
            </w:tcBorders>
            <w:noWrap/>
            <w:vAlign w:val="bottom"/>
          </w:tcPr>
          <w:p w:rsidR="004023CC" w:rsidRPr="007C2D51" w:rsidRDefault="004023CC" w:rsidP="004E7755">
            <w:pPr>
              <w:jc w:val="right"/>
              <w:cnfStyle w:val="000000100000"/>
            </w:pPr>
            <w:r w:rsidRPr="007C2D51">
              <w:t>65,857</w:t>
            </w:r>
          </w:p>
        </w:tc>
        <w:tc>
          <w:tcPr>
            <w:tcW w:w="0" w:type="auto"/>
            <w:tcBorders>
              <w:top w:val="none" w:sz="0" w:space="0" w:color="auto"/>
              <w:bottom w:val="none" w:sz="0" w:space="0" w:color="auto"/>
              <w:right w:val="none" w:sz="0" w:space="0" w:color="auto"/>
            </w:tcBorders>
            <w:vAlign w:val="bottom"/>
          </w:tcPr>
          <w:p w:rsidR="004023CC" w:rsidRPr="007C2D51" w:rsidRDefault="004023CC" w:rsidP="004E7755">
            <w:pPr>
              <w:jc w:val="right"/>
              <w:cnfStyle w:val="000000100000"/>
            </w:pPr>
            <w:r w:rsidRPr="007C2D51">
              <w:t>39%</w:t>
            </w:r>
          </w:p>
        </w:tc>
      </w:tr>
      <w:tr w:rsidR="004023CC" w:rsidRPr="007C2D51" w:rsidTr="00F15767">
        <w:trPr>
          <w:trHeight w:val="286"/>
          <w:jc w:val="center"/>
        </w:trPr>
        <w:tc>
          <w:tcPr>
            <w:cnfStyle w:val="001000000000"/>
            <w:tcW w:w="0" w:type="auto"/>
            <w:noWrap/>
            <w:vAlign w:val="bottom"/>
          </w:tcPr>
          <w:p w:rsidR="004023CC" w:rsidRPr="007C2D51" w:rsidRDefault="004023CC" w:rsidP="004E7755">
            <w:r w:rsidRPr="007C2D51">
              <w:t>User-side subsidy</w:t>
            </w:r>
          </w:p>
        </w:tc>
        <w:tc>
          <w:tcPr>
            <w:tcW w:w="0" w:type="auto"/>
            <w:noWrap/>
            <w:vAlign w:val="bottom"/>
          </w:tcPr>
          <w:p w:rsidR="004023CC" w:rsidRPr="007C2D51" w:rsidRDefault="004023CC" w:rsidP="004E7755">
            <w:pPr>
              <w:jc w:val="right"/>
              <w:cnfStyle w:val="000000000000"/>
            </w:pPr>
            <w:r w:rsidRPr="007C2D51">
              <w:t>35,273</w:t>
            </w:r>
          </w:p>
        </w:tc>
        <w:tc>
          <w:tcPr>
            <w:tcW w:w="0" w:type="auto"/>
            <w:vAlign w:val="bottom"/>
          </w:tcPr>
          <w:p w:rsidR="004023CC" w:rsidRPr="007C2D51" w:rsidRDefault="004023CC" w:rsidP="004E7755">
            <w:pPr>
              <w:jc w:val="right"/>
              <w:cnfStyle w:val="000000000000"/>
            </w:pPr>
            <w:r w:rsidRPr="007C2D51">
              <w:t>16%</w:t>
            </w:r>
          </w:p>
        </w:tc>
      </w:tr>
      <w:tr w:rsidR="004023CC" w:rsidRPr="007C2D51" w:rsidTr="00F15767">
        <w:trPr>
          <w:cnfStyle w:val="000000100000"/>
          <w:trHeight w:val="300"/>
          <w:jc w:val="center"/>
        </w:trPr>
        <w:tc>
          <w:tcPr>
            <w:cnfStyle w:val="001000000000"/>
            <w:tcW w:w="0" w:type="auto"/>
            <w:tcBorders>
              <w:top w:val="none" w:sz="0" w:space="0" w:color="auto"/>
              <w:left w:val="none" w:sz="0" w:space="0" w:color="auto"/>
              <w:bottom w:val="none" w:sz="0" w:space="0" w:color="auto"/>
            </w:tcBorders>
            <w:noWrap/>
            <w:vAlign w:val="bottom"/>
          </w:tcPr>
          <w:p w:rsidR="004023CC" w:rsidRPr="007C2D51" w:rsidRDefault="004023CC" w:rsidP="004E7755">
            <w:r w:rsidRPr="007C2D51">
              <w:t>Vanpool service</w:t>
            </w:r>
          </w:p>
        </w:tc>
        <w:tc>
          <w:tcPr>
            <w:tcW w:w="0" w:type="auto"/>
            <w:tcBorders>
              <w:top w:val="none" w:sz="0" w:space="0" w:color="auto"/>
              <w:bottom w:val="none" w:sz="0" w:space="0" w:color="auto"/>
            </w:tcBorders>
            <w:noWrap/>
            <w:vAlign w:val="bottom"/>
          </w:tcPr>
          <w:p w:rsidR="004023CC" w:rsidRPr="007C2D51" w:rsidRDefault="004023CC" w:rsidP="004E7755">
            <w:pPr>
              <w:jc w:val="right"/>
              <w:cnfStyle w:val="000000100000"/>
            </w:pPr>
            <w:r w:rsidRPr="007C2D51">
              <w:t>29,276</w:t>
            </w:r>
          </w:p>
        </w:tc>
        <w:tc>
          <w:tcPr>
            <w:tcW w:w="0" w:type="auto"/>
            <w:tcBorders>
              <w:top w:val="none" w:sz="0" w:space="0" w:color="auto"/>
              <w:bottom w:val="none" w:sz="0" w:space="0" w:color="auto"/>
              <w:right w:val="none" w:sz="0" w:space="0" w:color="auto"/>
            </w:tcBorders>
            <w:vAlign w:val="bottom"/>
          </w:tcPr>
          <w:p w:rsidR="004023CC" w:rsidRPr="007C2D51" w:rsidRDefault="004023CC" w:rsidP="004E7755">
            <w:pPr>
              <w:jc w:val="right"/>
              <w:cnfStyle w:val="000000100000"/>
            </w:pPr>
            <w:r w:rsidRPr="007C2D51">
              <w:t>18%</w:t>
            </w:r>
          </w:p>
        </w:tc>
      </w:tr>
      <w:tr w:rsidR="004023CC" w:rsidRPr="007C2D51" w:rsidTr="00F15767">
        <w:trPr>
          <w:trHeight w:val="300"/>
          <w:jc w:val="center"/>
        </w:trPr>
        <w:tc>
          <w:tcPr>
            <w:cnfStyle w:val="001000000000"/>
            <w:tcW w:w="0" w:type="auto"/>
            <w:noWrap/>
            <w:vAlign w:val="bottom"/>
          </w:tcPr>
          <w:p w:rsidR="004023CC" w:rsidRPr="007C2D51" w:rsidRDefault="004023CC" w:rsidP="004E7755">
            <w:r w:rsidRPr="007C2D51">
              <w:t>Shuttle/feeder</w:t>
            </w:r>
          </w:p>
        </w:tc>
        <w:tc>
          <w:tcPr>
            <w:tcW w:w="0" w:type="auto"/>
            <w:noWrap/>
            <w:vAlign w:val="bottom"/>
          </w:tcPr>
          <w:p w:rsidR="004023CC" w:rsidRPr="007C2D51" w:rsidRDefault="004023CC" w:rsidP="004E7755">
            <w:pPr>
              <w:jc w:val="right"/>
              <w:cnfStyle w:val="000000000000"/>
            </w:pPr>
            <w:r w:rsidRPr="007C2D51">
              <w:t>28,504</w:t>
            </w:r>
          </w:p>
        </w:tc>
        <w:tc>
          <w:tcPr>
            <w:tcW w:w="0" w:type="auto"/>
            <w:vAlign w:val="bottom"/>
          </w:tcPr>
          <w:p w:rsidR="004023CC" w:rsidRPr="007C2D51" w:rsidRDefault="004023CC" w:rsidP="004E7755">
            <w:pPr>
              <w:jc w:val="right"/>
              <w:cnfStyle w:val="000000000000"/>
            </w:pPr>
            <w:r w:rsidRPr="007C2D51">
              <w:t>35%</w:t>
            </w:r>
          </w:p>
        </w:tc>
      </w:tr>
      <w:tr w:rsidR="004023CC" w:rsidRPr="007C2D51" w:rsidTr="00F15767">
        <w:trPr>
          <w:cnfStyle w:val="000000100000"/>
          <w:trHeight w:val="300"/>
          <w:jc w:val="center"/>
        </w:trPr>
        <w:tc>
          <w:tcPr>
            <w:cnfStyle w:val="001000000000"/>
            <w:tcW w:w="0" w:type="auto"/>
            <w:tcBorders>
              <w:top w:val="none" w:sz="0" w:space="0" w:color="auto"/>
              <w:left w:val="none" w:sz="0" w:space="0" w:color="auto"/>
              <w:bottom w:val="none" w:sz="0" w:space="0" w:color="auto"/>
            </w:tcBorders>
            <w:noWrap/>
            <w:vAlign w:val="bottom"/>
          </w:tcPr>
          <w:p w:rsidR="004023CC" w:rsidRPr="007C2D51" w:rsidRDefault="004023CC" w:rsidP="004E7755">
            <w:r w:rsidRPr="007C2D51">
              <w:t xml:space="preserve">Vehicle for individual </w:t>
            </w:r>
          </w:p>
        </w:tc>
        <w:tc>
          <w:tcPr>
            <w:tcW w:w="0" w:type="auto"/>
            <w:tcBorders>
              <w:top w:val="none" w:sz="0" w:space="0" w:color="auto"/>
              <w:bottom w:val="none" w:sz="0" w:space="0" w:color="auto"/>
            </w:tcBorders>
            <w:noWrap/>
            <w:vAlign w:val="bottom"/>
          </w:tcPr>
          <w:p w:rsidR="004023CC" w:rsidRPr="007C2D51" w:rsidRDefault="004023CC" w:rsidP="004E7755">
            <w:pPr>
              <w:jc w:val="right"/>
              <w:cnfStyle w:val="000000100000"/>
            </w:pPr>
            <w:r w:rsidRPr="007C2D51">
              <w:t>48</w:t>
            </w:r>
          </w:p>
        </w:tc>
        <w:tc>
          <w:tcPr>
            <w:tcW w:w="0" w:type="auto"/>
            <w:tcBorders>
              <w:top w:val="none" w:sz="0" w:space="0" w:color="auto"/>
              <w:bottom w:val="none" w:sz="0" w:space="0" w:color="auto"/>
              <w:right w:val="none" w:sz="0" w:space="0" w:color="auto"/>
            </w:tcBorders>
            <w:vAlign w:val="bottom"/>
          </w:tcPr>
          <w:p w:rsidR="004023CC" w:rsidRPr="007C2D51" w:rsidRDefault="004023CC" w:rsidP="004E7755">
            <w:pPr>
              <w:jc w:val="right"/>
              <w:cnfStyle w:val="000000100000"/>
            </w:pPr>
            <w:r w:rsidRPr="007C2D51">
              <w:t>3%</w:t>
            </w:r>
          </w:p>
        </w:tc>
      </w:tr>
      <w:tr w:rsidR="004023CC" w:rsidRPr="007C2D51" w:rsidTr="00F15767">
        <w:trPr>
          <w:trHeight w:val="300"/>
          <w:jc w:val="center"/>
        </w:trPr>
        <w:tc>
          <w:tcPr>
            <w:cnfStyle w:val="001000000000"/>
            <w:tcW w:w="0" w:type="auto"/>
            <w:noWrap/>
            <w:vAlign w:val="bottom"/>
          </w:tcPr>
          <w:p w:rsidR="004023CC" w:rsidRPr="007C2D51" w:rsidRDefault="004023CC" w:rsidP="004E7755">
            <w:r w:rsidRPr="007C2D51">
              <w:t>Total</w:t>
            </w:r>
          </w:p>
        </w:tc>
        <w:tc>
          <w:tcPr>
            <w:tcW w:w="0" w:type="auto"/>
            <w:noWrap/>
            <w:vAlign w:val="bottom"/>
          </w:tcPr>
          <w:p w:rsidR="004023CC" w:rsidRPr="00613F0E" w:rsidRDefault="00022E2F" w:rsidP="004E7755">
            <w:pPr>
              <w:jc w:val="right"/>
              <w:cnfStyle w:val="000000000000"/>
              <w:rPr>
                <w:rFonts w:cs="Calibri"/>
                <w:b/>
                <w:color w:val="000000"/>
              </w:rPr>
            </w:pPr>
            <w:r w:rsidRPr="00613F0E">
              <w:rPr>
                <w:rFonts w:cs="Calibri"/>
                <w:b/>
                <w:color w:val="000000"/>
              </w:rPr>
              <w:fldChar w:fldCharType="begin"/>
            </w:r>
            <w:r w:rsidR="004023CC" w:rsidRPr="00613F0E">
              <w:rPr>
                <w:rFonts w:cs="Calibri"/>
                <w:b/>
                <w:color w:val="000000"/>
              </w:rPr>
              <w:instrText xml:space="preserve"> =SUM(ABOVE) \# "#,##0" </w:instrText>
            </w:r>
            <w:r w:rsidRPr="00613F0E">
              <w:rPr>
                <w:rFonts w:cs="Calibri"/>
                <w:b/>
                <w:color w:val="000000"/>
              </w:rPr>
              <w:fldChar w:fldCharType="separate"/>
            </w:r>
            <w:r w:rsidR="004023CC" w:rsidRPr="00613F0E">
              <w:rPr>
                <w:rFonts w:cs="Calibri"/>
                <w:b/>
                <w:color w:val="000000"/>
              </w:rPr>
              <w:t>1,451,864</w:t>
            </w:r>
            <w:r w:rsidRPr="00613F0E">
              <w:rPr>
                <w:rFonts w:cs="Calibri"/>
                <w:b/>
                <w:color w:val="000000"/>
              </w:rPr>
              <w:fldChar w:fldCharType="end"/>
            </w:r>
          </w:p>
        </w:tc>
        <w:tc>
          <w:tcPr>
            <w:tcW w:w="0" w:type="auto"/>
            <w:vAlign w:val="bottom"/>
          </w:tcPr>
          <w:p w:rsidR="004023CC" w:rsidRPr="00613F0E" w:rsidRDefault="004023CC" w:rsidP="004E7755">
            <w:pPr>
              <w:jc w:val="right"/>
              <w:cnfStyle w:val="000000000000"/>
              <w:rPr>
                <w:b/>
              </w:rPr>
            </w:pPr>
            <w:r w:rsidRPr="00613F0E">
              <w:rPr>
                <w:b/>
              </w:rPr>
              <w:t>22%</w:t>
            </w:r>
          </w:p>
        </w:tc>
      </w:tr>
    </w:tbl>
    <w:p w:rsidR="004023CC" w:rsidRPr="007C2D51" w:rsidRDefault="004023CC" w:rsidP="004023CC"/>
    <w:p w:rsidR="004023CC" w:rsidRPr="007C2D51" w:rsidRDefault="004023CC" w:rsidP="004023CC">
      <w:pPr>
        <w:pStyle w:val="Caption"/>
      </w:pPr>
      <w:bookmarkStart w:id="132" w:name="_Toc242869964"/>
      <w:bookmarkStart w:id="133" w:name="_Toc244658135"/>
      <w:bookmarkStart w:id="134" w:name="_Toc304967477"/>
      <w:r w:rsidRPr="007C2D51">
        <w:t xml:space="preserve">Table </w:t>
      </w:r>
      <w:fldSimple w:instr=" STYLEREF 1 \s ">
        <w:r w:rsidR="00F35ACC">
          <w:rPr>
            <w:noProof/>
          </w:rPr>
          <w:t>5</w:t>
        </w:r>
      </w:fldSimple>
      <w:r w:rsidRPr="007C2D51">
        <w:noBreakHyphen/>
      </w:r>
      <w:fldSimple w:instr=" SEQ Table \* ARABIC \s 1 ">
        <w:r w:rsidR="00F35ACC">
          <w:rPr>
            <w:noProof/>
          </w:rPr>
          <w:t>2</w:t>
        </w:r>
      </w:fldSimple>
      <w:r w:rsidRPr="007C2D51">
        <w:br/>
        <w:t>Jobs Accessed Estimate</w:t>
      </w:r>
      <w:bookmarkEnd w:id="132"/>
      <w:bookmarkEnd w:id="133"/>
      <w:bookmarkEnd w:id="134"/>
    </w:p>
    <w:tbl>
      <w:tblPr>
        <w:tblStyle w:val="LightList-Accent6"/>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07"/>
        <w:gridCol w:w="1208"/>
        <w:gridCol w:w="691"/>
        <w:gridCol w:w="1208"/>
        <w:gridCol w:w="691"/>
        <w:gridCol w:w="1314"/>
        <w:gridCol w:w="751"/>
      </w:tblGrid>
      <w:tr w:rsidR="004023CC" w:rsidRPr="007C2D51" w:rsidTr="00F15767">
        <w:trPr>
          <w:cnfStyle w:val="100000000000"/>
          <w:jc w:val="center"/>
        </w:trPr>
        <w:tc>
          <w:tcPr>
            <w:cnfStyle w:val="001000000000"/>
            <w:tcW w:w="0" w:type="auto"/>
            <w:vAlign w:val="bottom"/>
          </w:tcPr>
          <w:p w:rsidR="004023CC" w:rsidRPr="007C2D51" w:rsidRDefault="004023CC" w:rsidP="004E7755"/>
        </w:tc>
        <w:tc>
          <w:tcPr>
            <w:tcW w:w="0" w:type="auto"/>
            <w:gridSpan w:val="2"/>
            <w:vAlign w:val="bottom"/>
          </w:tcPr>
          <w:p w:rsidR="004023CC" w:rsidRPr="007C2D51" w:rsidRDefault="004023CC" w:rsidP="004E7755">
            <w:pPr>
              <w:jc w:val="center"/>
              <w:cnfStyle w:val="100000000000"/>
            </w:pPr>
            <w:r w:rsidRPr="007C2D51">
              <w:t xml:space="preserve">All Jobs  </w:t>
            </w:r>
          </w:p>
          <w:p w:rsidR="004023CC" w:rsidRPr="007C2D51" w:rsidRDefault="004023CC" w:rsidP="004E7755">
            <w:pPr>
              <w:jc w:val="center"/>
              <w:cnfStyle w:val="100000000000"/>
            </w:pPr>
            <w:r w:rsidRPr="007C2D51">
              <w:t>Made Accessible</w:t>
            </w:r>
          </w:p>
        </w:tc>
        <w:tc>
          <w:tcPr>
            <w:tcW w:w="0" w:type="auto"/>
            <w:gridSpan w:val="2"/>
            <w:vAlign w:val="bottom"/>
          </w:tcPr>
          <w:p w:rsidR="004023CC" w:rsidRPr="007C2D51" w:rsidRDefault="004023CC" w:rsidP="004E7755">
            <w:pPr>
              <w:jc w:val="center"/>
              <w:cnfStyle w:val="100000000000"/>
            </w:pPr>
            <w:r w:rsidRPr="007C2D51">
              <w:t xml:space="preserve">Low-Wage Jobs </w:t>
            </w:r>
          </w:p>
          <w:p w:rsidR="004023CC" w:rsidRPr="007C2D51" w:rsidRDefault="004023CC" w:rsidP="004E7755">
            <w:pPr>
              <w:jc w:val="center"/>
              <w:cnfStyle w:val="100000000000"/>
            </w:pPr>
            <w:r w:rsidRPr="007C2D51">
              <w:t>Made Accessible</w:t>
            </w:r>
          </w:p>
        </w:tc>
        <w:tc>
          <w:tcPr>
            <w:tcW w:w="0" w:type="auto"/>
            <w:gridSpan w:val="2"/>
            <w:vAlign w:val="bottom"/>
          </w:tcPr>
          <w:p w:rsidR="004023CC" w:rsidRPr="007C2D51" w:rsidRDefault="004023CC" w:rsidP="004E7755">
            <w:pPr>
              <w:jc w:val="center"/>
              <w:cnfStyle w:val="100000000000"/>
            </w:pPr>
            <w:r w:rsidRPr="007C2D51">
              <w:t>Jobs Likely Reached</w:t>
            </w:r>
          </w:p>
        </w:tc>
      </w:tr>
      <w:tr w:rsidR="004023CC" w:rsidRPr="007C2D51" w:rsidTr="00F15767">
        <w:trPr>
          <w:cnfStyle w:val="000000100000"/>
          <w:jc w:val="center"/>
        </w:trPr>
        <w:tc>
          <w:tcPr>
            <w:cnfStyle w:val="001000000000"/>
            <w:tcW w:w="0" w:type="auto"/>
            <w:tcBorders>
              <w:top w:val="none" w:sz="0" w:space="0" w:color="auto"/>
              <w:left w:val="none" w:sz="0" w:space="0" w:color="auto"/>
              <w:bottom w:val="none" w:sz="0" w:space="0" w:color="auto"/>
            </w:tcBorders>
            <w:vAlign w:val="bottom"/>
          </w:tcPr>
          <w:p w:rsidR="004023CC" w:rsidRPr="007C2D51" w:rsidRDefault="004023CC" w:rsidP="004E7755">
            <w:r w:rsidRPr="007C2D51">
              <w:t>Service type</w:t>
            </w:r>
          </w:p>
        </w:tc>
        <w:tc>
          <w:tcPr>
            <w:tcW w:w="0" w:type="auto"/>
            <w:tcBorders>
              <w:top w:val="none" w:sz="0" w:space="0" w:color="auto"/>
              <w:bottom w:val="none" w:sz="0" w:space="0" w:color="auto"/>
            </w:tcBorders>
            <w:vAlign w:val="bottom"/>
          </w:tcPr>
          <w:p w:rsidR="004023CC" w:rsidRPr="007C2D51" w:rsidRDefault="004023CC" w:rsidP="004E7755">
            <w:pPr>
              <w:jc w:val="center"/>
              <w:cnfStyle w:val="000000100000"/>
              <w:rPr>
                <w:b/>
              </w:rPr>
            </w:pPr>
            <w:r w:rsidRPr="007C2D51">
              <w:rPr>
                <w:b/>
              </w:rPr>
              <w:t>#</w:t>
            </w:r>
          </w:p>
        </w:tc>
        <w:tc>
          <w:tcPr>
            <w:tcW w:w="0" w:type="auto"/>
            <w:tcBorders>
              <w:top w:val="none" w:sz="0" w:space="0" w:color="auto"/>
              <w:bottom w:val="none" w:sz="0" w:space="0" w:color="auto"/>
            </w:tcBorders>
            <w:vAlign w:val="bottom"/>
          </w:tcPr>
          <w:p w:rsidR="004023CC" w:rsidRPr="007C2D51" w:rsidRDefault="004023CC" w:rsidP="004E7755">
            <w:pPr>
              <w:jc w:val="center"/>
              <w:cnfStyle w:val="000000100000"/>
              <w:rPr>
                <w:b/>
              </w:rPr>
            </w:pPr>
            <w:r w:rsidRPr="007C2D51">
              <w:rPr>
                <w:b/>
              </w:rPr>
              <w:t>%</w:t>
            </w:r>
          </w:p>
        </w:tc>
        <w:tc>
          <w:tcPr>
            <w:tcW w:w="0" w:type="auto"/>
            <w:tcBorders>
              <w:top w:val="none" w:sz="0" w:space="0" w:color="auto"/>
              <w:bottom w:val="none" w:sz="0" w:space="0" w:color="auto"/>
            </w:tcBorders>
            <w:vAlign w:val="bottom"/>
          </w:tcPr>
          <w:p w:rsidR="004023CC" w:rsidRPr="007C2D51" w:rsidRDefault="004023CC" w:rsidP="004E7755">
            <w:pPr>
              <w:jc w:val="center"/>
              <w:cnfStyle w:val="000000100000"/>
              <w:rPr>
                <w:b/>
              </w:rPr>
            </w:pPr>
            <w:r w:rsidRPr="007C2D51">
              <w:rPr>
                <w:b/>
              </w:rPr>
              <w:t>#</w:t>
            </w:r>
          </w:p>
        </w:tc>
        <w:tc>
          <w:tcPr>
            <w:tcW w:w="0" w:type="auto"/>
            <w:tcBorders>
              <w:top w:val="none" w:sz="0" w:space="0" w:color="auto"/>
              <w:bottom w:val="none" w:sz="0" w:space="0" w:color="auto"/>
            </w:tcBorders>
            <w:vAlign w:val="bottom"/>
          </w:tcPr>
          <w:p w:rsidR="004023CC" w:rsidRPr="007C2D51" w:rsidRDefault="004023CC" w:rsidP="004E7755">
            <w:pPr>
              <w:jc w:val="center"/>
              <w:cnfStyle w:val="000000100000"/>
              <w:rPr>
                <w:b/>
              </w:rPr>
            </w:pPr>
            <w:r w:rsidRPr="007C2D51">
              <w:rPr>
                <w:b/>
              </w:rPr>
              <w:t>%</w:t>
            </w:r>
          </w:p>
        </w:tc>
        <w:tc>
          <w:tcPr>
            <w:tcW w:w="0" w:type="auto"/>
            <w:tcBorders>
              <w:top w:val="none" w:sz="0" w:space="0" w:color="auto"/>
              <w:bottom w:val="none" w:sz="0" w:space="0" w:color="auto"/>
            </w:tcBorders>
            <w:vAlign w:val="bottom"/>
          </w:tcPr>
          <w:p w:rsidR="004023CC" w:rsidRPr="007C2D51" w:rsidRDefault="004023CC" w:rsidP="004E7755">
            <w:pPr>
              <w:jc w:val="center"/>
              <w:cnfStyle w:val="000000100000"/>
              <w:rPr>
                <w:b/>
              </w:rPr>
            </w:pPr>
            <w:r w:rsidRPr="007C2D51">
              <w:rPr>
                <w:b/>
              </w:rPr>
              <w:t>#</w:t>
            </w:r>
          </w:p>
        </w:tc>
        <w:tc>
          <w:tcPr>
            <w:tcW w:w="0" w:type="auto"/>
            <w:tcBorders>
              <w:top w:val="none" w:sz="0" w:space="0" w:color="auto"/>
              <w:bottom w:val="none" w:sz="0" w:space="0" w:color="auto"/>
              <w:right w:val="none" w:sz="0" w:space="0" w:color="auto"/>
            </w:tcBorders>
            <w:vAlign w:val="bottom"/>
          </w:tcPr>
          <w:p w:rsidR="004023CC" w:rsidRPr="007C2D51" w:rsidRDefault="004023CC" w:rsidP="004E7755">
            <w:pPr>
              <w:jc w:val="center"/>
              <w:cnfStyle w:val="000000100000"/>
              <w:rPr>
                <w:b/>
              </w:rPr>
            </w:pPr>
            <w:r w:rsidRPr="007C2D51">
              <w:rPr>
                <w:b/>
              </w:rPr>
              <w:t>%</w:t>
            </w:r>
          </w:p>
        </w:tc>
      </w:tr>
      <w:tr w:rsidR="004023CC" w:rsidRPr="007C2D51" w:rsidTr="00F15767">
        <w:trPr>
          <w:jc w:val="center"/>
        </w:trPr>
        <w:tc>
          <w:tcPr>
            <w:cnfStyle w:val="001000000000"/>
            <w:tcW w:w="0" w:type="auto"/>
            <w:vAlign w:val="bottom"/>
          </w:tcPr>
          <w:p w:rsidR="004023CC" w:rsidRPr="007C2D51" w:rsidRDefault="004023CC" w:rsidP="004E7755">
            <w:r w:rsidRPr="007C2D51">
              <w:t>Demand response</w:t>
            </w:r>
          </w:p>
        </w:tc>
        <w:tc>
          <w:tcPr>
            <w:tcW w:w="0" w:type="auto"/>
            <w:vAlign w:val="bottom"/>
          </w:tcPr>
          <w:p w:rsidR="004023CC" w:rsidRPr="007C2D51" w:rsidRDefault="004023CC" w:rsidP="004E7755">
            <w:pPr>
              <w:jc w:val="right"/>
              <w:cnfStyle w:val="000000000000"/>
              <w:rPr>
                <w:rFonts w:cs="Calibri"/>
                <w:color w:val="000000"/>
              </w:rPr>
            </w:pPr>
            <w:r w:rsidRPr="007C2D51">
              <w:rPr>
                <w:rFonts w:cs="Calibri"/>
                <w:color w:val="000000"/>
              </w:rPr>
              <w:t>24,825,393</w:t>
            </w:r>
          </w:p>
        </w:tc>
        <w:tc>
          <w:tcPr>
            <w:tcW w:w="0" w:type="auto"/>
            <w:vAlign w:val="bottom"/>
          </w:tcPr>
          <w:p w:rsidR="004023CC" w:rsidRPr="007C2D51" w:rsidRDefault="004023CC" w:rsidP="004E7755">
            <w:pPr>
              <w:jc w:val="right"/>
              <w:cnfStyle w:val="000000000000"/>
              <w:rPr>
                <w:rFonts w:cs="Calibri"/>
                <w:color w:val="000000"/>
              </w:rPr>
            </w:pPr>
            <w:r w:rsidRPr="007C2D51">
              <w:rPr>
                <w:rFonts w:cs="Calibri"/>
                <w:color w:val="000000"/>
              </w:rPr>
              <w:t>46%</w:t>
            </w:r>
          </w:p>
        </w:tc>
        <w:tc>
          <w:tcPr>
            <w:tcW w:w="0" w:type="auto"/>
            <w:vAlign w:val="bottom"/>
          </w:tcPr>
          <w:p w:rsidR="004023CC" w:rsidRPr="007C2D51" w:rsidRDefault="004023CC" w:rsidP="004E7755">
            <w:pPr>
              <w:jc w:val="right"/>
              <w:cnfStyle w:val="000000000000"/>
              <w:rPr>
                <w:rFonts w:cs="Calibri"/>
                <w:color w:val="000000"/>
              </w:rPr>
            </w:pPr>
            <w:r w:rsidRPr="007C2D51">
              <w:rPr>
                <w:rFonts w:cs="Calibri"/>
                <w:color w:val="000000"/>
              </w:rPr>
              <w:t>12,631,442</w:t>
            </w:r>
          </w:p>
        </w:tc>
        <w:tc>
          <w:tcPr>
            <w:tcW w:w="0" w:type="auto"/>
            <w:vAlign w:val="bottom"/>
          </w:tcPr>
          <w:p w:rsidR="004023CC" w:rsidRPr="007C2D51" w:rsidRDefault="004023CC" w:rsidP="004E7755">
            <w:pPr>
              <w:jc w:val="right"/>
              <w:cnfStyle w:val="000000000000"/>
              <w:rPr>
                <w:rFonts w:cs="Calibri"/>
                <w:color w:val="000000"/>
              </w:rPr>
            </w:pPr>
            <w:r w:rsidRPr="007C2D51">
              <w:rPr>
                <w:rFonts w:cs="Calibri"/>
                <w:color w:val="000000"/>
              </w:rPr>
              <w:t>48%</w:t>
            </w:r>
          </w:p>
        </w:tc>
        <w:tc>
          <w:tcPr>
            <w:tcW w:w="0" w:type="auto"/>
            <w:vAlign w:val="bottom"/>
          </w:tcPr>
          <w:p w:rsidR="004023CC" w:rsidRPr="007C2D51" w:rsidRDefault="004023CC" w:rsidP="004E7755">
            <w:pPr>
              <w:jc w:val="right"/>
              <w:cnfStyle w:val="000000000000"/>
              <w:rPr>
                <w:rFonts w:cs="Calibri"/>
                <w:color w:val="000000"/>
              </w:rPr>
            </w:pPr>
            <w:r w:rsidRPr="007C2D51">
              <w:rPr>
                <w:rFonts w:cs="Calibri"/>
                <w:color w:val="000000"/>
              </w:rPr>
              <w:t>916,358</w:t>
            </w:r>
          </w:p>
        </w:tc>
        <w:tc>
          <w:tcPr>
            <w:tcW w:w="0" w:type="auto"/>
            <w:vAlign w:val="bottom"/>
          </w:tcPr>
          <w:p w:rsidR="004023CC" w:rsidRPr="007C2D51" w:rsidRDefault="004023CC" w:rsidP="004E7755">
            <w:pPr>
              <w:jc w:val="right"/>
              <w:cnfStyle w:val="000000000000"/>
              <w:rPr>
                <w:rFonts w:cs="Calibri"/>
                <w:color w:val="000000"/>
              </w:rPr>
            </w:pPr>
            <w:r w:rsidRPr="007C2D51">
              <w:rPr>
                <w:rFonts w:cs="Calibri"/>
                <w:color w:val="000000"/>
              </w:rPr>
              <w:t>6%</w:t>
            </w:r>
          </w:p>
        </w:tc>
      </w:tr>
      <w:tr w:rsidR="004023CC" w:rsidRPr="007C2D51" w:rsidTr="00F15767">
        <w:trPr>
          <w:cnfStyle w:val="000000100000"/>
          <w:jc w:val="center"/>
        </w:trPr>
        <w:tc>
          <w:tcPr>
            <w:cnfStyle w:val="001000000000"/>
            <w:tcW w:w="0" w:type="auto"/>
            <w:tcBorders>
              <w:top w:val="none" w:sz="0" w:space="0" w:color="auto"/>
              <w:left w:val="none" w:sz="0" w:space="0" w:color="auto"/>
              <w:bottom w:val="none" w:sz="0" w:space="0" w:color="auto"/>
            </w:tcBorders>
            <w:vAlign w:val="bottom"/>
          </w:tcPr>
          <w:p w:rsidR="004023CC" w:rsidRPr="007C2D51" w:rsidRDefault="004023CC" w:rsidP="004E7755">
            <w:r w:rsidRPr="007C2D51">
              <w:t>Fixed route</w:t>
            </w:r>
          </w:p>
        </w:tc>
        <w:tc>
          <w:tcPr>
            <w:tcW w:w="0" w:type="auto"/>
            <w:tcBorders>
              <w:top w:val="none" w:sz="0" w:space="0" w:color="auto"/>
              <w:bottom w:val="none" w:sz="0" w:space="0" w:color="auto"/>
            </w:tcBorders>
            <w:vAlign w:val="bottom"/>
          </w:tcPr>
          <w:p w:rsidR="004023CC" w:rsidRPr="007C2D51" w:rsidRDefault="004023CC" w:rsidP="004E7755">
            <w:pPr>
              <w:jc w:val="right"/>
              <w:cnfStyle w:val="000000100000"/>
              <w:rPr>
                <w:rFonts w:cs="Calibri"/>
                <w:color w:val="000000"/>
              </w:rPr>
            </w:pPr>
            <w:r w:rsidRPr="007C2D51">
              <w:rPr>
                <w:rFonts w:cs="Calibri"/>
                <w:color w:val="000000"/>
              </w:rPr>
              <w:t>23,821,533</w:t>
            </w:r>
          </w:p>
        </w:tc>
        <w:tc>
          <w:tcPr>
            <w:tcW w:w="0" w:type="auto"/>
            <w:tcBorders>
              <w:top w:val="none" w:sz="0" w:space="0" w:color="auto"/>
              <w:bottom w:val="none" w:sz="0" w:space="0" w:color="auto"/>
            </w:tcBorders>
            <w:vAlign w:val="bottom"/>
          </w:tcPr>
          <w:p w:rsidR="004023CC" w:rsidRPr="007C2D51" w:rsidRDefault="004023CC" w:rsidP="004E7755">
            <w:pPr>
              <w:jc w:val="right"/>
              <w:cnfStyle w:val="000000100000"/>
              <w:rPr>
                <w:rFonts w:cs="Calibri"/>
                <w:color w:val="000000"/>
              </w:rPr>
            </w:pPr>
            <w:r w:rsidRPr="007C2D51">
              <w:rPr>
                <w:rFonts w:cs="Calibri"/>
                <w:color w:val="000000"/>
              </w:rPr>
              <w:t>44%</w:t>
            </w:r>
          </w:p>
        </w:tc>
        <w:tc>
          <w:tcPr>
            <w:tcW w:w="0" w:type="auto"/>
            <w:tcBorders>
              <w:top w:val="none" w:sz="0" w:space="0" w:color="auto"/>
              <w:bottom w:val="none" w:sz="0" w:space="0" w:color="auto"/>
            </w:tcBorders>
            <w:vAlign w:val="bottom"/>
          </w:tcPr>
          <w:p w:rsidR="004023CC" w:rsidRPr="007C2D51" w:rsidRDefault="004023CC" w:rsidP="004E7755">
            <w:pPr>
              <w:jc w:val="right"/>
              <w:cnfStyle w:val="000000100000"/>
              <w:rPr>
                <w:rFonts w:cs="Calibri"/>
                <w:color w:val="000000"/>
              </w:rPr>
            </w:pPr>
            <w:r w:rsidRPr="007C2D51">
              <w:rPr>
                <w:rFonts w:cs="Calibri"/>
                <w:color w:val="000000"/>
              </w:rPr>
              <w:t>11,440,935</w:t>
            </w:r>
          </w:p>
        </w:tc>
        <w:tc>
          <w:tcPr>
            <w:tcW w:w="0" w:type="auto"/>
            <w:tcBorders>
              <w:top w:val="none" w:sz="0" w:space="0" w:color="auto"/>
              <w:bottom w:val="none" w:sz="0" w:space="0" w:color="auto"/>
            </w:tcBorders>
            <w:vAlign w:val="bottom"/>
          </w:tcPr>
          <w:p w:rsidR="004023CC" w:rsidRPr="007C2D51" w:rsidRDefault="004023CC" w:rsidP="004E7755">
            <w:pPr>
              <w:jc w:val="right"/>
              <w:cnfStyle w:val="000000100000"/>
              <w:rPr>
                <w:rFonts w:cs="Calibri"/>
                <w:color w:val="000000"/>
              </w:rPr>
            </w:pPr>
            <w:r w:rsidRPr="007C2D51">
              <w:rPr>
                <w:rFonts w:cs="Calibri"/>
                <w:color w:val="000000"/>
              </w:rPr>
              <w:t>43%</w:t>
            </w:r>
          </w:p>
        </w:tc>
        <w:tc>
          <w:tcPr>
            <w:tcW w:w="0" w:type="auto"/>
            <w:tcBorders>
              <w:top w:val="none" w:sz="0" w:space="0" w:color="auto"/>
              <w:bottom w:val="none" w:sz="0" w:space="0" w:color="auto"/>
            </w:tcBorders>
            <w:vAlign w:val="bottom"/>
          </w:tcPr>
          <w:p w:rsidR="004023CC" w:rsidRPr="007C2D51" w:rsidRDefault="004023CC" w:rsidP="004E7755">
            <w:pPr>
              <w:jc w:val="right"/>
              <w:cnfStyle w:val="000000100000"/>
              <w:rPr>
                <w:rFonts w:cs="Calibri"/>
                <w:color w:val="000000"/>
              </w:rPr>
            </w:pPr>
            <w:r w:rsidRPr="007C2D51">
              <w:rPr>
                <w:rFonts w:cs="Calibri"/>
                <w:color w:val="000000"/>
              </w:rPr>
              <w:t>14,208,903</w:t>
            </w:r>
          </w:p>
        </w:tc>
        <w:tc>
          <w:tcPr>
            <w:tcW w:w="0" w:type="auto"/>
            <w:tcBorders>
              <w:top w:val="none" w:sz="0" w:space="0" w:color="auto"/>
              <w:bottom w:val="none" w:sz="0" w:space="0" w:color="auto"/>
              <w:right w:val="none" w:sz="0" w:space="0" w:color="auto"/>
            </w:tcBorders>
            <w:vAlign w:val="bottom"/>
          </w:tcPr>
          <w:p w:rsidR="004023CC" w:rsidRPr="007C2D51" w:rsidRDefault="004023CC" w:rsidP="004E7755">
            <w:pPr>
              <w:jc w:val="right"/>
              <w:cnfStyle w:val="000000100000"/>
              <w:rPr>
                <w:rFonts w:cs="Calibri"/>
                <w:color w:val="000000"/>
              </w:rPr>
            </w:pPr>
            <w:r w:rsidRPr="007C2D51">
              <w:rPr>
                <w:rFonts w:cs="Calibri"/>
                <w:color w:val="000000"/>
              </w:rPr>
              <w:t>89%</w:t>
            </w:r>
          </w:p>
        </w:tc>
      </w:tr>
      <w:tr w:rsidR="004023CC" w:rsidRPr="007C2D51" w:rsidTr="00F15767">
        <w:trPr>
          <w:jc w:val="center"/>
        </w:trPr>
        <w:tc>
          <w:tcPr>
            <w:cnfStyle w:val="001000000000"/>
            <w:tcW w:w="0" w:type="auto"/>
            <w:vAlign w:val="bottom"/>
          </w:tcPr>
          <w:p w:rsidR="004023CC" w:rsidRPr="007C2D51" w:rsidRDefault="004023CC" w:rsidP="004E7755">
            <w:r w:rsidRPr="007C2D51">
              <w:t>Flex route</w:t>
            </w:r>
          </w:p>
        </w:tc>
        <w:tc>
          <w:tcPr>
            <w:tcW w:w="0" w:type="auto"/>
            <w:vAlign w:val="bottom"/>
          </w:tcPr>
          <w:p w:rsidR="004023CC" w:rsidRPr="007C2D51" w:rsidRDefault="004023CC" w:rsidP="004E7755">
            <w:pPr>
              <w:jc w:val="right"/>
              <w:cnfStyle w:val="000000000000"/>
              <w:rPr>
                <w:rFonts w:cs="Calibri"/>
                <w:color w:val="000000"/>
              </w:rPr>
            </w:pPr>
            <w:r w:rsidRPr="007C2D51">
              <w:rPr>
                <w:rFonts w:cs="Calibri"/>
                <w:color w:val="000000"/>
              </w:rPr>
              <w:t>3,601,625</w:t>
            </w:r>
          </w:p>
        </w:tc>
        <w:tc>
          <w:tcPr>
            <w:tcW w:w="0" w:type="auto"/>
            <w:vAlign w:val="bottom"/>
          </w:tcPr>
          <w:p w:rsidR="004023CC" w:rsidRPr="007C2D51" w:rsidRDefault="004023CC" w:rsidP="004E7755">
            <w:pPr>
              <w:jc w:val="right"/>
              <w:cnfStyle w:val="000000000000"/>
              <w:rPr>
                <w:rFonts w:cs="Calibri"/>
                <w:color w:val="000000"/>
              </w:rPr>
            </w:pPr>
            <w:r w:rsidRPr="007C2D51">
              <w:rPr>
                <w:rFonts w:cs="Calibri"/>
                <w:color w:val="000000"/>
              </w:rPr>
              <w:t>7%</w:t>
            </w:r>
          </w:p>
        </w:tc>
        <w:tc>
          <w:tcPr>
            <w:tcW w:w="0" w:type="auto"/>
            <w:vAlign w:val="bottom"/>
          </w:tcPr>
          <w:p w:rsidR="004023CC" w:rsidRPr="007C2D51" w:rsidRDefault="004023CC" w:rsidP="004E7755">
            <w:pPr>
              <w:jc w:val="right"/>
              <w:cnfStyle w:val="000000000000"/>
              <w:rPr>
                <w:rFonts w:cs="Calibri"/>
                <w:color w:val="000000"/>
              </w:rPr>
            </w:pPr>
            <w:r w:rsidRPr="007C2D51">
              <w:rPr>
                <w:rFonts w:cs="Calibri"/>
                <w:color w:val="000000"/>
              </w:rPr>
              <w:t>1,729,778</w:t>
            </w:r>
          </w:p>
        </w:tc>
        <w:tc>
          <w:tcPr>
            <w:tcW w:w="0" w:type="auto"/>
            <w:vAlign w:val="bottom"/>
          </w:tcPr>
          <w:p w:rsidR="004023CC" w:rsidRPr="007C2D51" w:rsidRDefault="004023CC" w:rsidP="004E7755">
            <w:pPr>
              <w:jc w:val="right"/>
              <w:cnfStyle w:val="000000000000"/>
              <w:rPr>
                <w:rFonts w:cs="Calibri"/>
                <w:color w:val="000000"/>
              </w:rPr>
            </w:pPr>
            <w:r w:rsidRPr="007C2D51">
              <w:rPr>
                <w:rFonts w:cs="Calibri"/>
                <w:color w:val="000000"/>
              </w:rPr>
              <w:t>7%</w:t>
            </w:r>
          </w:p>
        </w:tc>
        <w:tc>
          <w:tcPr>
            <w:tcW w:w="0" w:type="auto"/>
            <w:vAlign w:val="bottom"/>
          </w:tcPr>
          <w:p w:rsidR="004023CC" w:rsidRPr="007C2D51" w:rsidRDefault="004023CC" w:rsidP="004E7755">
            <w:pPr>
              <w:jc w:val="right"/>
              <w:cnfStyle w:val="000000000000"/>
              <w:rPr>
                <w:rFonts w:cs="Calibri"/>
                <w:color w:val="000000"/>
              </w:rPr>
            </w:pPr>
            <w:r w:rsidRPr="007C2D51">
              <w:rPr>
                <w:rFonts w:cs="Calibri"/>
                <w:color w:val="000000"/>
              </w:rPr>
              <w:t>429,353</w:t>
            </w:r>
          </w:p>
        </w:tc>
        <w:tc>
          <w:tcPr>
            <w:tcW w:w="0" w:type="auto"/>
            <w:vAlign w:val="bottom"/>
          </w:tcPr>
          <w:p w:rsidR="004023CC" w:rsidRPr="007C2D51" w:rsidRDefault="004023CC" w:rsidP="004E7755">
            <w:pPr>
              <w:jc w:val="right"/>
              <w:cnfStyle w:val="000000000000"/>
              <w:rPr>
                <w:rFonts w:cs="Calibri"/>
                <w:color w:val="000000"/>
              </w:rPr>
            </w:pPr>
            <w:r w:rsidRPr="007C2D51">
              <w:rPr>
                <w:rFonts w:cs="Calibri"/>
                <w:color w:val="000000"/>
              </w:rPr>
              <w:t>3%</w:t>
            </w:r>
          </w:p>
        </w:tc>
      </w:tr>
      <w:tr w:rsidR="004023CC" w:rsidRPr="007C2D51" w:rsidTr="00F15767">
        <w:trPr>
          <w:cnfStyle w:val="000000100000"/>
          <w:jc w:val="center"/>
        </w:trPr>
        <w:tc>
          <w:tcPr>
            <w:cnfStyle w:val="001000000000"/>
            <w:tcW w:w="0" w:type="auto"/>
            <w:tcBorders>
              <w:top w:val="none" w:sz="0" w:space="0" w:color="auto"/>
              <w:left w:val="none" w:sz="0" w:space="0" w:color="auto"/>
              <w:bottom w:val="none" w:sz="0" w:space="0" w:color="auto"/>
            </w:tcBorders>
            <w:vAlign w:val="bottom"/>
          </w:tcPr>
          <w:p w:rsidR="004023CC" w:rsidRPr="007C2D51" w:rsidRDefault="004023CC" w:rsidP="004E7755">
            <w:r w:rsidRPr="007C2D51">
              <w:t>Shuttle feeder</w:t>
            </w:r>
          </w:p>
        </w:tc>
        <w:tc>
          <w:tcPr>
            <w:tcW w:w="0" w:type="auto"/>
            <w:tcBorders>
              <w:top w:val="none" w:sz="0" w:space="0" w:color="auto"/>
              <w:bottom w:val="none" w:sz="0" w:space="0" w:color="auto"/>
            </w:tcBorders>
            <w:vAlign w:val="bottom"/>
          </w:tcPr>
          <w:p w:rsidR="004023CC" w:rsidRPr="007C2D51" w:rsidRDefault="004023CC" w:rsidP="004E7755">
            <w:pPr>
              <w:jc w:val="right"/>
              <w:cnfStyle w:val="000000100000"/>
              <w:rPr>
                <w:rFonts w:cs="Calibri"/>
                <w:color w:val="000000"/>
              </w:rPr>
            </w:pPr>
            <w:r w:rsidRPr="007C2D51">
              <w:rPr>
                <w:rFonts w:cs="Calibri"/>
                <w:color w:val="000000"/>
              </w:rPr>
              <w:t>1,399,802</w:t>
            </w:r>
          </w:p>
        </w:tc>
        <w:tc>
          <w:tcPr>
            <w:tcW w:w="0" w:type="auto"/>
            <w:tcBorders>
              <w:top w:val="none" w:sz="0" w:space="0" w:color="auto"/>
              <w:bottom w:val="none" w:sz="0" w:space="0" w:color="auto"/>
            </w:tcBorders>
            <w:vAlign w:val="bottom"/>
          </w:tcPr>
          <w:p w:rsidR="004023CC" w:rsidRPr="007C2D51" w:rsidRDefault="004023CC" w:rsidP="004E7755">
            <w:pPr>
              <w:jc w:val="right"/>
              <w:cnfStyle w:val="000000100000"/>
              <w:rPr>
                <w:rFonts w:cs="Calibri"/>
                <w:color w:val="000000"/>
              </w:rPr>
            </w:pPr>
            <w:r w:rsidRPr="007C2D51">
              <w:rPr>
                <w:rFonts w:cs="Calibri"/>
                <w:color w:val="000000"/>
              </w:rPr>
              <w:t>3%</w:t>
            </w:r>
          </w:p>
        </w:tc>
        <w:tc>
          <w:tcPr>
            <w:tcW w:w="0" w:type="auto"/>
            <w:tcBorders>
              <w:top w:val="none" w:sz="0" w:space="0" w:color="auto"/>
              <w:bottom w:val="none" w:sz="0" w:space="0" w:color="auto"/>
            </w:tcBorders>
            <w:vAlign w:val="bottom"/>
          </w:tcPr>
          <w:p w:rsidR="004023CC" w:rsidRPr="007C2D51" w:rsidRDefault="004023CC" w:rsidP="004E7755">
            <w:pPr>
              <w:jc w:val="right"/>
              <w:cnfStyle w:val="000000100000"/>
              <w:rPr>
                <w:rFonts w:cs="Calibri"/>
                <w:color w:val="000000"/>
              </w:rPr>
            </w:pPr>
            <w:r w:rsidRPr="007C2D51">
              <w:rPr>
                <w:rFonts w:cs="Calibri"/>
                <w:color w:val="000000"/>
              </w:rPr>
              <w:t>672,293</w:t>
            </w:r>
          </w:p>
        </w:tc>
        <w:tc>
          <w:tcPr>
            <w:tcW w:w="0" w:type="auto"/>
            <w:tcBorders>
              <w:top w:val="none" w:sz="0" w:space="0" w:color="auto"/>
              <w:bottom w:val="none" w:sz="0" w:space="0" w:color="auto"/>
            </w:tcBorders>
            <w:vAlign w:val="bottom"/>
          </w:tcPr>
          <w:p w:rsidR="004023CC" w:rsidRPr="007C2D51" w:rsidRDefault="004023CC" w:rsidP="004E7755">
            <w:pPr>
              <w:jc w:val="right"/>
              <w:cnfStyle w:val="000000100000"/>
              <w:rPr>
                <w:rFonts w:cs="Calibri"/>
                <w:color w:val="000000"/>
              </w:rPr>
            </w:pPr>
            <w:r w:rsidRPr="007C2D51">
              <w:rPr>
                <w:rFonts w:cs="Calibri"/>
                <w:color w:val="000000"/>
              </w:rPr>
              <w:t>3%</w:t>
            </w:r>
          </w:p>
        </w:tc>
        <w:tc>
          <w:tcPr>
            <w:tcW w:w="0" w:type="auto"/>
            <w:tcBorders>
              <w:top w:val="none" w:sz="0" w:space="0" w:color="auto"/>
              <w:bottom w:val="none" w:sz="0" w:space="0" w:color="auto"/>
            </w:tcBorders>
            <w:vAlign w:val="bottom"/>
          </w:tcPr>
          <w:p w:rsidR="004023CC" w:rsidRPr="007C2D51" w:rsidRDefault="004023CC" w:rsidP="004E7755">
            <w:pPr>
              <w:jc w:val="right"/>
              <w:cnfStyle w:val="000000100000"/>
              <w:rPr>
                <w:rFonts w:cs="Calibri"/>
                <w:color w:val="000000"/>
              </w:rPr>
            </w:pPr>
            <w:r w:rsidRPr="007C2D51">
              <w:rPr>
                <w:rFonts w:cs="Calibri"/>
                <w:color w:val="000000"/>
              </w:rPr>
              <w:t>368,961</w:t>
            </w:r>
          </w:p>
        </w:tc>
        <w:tc>
          <w:tcPr>
            <w:tcW w:w="0" w:type="auto"/>
            <w:tcBorders>
              <w:top w:val="none" w:sz="0" w:space="0" w:color="auto"/>
              <w:bottom w:val="none" w:sz="0" w:space="0" w:color="auto"/>
              <w:right w:val="none" w:sz="0" w:space="0" w:color="auto"/>
            </w:tcBorders>
            <w:vAlign w:val="bottom"/>
          </w:tcPr>
          <w:p w:rsidR="004023CC" w:rsidRPr="007C2D51" w:rsidRDefault="004023CC" w:rsidP="004E7755">
            <w:pPr>
              <w:jc w:val="right"/>
              <w:cnfStyle w:val="000000100000"/>
              <w:rPr>
                <w:rFonts w:cs="Calibri"/>
                <w:color w:val="000000"/>
              </w:rPr>
            </w:pPr>
            <w:r w:rsidRPr="007C2D51">
              <w:rPr>
                <w:rFonts w:cs="Calibri"/>
                <w:color w:val="000000"/>
              </w:rPr>
              <w:t>2%</w:t>
            </w:r>
          </w:p>
        </w:tc>
      </w:tr>
      <w:tr w:rsidR="004023CC" w:rsidRPr="007C2D51" w:rsidTr="00F15767">
        <w:trPr>
          <w:jc w:val="center"/>
        </w:trPr>
        <w:tc>
          <w:tcPr>
            <w:cnfStyle w:val="001000000000"/>
            <w:tcW w:w="0" w:type="auto"/>
            <w:vAlign w:val="bottom"/>
          </w:tcPr>
          <w:p w:rsidR="004023CC" w:rsidRPr="007C2D51" w:rsidRDefault="004023CC" w:rsidP="004E7755">
            <w:r w:rsidRPr="007C2D51">
              <w:t>Total jobs</w:t>
            </w:r>
          </w:p>
        </w:tc>
        <w:tc>
          <w:tcPr>
            <w:tcW w:w="0" w:type="auto"/>
            <w:vAlign w:val="bottom"/>
          </w:tcPr>
          <w:p w:rsidR="004023CC" w:rsidRPr="007C2D51" w:rsidRDefault="004023CC" w:rsidP="004E7755">
            <w:pPr>
              <w:jc w:val="right"/>
              <w:cnfStyle w:val="000000000000"/>
              <w:rPr>
                <w:rFonts w:cs="Calibri"/>
                <w:b/>
                <w:color w:val="000000"/>
              </w:rPr>
            </w:pPr>
            <w:r w:rsidRPr="007C2D51">
              <w:rPr>
                <w:rFonts w:cs="Calibri"/>
                <w:b/>
                <w:color w:val="000000"/>
              </w:rPr>
              <w:t>53,648,352</w:t>
            </w:r>
          </w:p>
        </w:tc>
        <w:tc>
          <w:tcPr>
            <w:tcW w:w="0" w:type="auto"/>
            <w:vAlign w:val="bottom"/>
          </w:tcPr>
          <w:p w:rsidR="004023CC" w:rsidRPr="007C2D51" w:rsidRDefault="004023CC" w:rsidP="004E7755">
            <w:pPr>
              <w:jc w:val="right"/>
              <w:cnfStyle w:val="000000000000"/>
              <w:rPr>
                <w:rFonts w:cs="Calibri"/>
                <w:b/>
                <w:color w:val="000000"/>
              </w:rPr>
            </w:pPr>
            <w:r w:rsidRPr="007C2D51">
              <w:rPr>
                <w:rFonts w:cs="Calibri"/>
                <w:b/>
                <w:color w:val="000000"/>
              </w:rPr>
              <w:t>100%</w:t>
            </w:r>
          </w:p>
        </w:tc>
        <w:tc>
          <w:tcPr>
            <w:tcW w:w="0" w:type="auto"/>
            <w:vAlign w:val="bottom"/>
          </w:tcPr>
          <w:p w:rsidR="004023CC" w:rsidRPr="007C2D51" w:rsidRDefault="004023CC" w:rsidP="004E7755">
            <w:pPr>
              <w:jc w:val="right"/>
              <w:cnfStyle w:val="000000000000"/>
              <w:rPr>
                <w:rFonts w:cs="Calibri"/>
                <w:b/>
                <w:color w:val="000000"/>
              </w:rPr>
            </w:pPr>
            <w:r w:rsidRPr="007C2D51">
              <w:rPr>
                <w:rFonts w:cs="Calibri"/>
                <w:b/>
                <w:color w:val="000000"/>
              </w:rPr>
              <w:t>26,474,447</w:t>
            </w:r>
          </w:p>
        </w:tc>
        <w:tc>
          <w:tcPr>
            <w:tcW w:w="0" w:type="auto"/>
            <w:vAlign w:val="bottom"/>
          </w:tcPr>
          <w:p w:rsidR="004023CC" w:rsidRPr="007C2D51" w:rsidRDefault="004023CC" w:rsidP="004E7755">
            <w:pPr>
              <w:jc w:val="right"/>
              <w:cnfStyle w:val="000000000000"/>
              <w:rPr>
                <w:rFonts w:cs="Calibri"/>
                <w:b/>
                <w:color w:val="000000"/>
              </w:rPr>
            </w:pPr>
            <w:r w:rsidRPr="007C2D51">
              <w:rPr>
                <w:rFonts w:cs="Calibri"/>
                <w:b/>
                <w:color w:val="000000"/>
              </w:rPr>
              <w:t>100%</w:t>
            </w:r>
          </w:p>
        </w:tc>
        <w:tc>
          <w:tcPr>
            <w:tcW w:w="0" w:type="auto"/>
            <w:vAlign w:val="bottom"/>
          </w:tcPr>
          <w:p w:rsidR="004023CC" w:rsidRPr="007C2D51" w:rsidRDefault="004023CC" w:rsidP="004E7755">
            <w:pPr>
              <w:jc w:val="right"/>
              <w:cnfStyle w:val="000000000000"/>
              <w:rPr>
                <w:rFonts w:cs="Calibri"/>
                <w:b/>
                <w:color w:val="000000"/>
              </w:rPr>
            </w:pPr>
            <w:r w:rsidRPr="007C2D51">
              <w:rPr>
                <w:rFonts w:cs="Calibri"/>
                <w:b/>
                <w:color w:val="000000"/>
              </w:rPr>
              <w:t>15,923,575</w:t>
            </w:r>
          </w:p>
        </w:tc>
        <w:tc>
          <w:tcPr>
            <w:tcW w:w="0" w:type="auto"/>
            <w:vAlign w:val="bottom"/>
          </w:tcPr>
          <w:p w:rsidR="004023CC" w:rsidRPr="007C2D51" w:rsidRDefault="004023CC" w:rsidP="004E7755">
            <w:pPr>
              <w:jc w:val="right"/>
              <w:cnfStyle w:val="000000000000"/>
              <w:rPr>
                <w:rFonts w:cs="Calibri"/>
                <w:b/>
                <w:color w:val="000000"/>
              </w:rPr>
            </w:pPr>
            <w:r w:rsidRPr="007C2D51">
              <w:rPr>
                <w:rFonts w:cs="Calibri"/>
                <w:b/>
                <w:color w:val="000000"/>
              </w:rPr>
              <w:t>100%</w:t>
            </w:r>
          </w:p>
        </w:tc>
      </w:tr>
    </w:tbl>
    <w:p w:rsidR="004023CC" w:rsidRPr="007C2D51" w:rsidRDefault="004023CC" w:rsidP="004023CC">
      <w:pPr>
        <w:pStyle w:val="BodyText"/>
      </w:pPr>
    </w:p>
    <w:p w:rsidR="004023CC" w:rsidRPr="007C2D51" w:rsidRDefault="004023CC"/>
    <w:p w:rsidR="008A15CE" w:rsidRPr="007C2D51" w:rsidRDefault="00E735EC">
      <w:r w:rsidRPr="007C2D51">
        <w:br w:type="page"/>
      </w:r>
    </w:p>
    <w:p w:rsidR="008A15CE" w:rsidRPr="007C2D51" w:rsidRDefault="00A921AA" w:rsidP="005606E4">
      <w:pPr>
        <w:pStyle w:val="Heading1"/>
      </w:pPr>
      <w:bookmarkStart w:id="135" w:name="_Toc304965699"/>
      <w:r w:rsidRPr="007C2D51">
        <w:lastRenderedPageBreak/>
        <w:t xml:space="preserve">Primary </w:t>
      </w:r>
      <w:bookmarkEnd w:id="124"/>
      <w:r w:rsidRPr="007C2D51">
        <w:t>Goals</w:t>
      </w:r>
      <w:bookmarkEnd w:id="125"/>
      <w:bookmarkEnd w:id="135"/>
    </w:p>
    <w:p w:rsidR="00A921AA" w:rsidRPr="007C2D51" w:rsidRDefault="00A921AA" w:rsidP="00CE7C6F">
      <w:pPr>
        <w:pStyle w:val="BodyText"/>
      </w:pPr>
      <w:r w:rsidRPr="007C2D51">
        <w:t xml:space="preserve">As described in </w:t>
      </w:r>
      <w:r w:rsidR="003021F1" w:rsidRPr="007C2D51">
        <w:t>Chapter 1</w:t>
      </w:r>
      <w:r w:rsidRPr="007C2D51">
        <w:t xml:space="preserve">, the </w:t>
      </w:r>
      <w:r w:rsidR="00627624" w:rsidRPr="007C2D51">
        <w:t>JARC service matrix was</w:t>
      </w:r>
      <w:r w:rsidRPr="007C2D51">
        <w:t xml:space="preserve"> developed to provide a user-friendly way to summarize JARC</w:t>
      </w:r>
      <w:r w:rsidR="00AB19FA" w:rsidRPr="007C2D51">
        <w:t xml:space="preserve">-funded services based on service type and </w:t>
      </w:r>
      <w:r w:rsidRPr="007C2D51">
        <w:t>primary goal</w:t>
      </w:r>
      <w:r w:rsidR="00CE332B" w:rsidRPr="007C2D51">
        <w:t xml:space="preserve">.  </w:t>
      </w:r>
      <w:r w:rsidR="00AB19FA" w:rsidRPr="007C2D51">
        <w:t>The matrix allows FTA to extend its analysis beyond one-way trips and jobs accessed by also capturing program performance outputs from non-traditional services</w:t>
      </w:r>
      <w:r w:rsidR="00CE332B" w:rsidRPr="007C2D51">
        <w:t xml:space="preserve">.  </w:t>
      </w:r>
    </w:p>
    <w:p w:rsidR="002C5F35" w:rsidRPr="007C2D51" w:rsidRDefault="002C5F35" w:rsidP="002C5F35">
      <w:pPr>
        <w:pStyle w:val="Heading2"/>
      </w:pPr>
      <w:bookmarkStart w:id="136" w:name="_Toc304965700"/>
      <w:r w:rsidRPr="007C2D51">
        <w:t>Program Goals</w:t>
      </w:r>
      <w:bookmarkEnd w:id="136"/>
    </w:p>
    <w:p w:rsidR="00AB19FA" w:rsidRPr="007C2D51" w:rsidRDefault="007821DA" w:rsidP="00CE7C6F">
      <w:pPr>
        <w:pStyle w:val="BodyText"/>
      </w:pPr>
      <w:r w:rsidRPr="007C2D51">
        <w:t>Recipients were asked to indicate the primary goal for each JARC-supported service</w:t>
      </w:r>
      <w:r w:rsidR="00CE332B" w:rsidRPr="007C2D51">
        <w:t xml:space="preserve">.  </w:t>
      </w:r>
      <w:r w:rsidRPr="007C2D51">
        <w:t>Although many programs have multiple goals, for the purposes of this analysis, recipients were asked to select only one goal</w:t>
      </w:r>
      <w:r w:rsidR="00CE332B" w:rsidRPr="007C2D51">
        <w:t xml:space="preserve">.  </w:t>
      </w:r>
      <w:r w:rsidR="00AB19FA" w:rsidRPr="007C2D51">
        <w:t>The five goals are:</w:t>
      </w:r>
    </w:p>
    <w:p w:rsidR="00AB19FA" w:rsidRPr="007C2D51" w:rsidRDefault="00AB19FA" w:rsidP="00AB19FA">
      <w:pPr>
        <w:pStyle w:val="ListBullet"/>
      </w:pPr>
      <w:r w:rsidRPr="007C2D51">
        <w:t>Expanded geographic coverage</w:t>
      </w:r>
    </w:p>
    <w:p w:rsidR="00AB19FA" w:rsidRPr="007C2D51" w:rsidRDefault="00AB19FA" w:rsidP="00AB19FA">
      <w:pPr>
        <w:pStyle w:val="ListBullet"/>
      </w:pPr>
      <w:r w:rsidRPr="007C2D51">
        <w:t>Extended service hours or days</w:t>
      </w:r>
    </w:p>
    <w:p w:rsidR="00AB19FA" w:rsidRPr="007C2D51" w:rsidRDefault="00AB19FA" w:rsidP="00AB19FA">
      <w:pPr>
        <w:pStyle w:val="ListBullet"/>
      </w:pPr>
      <w:r w:rsidRPr="007C2D51">
        <w:t>Improved system capacity</w:t>
      </w:r>
    </w:p>
    <w:p w:rsidR="00AB19FA" w:rsidRPr="007C2D51" w:rsidRDefault="00AB19FA" w:rsidP="00AB19FA">
      <w:pPr>
        <w:pStyle w:val="ListBullet"/>
      </w:pPr>
      <w:r w:rsidRPr="007C2D51">
        <w:t>Improved access/connections</w:t>
      </w:r>
    </w:p>
    <w:p w:rsidR="00AB19FA" w:rsidRPr="007C2D51" w:rsidRDefault="00AB19FA" w:rsidP="00A921AA">
      <w:pPr>
        <w:pStyle w:val="ListBullet"/>
      </w:pPr>
      <w:r w:rsidRPr="007C2D51">
        <w:t>Improved customer knowledge</w:t>
      </w:r>
    </w:p>
    <w:p w:rsidR="007821DA" w:rsidRPr="007C2D51" w:rsidRDefault="007821DA" w:rsidP="00CE7C6F">
      <w:pPr>
        <w:pStyle w:val="BodyText"/>
      </w:pPr>
      <w:r w:rsidRPr="007C2D51">
        <w:t xml:space="preserve">When developing the matrix, FTA made certain assumptions about the relationship between service types and project goals, and </w:t>
      </w:r>
      <w:r w:rsidR="008F679A" w:rsidRPr="007C2D51">
        <w:t>not every combination was considered reasonable</w:t>
      </w:r>
      <w:r w:rsidR="00CE332B" w:rsidRPr="007C2D51">
        <w:t xml:space="preserve">.  </w:t>
      </w:r>
      <w:r w:rsidRPr="007C2D51">
        <w:t>For example, grantees reporting on mobility manager progra</w:t>
      </w:r>
      <w:r w:rsidR="00AB4FA7" w:rsidRPr="007C2D51">
        <w:t xml:space="preserve">ms were only allowed to select </w:t>
      </w:r>
      <w:r w:rsidR="00AB4FA7" w:rsidRPr="007C2D51">
        <w:rPr>
          <w:i/>
        </w:rPr>
        <w:t>improved access / connections</w:t>
      </w:r>
      <w:r w:rsidRPr="007C2D51">
        <w:t xml:space="preserve"> as a goal; the other choices were not available</w:t>
      </w:r>
      <w:r w:rsidR="00CE332B" w:rsidRPr="007C2D51">
        <w:t xml:space="preserve">.  </w:t>
      </w:r>
      <w:r w:rsidR="00AB4FA7" w:rsidRPr="007C2D51">
        <w:t>Cells that were not available for data entry a</w:t>
      </w:r>
      <w:r w:rsidRPr="007C2D51">
        <w:t xml:space="preserve">re </w:t>
      </w:r>
      <w:r w:rsidR="00AB4FA7" w:rsidRPr="007C2D51">
        <w:t>grayed out on the matrix tables in this chapter</w:t>
      </w:r>
      <w:r w:rsidR="00CE332B" w:rsidRPr="007C2D51">
        <w:t xml:space="preserve">.  .  </w:t>
      </w:r>
      <w:r w:rsidR="00960491" w:rsidRPr="007C2D51">
        <w:t>The following three tables show JARC-supported services in relation to the five goals</w:t>
      </w:r>
      <w:r w:rsidR="00CE332B" w:rsidRPr="007C2D51">
        <w:t xml:space="preserve">.  </w:t>
      </w:r>
      <w:r w:rsidR="00960491" w:rsidRPr="007C2D51">
        <w:t>Table 6-1 shows the number of services, Table 6-2 shows the percentage of by service type, and Table 6-3 shows the percentage by goal.</w:t>
      </w:r>
    </w:p>
    <w:p w:rsidR="00A921AA" w:rsidRPr="007C2D51" w:rsidRDefault="00A921AA" w:rsidP="003B7892">
      <w:pPr>
        <w:pStyle w:val="BodyText"/>
      </w:pPr>
      <w:r w:rsidRPr="007C2D51">
        <w:t>For FY 20</w:t>
      </w:r>
      <w:r w:rsidR="00EB4F2E" w:rsidRPr="007C2D51">
        <w:t>10</w:t>
      </w:r>
      <w:r w:rsidR="00AB4FA7" w:rsidRPr="007C2D51">
        <w:t xml:space="preserve">, the most commonly selected goals were </w:t>
      </w:r>
      <w:r w:rsidR="00F62661" w:rsidRPr="007C2D51">
        <w:rPr>
          <w:i/>
        </w:rPr>
        <w:t>expanded geographic coverage</w:t>
      </w:r>
      <w:r w:rsidR="00F62661" w:rsidRPr="007C2D51">
        <w:t xml:space="preserve"> (3</w:t>
      </w:r>
      <w:r w:rsidR="003B7892" w:rsidRPr="007C2D51">
        <w:t>0</w:t>
      </w:r>
      <w:r w:rsidR="00F62661" w:rsidRPr="007C2D51">
        <w:t>%)</w:t>
      </w:r>
      <w:r w:rsidR="00960491" w:rsidRPr="007C2D51">
        <w:t xml:space="preserve">, </w:t>
      </w:r>
      <w:r w:rsidR="00F62661" w:rsidRPr="007C2D51">
        <w:rPr>
          <w:i/>
        </w:rPr>
        <w:t>improved access/connections</w:t>
      </w:r>
      <w:r w:rsidR="00F62661" w:rsidRPr="007C2D51">
        <w:t xml:space="preserve"> (</w:t>
      </w:r>
      <w:r w:rsidR="003B7892" w:rsidRPr="007C2D51">
        <w:t>30</w:t>
      </w:r>
      <w:r w:rsidR="00F62661" w:rsidRPr="007C2D51">
        <w:t>%)</w:t>
      </w:r>
      <w:r w:rsidR="003B7892" w:rsidRPr="007C2D51">
        <w:t xml:space="preserve">, and </w:t>
      </w:r>
      <w:r w:rsidR="00234F67" w:rsidRPr="007C2D51">
        <w:rPr>
          <w:i/>
        </w:rPr>
        <w:t xml:space="preserve">extended service </w:t>
      </w:r>
      <w:r w:rsidR="00AB19FA" w:rsidRPr="007C2D51">
        <w:rPr>
          <w:i/>
        </w:rPr>
        <w:t>hours or days</w:t>
      </w:r>
      <w:r w:rsidR="00AB4FA7" w:rsidRPr="007C2D51">
        <w:rPr>
          <w:i/>
        </w:rPr>
        <w:t xml:space="preserve"> </w:t>
      </w:r>
      <w:r w:rsidR="00AB4FA7" w:rsidRPr="007C2D51">
        <w:t>(2</w:t>
      </w:r>
      <w:r w:rsidR="003B7892" w:rsidRPr="007C2D51">
        <w:t>1</w:t>
      </w:r>
      <w:r w:rsidR="00AB4FA7" w:rsidRPr="007C2D51">
        <w:t>%)</w:t>
      </w:r>
      <w:r w:rsidR="00CE332B" w:rsidRPr="007C2D51">
        <w:t xml:space="preserve">.  </w:t>
      </w:r>
      <w:r w:rsidR="00960491" w:rsidRPr="007C2D51">
        <w:t>Other major findings include:</w:t>
      </w:r>
    </w:p>
    <w:p w:rsidR="00A921AA" w:rsidRPr="007C2D51" w:rsidRDefault="00E213A2" w:rsidP="003B7892">
      <w:pPr>
        <w:pStyle w:val="ListBullet"/>
      </w:pPr>
      <w:r w:rsidRPr="007C2D51">
        <w:t xml:space="preserve">Fixed route services were </w:t>
      </w:r>
      <w:r w:rsidR="003B7892" w:rsidRPr="007C2D51">
        <w:t>most</w:t>
      </w:r>
      <w:r w:rsidRPr="007C2D51">
        <w:t xml:space="preserve"> likely to </w:t>
      </w:r>
      <w:r w:rsidR="00960491" w:rsidRPr="007C2D51">
        <w:t>provide</w:t>
      </w:r>
      <w:r w:rsidRPr="007C2D51">
        <w:t xml:space="preserve"> </w:t>
      </w:r>
      <w:r w:rsidRPr="007C2D51">
        <w:rPr>
          <w:i/>
        </w:rPr>
        <w:t>expand</w:t>
      </w:r>
      <w:r w:rsidR="00960491" w:rsidRPr="007C2D51">
        <w:rPr>
          <w:i/>
        </w:rPr>
        <w:t>ed</w:t>
      </w:r>
      <w:r w:rsidRPr="007C2D51">
        <w:rPr>
          <w:i/>
        </w:rPr>
        <w:t xml:space="preserve"> geographic coverage</w:t>
      </w:r>
      <w:r w:rsidRPr="007C2D51">
        <w:t xml:space="preserve"> (42%)</w:t>
      </w:r>
      <w:r w:rsidR="00762E44" w:rsidRPr="007C2D51">
        <w:t xml:space="preserve"> and </w:t>
      </w:r>
      <w:r w:rsidR="00762E44" w:rsidRPr="007C2D51">
        <w:rPr>
          <w:i/>
        </w:rPr>
        <w:t>extended service hours or days</w:t>
      </w:r>
      <w:r w:rsidR="00762E44" w:rsidRPr="007C2D51">
        <w:t xml:space="preserve"> (31%)</w:t>
      </w:r>
      <w:r w:rsidRPr="007C2D51">
        <w:t>.</w:t>
      </w:r>
    </w:p>
    <w:p w:rsidR="00960491" w:rsidRPr="007C2D51" w:rsidRDefault="00E213A2" w:rsidP="003B7892">
      <w:pPr>
        <w:pStyle w:val="ListBullet"/>
      </w:pPr>
      <w:r w:rsidRPr="007C2D51">
        <w:t xml:space="preserve">Demand response programs were </w:t>
      </w:r>
      <w:r w:rsidR="003B7892" w:rsidRPr="007C2D51">
        <w:t xml:space="preserve">almost equally likely to offer </w:t>
      </w:r>
      <w:r w:rsidRPr="007C2D51">
        <w:rPr>
          <w:i/>
        </w:rPr>
        <w:t>expanded geographic coverage</w:t>
      </w:r>
      <w:r w:rsidRPr="007C2D51">
        <w:t xml:space="preserve"> (</w:t>
      </w:r>
      <w:r w:rsidR="003B7892" w:rsidRPr="007C2D51">
        <w:t>30</w:t>
      </w:r>
      <w:r w:rsidRPr="007C2D51">
        <w:t>%)</w:t>
      </w:r>
      <w:r w:rsidR="00762E44" w:rsidRPr="007C2D51">
        <w:t>,</w:t>
      </w:r>
      <w:r w:rsidRPr="007C2D51">
        <w:t xml:space="preserve"> </w:t>
      </w:r>
      <w:r w:rsidRPr="007C2D51">
        <w:rPr>
          <w:i/>
        </w:rPr>
        <w:t xml:space="preserve">extended service </w:t>
      </w:r>
      <w:r w:rsidR="00960491" w:rsidRPr="007C2D51">
        <w:rPr>
          <w:i/>
        </w:rPr>
        <w:t>hours or day</w:t>
      </w:r>
      <w:r w:rsidR="00762E44" w:rsidRPr="007C2D51">
        <w:rPr>
          <w:i/>
        </w:rPr>
        <w:t>s</w:t>
      </w:r>
      <w:r w:rsidRPr="007C2D51">
        <w:t xml:space="preserve"> (2</w:t>
      </w:r>
      <w:r w:rsidR="003B7892" w:rsidRPr="007C2D51">
        <w:t>7</w:t>
      </w:r>
      <w:r w:rsidRPr="007C2D51">
        <w:t>%)</w:t>
      </w:r>
      <w:r w:rsidR="00762E44" w:rsidRPr="007C2D51">
        <w:t xml:space="preserve">, or </w:t>
      </w:r>
      <w:r w:rsidR="00762E44" w:rsidRPr="007C2D51">
        <w:rPr>
          <w:i/>
        </w:rPr>
        <w:t>improved access/connections</w:t>
      </w:r>
      <w:r w:rsidR="00762E44" w:rsidRPr="007C2D51">
        <w:t xml:space="preserve"> (24%)</w:t>
      </w:r>
      <w:r w:rsidR="008844B6" w:rsidRPr="007C2D51">
        <w:t>.</w:t>
      </w:r>
    </w:p>
    <w:p w:rsidR="00762E44" w:rsidRPr="007C2D51" w:rsidRDefault="003B7892" w:rsidP="00762E44">
      <w:pPr>
        <w:pStyle w:val="ListBullet"/>
      </w:pPr>
      <w:r w:rsidRPr="007C2D51">
        <w:t>Shuttles</w:t>
      </w:r>
      <w:r w:rsidR="00762E44" w:rsidRPr="007C2D51">
        <w:t xml:space="preserve"> were</w:t>
      </w:r>
      <w:r w:rsidRPr="007C2D51">
        <w:t xml:space="preserve"> most likely to select </w:t>
      </w:r>
      <w:r w:rsidRPr="007C2D51">
        <w:rPr>
          <w:i/>
        </w:rPr>
        <w:t>expanded geographic coverage</w:t>
      </w:r>
      <w:r w:rsidRPr="007C2D51">
        <w:t xml:space="preserve"> as the primary goal (5</w:t>
      </w:r>
      <w:r w:rsidR="00762E44" w:rsidRPr="007C2D51">
        <w:t>4</w:t>
      </w:r>
      <w:r w:rsidRPr="007C2D51">
        <w:t>%).</w:t>
      </w:r>
    </w:p>
    <w:p w:rsidR="00E213A2" w:rsidRPr="007C2D51" w:rsidRDefault="00E85B8F" w:rsidP="00E85B8F">
      <w:pPr>
        <w:pStyle w:val="ListBullet"/>
      </w:pPr>
      <w:r w:rsidRPr="007C2D51">
        <w:t>All programs obtaining v</w:t>
      </w:r>
      <w:r w:rsidR="00960491" w:rsidRPr="007C2D51">
        <w:t>ehicle</w:t>
      </w:r>
      <w:r w:rsidRPr="007C2D51">
        <w:t>s</w:t>
      </w:r>
      <w:r w:rsidR="00960491" w:rsidRPr="007C2D51">
        <w:t xml:space="preserve"> for </w:t>
      </w:r>
      <w:r w:rsidRPr="007C2D51">
        <w:t>transit agencies (100%) r</w:t>
      </w:r>
      <w:r w:rsidR="00960491" w:rsidRPr="007C2D51">
        <w:t xml:space="preserve">eported a primary goal of </w:t>
      </w:r>
      <w:r w:rsidR="00960491" w:rsidRPr="007C2D51">
        <w:rPr>
          <w:i/>
        </w:rPr>
        <w:t>improved system capacity</w:t>
      </w:r>
      <w:r w:rsidR="00CE332B" w:rsidRPr="007C2D51">
        <w:t xml:space="preserve">.  </w:t>
      </w:r>
    </w:p>
    <w:p w:rsidR="00E56671" w:rsidRPr="007C2D51" w:rsidRDefault="00E56671" w:rsidP="00E85B8F">
      <w:pPr>
        <w:pStyle w:val="ListBullet"/>
      </w:pPr>
      <w:r w:rsidRPr="007C2D51">
        <w:t>About 5</w:t>
      </w:r>
      <w:r w:rsidR="001933A5" w:rsidRPr="007C2D51">
        <w:t>4</w:t>
      </w:r>
      <w:r w:rsidRPr="007C2D51">
        <w:t xml:space="preserve">% of services with a primary goal of </w:t>
      </w:r>
      <w:r w:rsidRPr="007C2D51">
        <w:rPr>
          <w:i/>
        </w:rPr>
        <w:t>expanded geographic coverage</w:t>
      </w:r>
      <w:r w:rsidRPr="007C2D51">
        <w:t xml:space="preserve"> were fixed route and 2</w:t>
      </w:r>
      <w:r w:rsidR="001933A5" w:rsidRPr="007C2D51">
        <w:t>3</w:t>
      </w:r>
      <w:r w:rsidRPr="007C2D51">
        <w:t>% were demand response.</w:t>
      </w:r>
      <w:r w:rsidR="001933A5" w:rsidRPr="007C2D51">
        <w:t xml:space="preserve"> Services with a primary goal of </w:t>
      </w:r>
      <w:r w:rsidR="001933A5" w:rsidRPr="007C2D51">
        <w:rPr>
          <w:i/>
        </w:rPr>
        <w:t>extended service hours or days</w:t>
      </w:r>
      <w:r w:rsidR="001933A5" w:rsidRPr="007C2D51">
        <w:t xml:space="preserve"> showed a similar pattern</w:t>
      </w:r>
      <w:r w:rsidR="00603704" w:rsidRPr="007C2D51">
        <w:t>.</w:t>
      </w:r>
      <w:r w:rsidR="001933A5" w:rsidRPr="007C2D51">
        <w:t xml:space="preserve"> More than half were fixed route (57%)</w:t>
      </w:r>
      <w:r w:rsidR="00603704" w:rsidRPr="007C2D51">
        <w:t xml:space="preserve"> </w:t>
      </w:r>
      <w:r w:rsidR="001933A5" w:rsidRPr="007C2D51">
        <w:t>and 29% were dema</w:t>
      </w:r>
      <w:r w:rsidR="00603704" w:rsidRPr="007C2D51">
        <w:t>n</w:t>
      </w:r>
      <w:r w:rsidR="001933A5" w:rsidRPr="007C2D51">
        <w:t>d response.</w:t>
      </w:r>
    </w:p>
    <w:p w:rsidR="00602791" w:rsidRPr="007C2D51" w:rsidRDefault="00602791" w:rsidP="004F0E51">
      <w:pPr>
        <w:pStyle w:val="ListBullet"/>
      </w:pPr>
      <w:r w:rsidRPr="007C2D51">
        <w:t xml:space="preserve">The mix of programs with a primary goal of </w:t>
      </w:r>
      <w:r w:rsidRPr="007C2D51">
        <w:rPr>
          <w:i/>
        </w:rPr>
        <w:t>improved system capacity</w:t>
      </w:r>
      <w:r w:rsidRPr="007C2D51">
        <w:t xml:space="preserve"> included demand response (3</w:t>
      </w:r>
      <w:r w:rsidR="00603704" w:rsidRPr="007C2D51">
        <w:t>5</w:t>
      </w:r>
      <w:r w:rsidRPr="007C2D51">
        <w:t xml:space="preserve">%), </w:t>
      </w:r>
      <w:r w:rsidR="004F0E51" w:rsidRPr="007C2D51">
        <w:t>fixed route (2</w:t>
      </w:r>
      <w:r w:rsidR="00603704" w:rsidRPr="007C2D51">
        <w:t>7</w:t>
      </w:r>
      <w:r w:rsidR="004F0E51" w:rsidRPr="007C2D51">
        <w:t xml:space="preserve">%), and </w:t>
      </w:r>
      <w:r w:rsidRPr="007C2D51">
        <w:t>vehicle for agency (</w:t>
      </w:r>
      <w:r w:rsidR="004F0E51" w:rsidRPr="007C2D51">
        <w:t>12</w:t>
      </w:r>
      <w:r w:rsidRPr="007C2D51">
        <w:t>%)</w:t>
      </w:r>
      <w:r w:rsidR="00CE332B" w:rsidRPr="007C2D51">
        <w:t xml:space="preserve">.  </w:t>
      </w:r>
    </w:p>
    <w:p w:rsidR="00602791" w:rsidRPr="007C2D51" w:rsidRDefault="00602791" w:rsidP="004F0E51">
      <w:pPr>
        <w:pStyle w:val="ListBullet"/>
      </w:pPr>
      <w:r w:rsidRPr="007C2D51">
        <w:lastRenderedPageBreak/>
        <w:t xml:space="preserve">Programs providing </w:t>
      </w:r>
      <w:r w:rsidRPr="007C2D51">
        <w:rPr>
          <w:i/>
        </w:rPr>
        <w:t>improved access/connections</w:t>
      </w:r>
      <w:r w:rsidRPr="007C2D51">
        <w:t xml:space="preserve"> included fixed route (2</w:t>
      </w:r>
      <w:r w:rsidR="00603704" w:rsidRPr="007C2D51">
        <w:t>3</w:t>
      </w:r>
      <w:r w:rsidRPr="007C2D51">
        <w:t xml:space="preserve">%), </w:t>
      </w:r>
      <w:r w:rsidR="004F0E51" w:rsidRPr="007C2D51">
        <w:t>mobility manager (2</w:t>
      </w:r>
      <w:r w:rsidR="00603704" w:rsidRPr="007C2D51">
        <w:t>1</w:t>
      </w:r>
      <w:r w:rsidR="004F0E51" w:rsidRPr="007C2D51">
        <w:t xml:space="preserve">%), </w:t>
      </w:r>
      <w:r w:rsidRPr="007C2D51">
        <w:t>demand response (</w:t>
      </w:r>
      <w:r w:rsidR="004F0E51" w:rsidRPr="007C2D51">
        <w:t>18</w:t>
      </w:r>
      <w:r w:rsidRPr="007C2D51">
        <w:t>%), and vehicles for individuals (</w:t>
      </w:r>
      <w:r w:rsidR="00603704" w:rsidRPr="007C2D51">
        <w:t>10</w:t>
      </w:r>
      <w:r w:rsidRPr="007C2D51">
        <w:t>%)</w:t>
      </w:r>
      <w:r w:rsidR="00CE332B" w:rsidRPr="007C2D51">
        <w:t xml:space="preserve">.  </w:t>
      </w:r>
      <w:r w:rsidRPr="007C2D51">
        <w:t>Note that this was the only goal available for mobility manager services</w:t>
      </w:r>
      <w:r w:rsidR="00CE332B" w:rsidRPr="007C2D51">
        <w:t xml:space="preserve">.  </w:t>
      </w:r>
    </w:p>
    <w:p w:rsidR="004F0E51" w:rsidRPr="007C2D51" w:rsidRDefault="00602791" w:rsidP="004F0E51">
      <w:pPr>
        <w:pStyle w:val="ListBullet"/>
      </w:pPr>
      <w:r w:rsidRPr="007C2D51">
        <w:t xml:space="preserve">Virtually all of the programs with a primary goal of </w:t>
      </w:r>
      <w:r w:rsidRPr="007C2D51">
        <w:rPr>
          <w:i/>
        </w:rPr>
        <w:t>improved customer knowledge</w:t>
      </w:r>
      <w:r w:rsidRPr="007C2D51">
        <w:t xml:space="preserve"> were defined as information-based services</w:t>
      </w:r>
      <w:r w:rsidR="004F0E51" w:rsidRPr="007C2D51">
        <w:t>, including travel training (2</w:t>
      </w:r>
      <w:r w:rsidR="00603704" w:rsidRPr="007C2D51">
        <w:t>6</w:t>
      </w:r>
      <w:r w:rsidR="004F0E51" w:rsidRPr="007C2D51">
        <w:t>%), marketing materials (22%), group training (1</w:t>
      </w:r>
      <w:r w:rsidR="00603704" w:rsidRPr="007C2D51">
        <w:t>7</w:t>
      </w:r>
      <w:r w:rsidR="004F0E51" w:rsidRPr="007C2D51">
        <w:t>%), and one-stop centers (1</w:t>
      </w:r>
      <w:r w:rsidR="00603704" w:rsidRPr="007C2D51">
        <w:t>6</w:t>
      </w:r>
      <w:r w:rsidR="004F0E51" w:rsidRPr="007C2D51">
        <w:t xml:space="preserve">%). </w:t>
      </w:r>
      <w:r w:rsidR="00603704" w:rsidRPr="007C2D51">
        <w:t xml:space="preserve">This was the only goal available to most of the services in the information-based category. </w:t>
      </w:r>
      <w:r w:rsidR="004F0E51" w:rsidRPr="007C2D51">
        <w:t xml:space="preserve"> Planning studies made up 5% of the services with this primary goal. </w:t>
      </w:r>
    </w:p>
    <w:p w:rsidR="00BA32DE" w:rsidRPr="007C2D51" w:rsidRDefault="00022E2F" w:rsidP="00BD1ECA">
      <w:pPr>
        <w:pStyle w:val="BodyText"/>
      </w:pPr>
      <w:r>
        <w:pict>
          <v:shape id="_x0000_s1044" type="#_x0000_t65" style="position:absolute;margin-left:0;margin-top:6.2pt;width:210.35pt;height:154pt;z-index:-251574272;mso-position-horizontal:left;mso-position-horizontal-relative:margin" wrapcoords="-77 -105 -77 21811 19131 21811 19209 21811 20751 20125 21137 20125 21754 19071 21677 -105 -77 -105" fillcolor="white [3201]" strokecolor="#fed36b [1941]" strokeweight="1pt">
            <v:fill color2="#fee29c [1301]" focusposition="1" focussize="" focus="100%" type="gradient"/>
            <v:shadow on="t" type="perspective" color="#825c00 [1605]" opacity=".5" offset="1pt" offset2="-3pt"/>
            <v:textbox>
              <w:txbxContent>
                <w:p w:rsidR="00F15767" w:rsidRPr="00077DCE" w:rsidRDefault="00F15767">
                  <w:pPr>
                    <w:rPr>
                      <w:i/>
                    </w:rPr>
                  </w:pPr>
                  <w:r w:rsidRPr="00077DCE">
                    <w:rPr>
                      <w:i/>
                    </w:rPr>
                    <w:t>This transportation is the only option for low income job seekers and workers. Many have found employment or have been able to retain employment using Village Vans. The impact doubles because of the innovative Job Skills Program component which utilizes eligible volunteers to drive the vans.</w:t>
                  </w:r>
                </w:p>
                <w:p w:rsidR="00F15767" w:rsidRDefault="00F15767">
                  <w:r>
                    <w:t>Intercity Transit</w:t>
                  </w:r>
                  <w:r>
                    <w:br/>
                    <w:t>Washington State DOT</w:t>
                  </w:r>
                </w:p>
              </w:txbxContent>
            </v:textbox>
            <w10:wrap type="tight" anchorx="margin"/>
          </v:shape>
        </w:pict>
      </w:r>
      <w:r w:rsidR="00080494" w:rsidRPr="007C2D51">
        <w:t xml:space="preserve">Figure </w:t>
      </w:r>
      <w:r w:rsidR="00256968" w:rsidRPr="007C2D51">
        <w:t>6-1</w:t>
      </w:r>
      <w:r w:rsidR="00080494" w:rsidRPr="007C2D51">
        <w:t xml:space="preserve"> shows the trend </w:t>
      </w:r>
      <w:r w:rsidR="006E08F0" w:rsidRPr="007C2D51">
        <w:t>in program goals from FY 2007 through FY 20</w:t>
      </w:r>
      <w:r w:rsidR="00BA32DE" w:rsidRPr="007C2D51">
        <w:t>10</w:t>
      </w:r>
      <w:r w:rsidR="00CE332B" w:rsidRPr="007C2D51">
        <w:t xml:space="preserve">.  </w:t>
      </w:r>
      <w:r w:rsidR="00BA32DE" w:rsidRPr="007C2D51">
        <w:t xml:space="preserve">The percentage of programs reporting </w:t>
      </w:r>
      <w:r w:rsidR="00BA32DE" w:rsidRPr="007C2D51">
        <w:rPr>
          <w:i/>
        </w:rPr>
        <w:t>extended service hours or days</w:t>
      </w:r>
      <w:r w:rsidR="00BA32DE" w:rsidRPr="007C2D51">
        <w:t xml:space="preserve"> decreased from 29% in FY 2007 to 21% in FY 2009, while the shares for </w:t>
      </w:r>
      <w:r w:rsidR="00BA32DE" w:rsidRPr="007C2D51">
        <w:rPr>
          <w:i/>
        </w:rPr>
        <w:t>improved system capacity</w:t>
      </w:r>
      <w:r w:rsidR="00BA32DE" w:rsidRPr="007C2D51">
        <w:t xml:space="preserve"> and </w:t>
      </w:r>
      <w:r w:rsidR="00BA32DE" w:rsidRPr="007C2D51">
        <w:rPr>
          <w:i/>
        </w:rPr>
        <w:t>improved access/connections</w:t>
      </w:r>
      <w:r w:rsidR="00BA32DE" w:rsidRPr="007C2D51">
        <w:t xml:space="preserve"> increased. </w:t>
      </w:r>
    </w:p>
    <w:p w:rsidR="00080494" w:rsidRPr="007C2D51" w:rsidRDefault="006E08F0" w:rsidP="00BD1ECA">
      <w:pPr>
        <w:pStyle w:val="BodyText"/>
      </w:pPr>
      <w:r w:rsidRPr="007C2D51">
        <w:t xml:space="preserve">This shift likely reflects the increase in </w:t>
      </w:r>
      <w:r w:rsidR="00256968" w:rsidRPr="007C2D51">
        <w:t xml:space="preserve">information-based services </w:t>
      </w:r>
      <w:r w:rsidR="00BA32DE" w:rsidRPr="007C2D51">
        <w:t xml:space="preserve">and capital investments </w:t>
      </w:r>
      <w:r w:rsidR="00256968" w:rsidRPr="007C2D51">
        <w:t xml:space="preserve">and </w:t>
      </w:r>
      <w:r w:rsidR="00BA32DE" w:rsidRPr="007C2D51">
        <w:t xml:space="preserve">the corresponding </w:t>
      </w:r>
      <w:r w:rsidR="00256968" w:rsidRPr="007C2D51">
        <w:t>decrease in trip-based services during this period</w:t>
      </w:r>
      <w:r w:rsidR="00CE332B" w:rsidRPr="007C2D51">
        <w:t xml:space="preserve">.  </w:t>
      </w:r>
      <w:r w:rsidR="00256968" w:rsidRPr="007C2D51">
        <w:t xml:space="preserve">The goal </w:t>
      </w:r>
      <w:r w:rsidR="002C397C" w:rsidRPr="007C2D51">
        <w:rPr>
          <w:i/>
        </w:rPr>
        <w:t xml:space="preserve">extended </w:t>
      </w:r>
      <w:r w:rsidR="00256968" w:rsidRPr="007C2D51">
        <w:rPr>
          <w:i/>
        </w:rPr>
        <w:t>service hours or days</w:t>
      </w:r>
      <w:r w:rsidR="00256968" w:rsidRPr="007C2D51">
        <w:t xml:space="preserve"> was commonly associated with trip-based services, especially fixed route and demand response programs, so the decrease in services in these categories would likely show up in the distribution of goals</w:t>
      </w:r>
      <w:r w:rsidR="00CE332B" w:rsidRPr="007C2D51">
        <w:t xml:space="preserve">.  </w:t>
      </w:r>
      <w:r w:rsidR="00BA32DE" w:rsidRPr="007C2D51">
        <w:t xml:space="preserve">In addition, the number of service hours or days is finite, so systems may have reached </w:t>
      </w:r>
      <w:r w:rsidR="002C62A8" w:rsidRPr="007C2D51">
        <w:t xml:space="preserve">their limit with temporal expansion and turned to other types of improvements, such as better connections or more capacity. </w:t>
      </w:r>
      <w:r w:rsidR="00256968" w:rsidRPr="007C2D51">
        <w:t xml:space="preserve">Similarly, only one goal was associated with mobility managers – </w:t>
      </w:r>
      <w:r w:rsidR="00256968" w:rsidRPr="007C2D51">
        <w:rPr>
          <w:i/>
        </w:rPr>
        <w:t xml:space="preserve">improved </w:t>
      </w:r>
      <w:r w:rsidR="00BD1ECA" w:rsidRPr="007C2D51">
        <w:rPr>
          <w:i/>
        </w:rPr>
        <w:t>access/connections</w:t>
      </w:r>
      <w:r w:rsidR="00256968" w:rsidRPr="007C2D51">
        <w:t xml:space="preserve"> – so this change is consistent with the expanded representation of information-based programs</w:t>
      </w:r>
      <w:r w:rsidR="009C4FC6" w:rsidRPr="007C2D51">
        <w:t xml:space="preserve"> in FY 20</w:t>
      </w:r>
      <w:r w:rsidR="002C62A8" w:rsidRPr="007C2D51">
        <w:t>10</w:t>
      </w:r>
      <w:r w:rsidR="00CE332B" w:rsidRPr="007C2D51">
        <w:t xml:space="preserve">.  </w:t>
      </w:r>
    </w:p>
    <w:p w:rsidR="00CD4165" w:rsidRPr="007C2D51" w:rsidRDefault="00CD4165" w:rsidP="00CD4165">
      <w:pPr>
        <w:pStyle w:val="ListBullet"/>
      </w:pPr>
      <w:r w:rsidRPr="007C2D51">
        <w:br w:type="page"/>
      </w:r>
    </w:p>
    <w:p w:rsidR="00CD4165" w:rsidRPr="007C2D51" w:rsidRDefault="00BA32DE" w:rsidP="00080494">
      <w:pPr>
        <w:pStyle w:val="Caption"/>
      </w:pPr>
      <w:r w:rsidRPr="007C2D51">
        <w:rPr>
          <w:noProof/>
        </w:rPr>
        <w:lastRenderedPageBreak/>
        <w:drawing>
          <wp:anchor distT="0" distB="0" distL="114300" distR="114300" simplePos="0" relativeHeight="251736064" behindDoc="0" locked="0" layoutInCell="1" allowOverlap="1">
            <wp:simplePos x="0" y="0"/>
            <wp:positionH relativeFrom="margin">
              <wp:align>center</wp:align>
            </wp:positionH>
            <wp:positionV relativeFrom="paragraph">
              <wp:posOffset>0</wp:posOffset>
            </wp:positionV>
            <wp:extent cx="5467350" cy="4848225"/>
            <wp:effectExtent l="0" t="0" r="0" b="0"/>
            <wp:wrapTopAndBottom/>
            <wp:docPr id="1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p>
    <w:p w:rsidR="00080494" w:rsidRPr="007C2D51" w:rsidRDefault="00080494" w:rsidP="00080494">
      <w:pPr>
        <w:pStyle w:val="Caption"/>
        <w:rPr>
          <w:color w:val="3891A7" w:themeColor="accent1"/>
          <w:sz w:val="28"/>
          <w:szCs w:val="24"/>
        </w:rPr>
      </w:pPr>
      <w:bookmarkStart w:id="137" w:name="_Toc304967494"/>
      <w:r w:rsidRPr="007C2D51">
        <w:t xml:space="preserve">Figure </w:t>
      </w:r>
      <w:fldSimple w:instr=" STYLEREF 1 \s ">
        <w:r w:rsidR="00F35ACC">
          <w:rPr>
            <w:noProof/>
          </w:rPr>
          <w:t>6</w:t>
        </w:r>
      </w:fldSimple>
      <w:r w:rsidR="0009713B" w:rsidRPr="007C2D51">
        <w:noBreakHyphen/>
      </w:r>
      <w:fldSimple w:instr=" SEQ Figure \* ARABIC \s 1 ">
        <w:r w:rsidR="00F35ACC">
          <w:rPr>
            <w:noProof/>
          </w:rPr>
          <w:t>1</w:t>
        </w:r>
      </w:fldSimple>
      <w:r w:rsidR="00FF4E6D" w:rsidRPr="007C2D51">
        <w:br/>
      </w:r>
      <w:r w:rsidRPr="007C2D51">
        <w:t>JARC Services by Primary Goal</w:t>
      </w:r>
      <w:r w:rsidR="00FF4E6D" w:rsidRPr="007C2D51">
        <w:br/>
      </w:r>
      <w:r w:rsidRPr="007C2D51">
        <w:t xml:space="preserve">FY 2007 – FY </w:t>
      </w:r>
      <w:r w:rsidR="00D56012" w:rsidRPr="007C2D51">
        <w:t>2010</w:t>
      </w:r>
      <w:bookmarkEnd w:id="137"/>
      <w:r w:rsidRPr="007C2D51">
        <w:br w:type="page"/>
      </w:r>
    </w:p>
    <w:p w:rsidR="00CD4165" w:rsidRPr="007C2D51" w:rsidRDefault="00CD4165" w:rsidP="00CD4165">
      <w:pPr>
        <w:pStyle w:val="Heading2"/>
      </w:pPr>
      <w:bookmarkStart w:id="138" w:name="_Toc304965701"/>
      <w:r w:rsidRPr="007C2D51">
        <w:lastRenderedPageBreak/>
        <w:t>Program Outputs</w:t>
      </w:r>
      <w:bookmarkEnd w:id="138"/>
    </w:p>
    <w:p w:rsidR="00CD4165" w:rsidRPr="007C2D51" w:rsidRDefault="00CD4165" w:rsidP="00D84D48">
      <w:pPr>
        <w:pStyle w:val="BodyText"/>
      </w:pPr>
      <w:r w:rsidRPr="007C2D51">
        <w:t>The JARC service matrix was designed to enable FTA to capture information about the range of benefits that JARC-funded services provide – benefits that extend beyond the traditional measure of one-way trips</w:t>
      </w:r>
      <w:r w:rsidR="00CE332B" w:rsidRPr="007C2D51">
        <w:t xml:space="preserve">.  </w:t>
      </w:r>
      <w:r w:rsidRPr="007C2D51">
        <w:t>Grant recipients were asked to report on the outputs of their JARC-funded services</w:t>
      </w:r>
      <w:r w:rsidR="00CE332B" w:rsidRPr="007C2D51">
        <w:t xml:space="preserve">.  </w:t>
      </w:r>
      <w:r w:rsidRPr="007C2D51">
        <w:t>These measures were developed by FTA, in consultation with the Project Advisory Committee, and included the following:</w:t>
      </w:r>
    </w:p>
    <w:p w:rsidR="00CD4165" w:rsidRPr="007C2D51" w:rsidRDefault="00CD4165" w:rsidP="00D84D48">
      <w:pPr>
        <w:pStyle w:val="ListBullet"/>
      </w:pPr>
      <w:r w:rsidRPr="007C2D51">
        <w:rPr>
          <w:b/>
        </w:rPr>
        <w:t>One-way trips</w:t>
      </w:r>
      <w:r w:rsidRPr="007C2D51">
        <w:t xml:space="preserve"> – All trip-based services</w:t>
      </w:r>
      <w:r w:rsidR="00DF7A9D" w:rsidRPr="007C2D51">
        <w:t xml:space="preserve"> and programs that generated trips, like mobility managers and vehicle </w:t>
      </w:r>
      <w:r w:rsidR="007C2D51" w:rsidRPr="007C2D51">
        <w:t>acquisition</w:t>
      </w:r>
      <w:r w:rsidR="00DF7A9D" w:rsidRPr="007C2D51">
        <w:t xml:space="preserve"> programs,</w:t>
      </w:r>
      <w:r w:rsidRPr="007C2D51">
        <w:t xml:space="preserve"> were asked to report one-way trips</w:t>
      </w:r>
      <w:r w:rsidR="00CE332B" w:rsidRPr="007C2D51">
        <w:t xml:space="preserve">.  </w:t>
      </w:r>
    </w:p>
    <w:p w:rsidR="00CD4165" w:rsidRPr="007C2D51" w:rsidRDefault="00CD4165" w:rsidP="00D84D48">
      <w:pPr>
        <w:pStyle w:val="ListBullet"/>
      </w:pPr>
      <w:r w:rsidRPr="007C2D51">
        <w:rPr>
          <w:b/>
        </w:rPr>
        <w:t>Customer contacts</w:t>
      </w:r>
      <w:r w:rsidRPr="007C2D51">
        <w:t xml:space="preserve"> – Mobility managers, along with other information-based programs that worked with individuals on a one-on-one basis, reported customer contacts</w:t>
      </w:r>
      <w:r w:rsidR="00CE332B" w:rsidRPr="007C2D51">
        <w:t xml:space="preserve">.  </w:t>
      </w:r>
    </w:p>
    <w:p w:rsidR="00CD4165" w:rsidRPr="007C2D51" w:rsidRDefault="00CD4165" w:rsidP="00D84D48">
      <w:pPr>
        <w:pStyle w:val="ListBullet"/>
      </w:pPr>
      <w:r w:rsidRPr="007C2D51">
        <w:rPr>
          <w:b/>
        </w:rPr>
        <w:t>Customers served</w:t>
      </w:r>
      <w:r w:rsidRPr="007C2D51">
        <w:t xml:space="preserve"> – This measure applied to web-based programs and was designed to reflect site visitors or similar analytic measures of Internet activity.</w:t>
      </w:r>
    </w:p>
    <w:p w:rsidR="00CD4165" w:rsidRPr="007C2D51" w:rsidRDefault="00CD4165" w:rsidP="00D84D48">
      <w:pPr>
        <w:pStyle w:val="ListBullet"/>
      </w:pPr>
      <w:r w:rsidRPr="007C2D51">
        <w:rPr>
          <w:b/>
        </w:rPr>
        <w:t xml:space="preserve">People trained </w:t>
      </w:r>
      <w:r w:rsidRPr="007C2D51">
        <w:t>– Programs that provide training, either to individuals or to groups, were asked to estimate the number of individuals who received training.</w:t>
      </w:r>
    </w:p>
    <w:p w:rsidR="00CD4165" w:rsidRPr="007C2D51" w:rsidRDefault="00CD4165" w:rsidP="00D84D48">
      <w:pPr>
        <w:pStyle w:val="ListBullet"/>
      </w:pPr>
      <w:r w:rsidRPr="007C2D51">
        <w:rPr>
          <w:b/>
        </w:rPr>
        <w:t xml:space="preserve">Materials distributed </w:t>
      </w:r>
      <w:r w:rsidRPr="007C2D51">
        <w:t>– Programs that developed marketing brochures or similar products were asked to provide a brief description of their materials.</w:t>
      </w:r>
    </w:p>
    <w:p w:rsidR="00CD4165" w:rsidRPr="007C2D51" w:rsidRDefault="00CD4165" w:rsidP="00D84D48">
      <w:pPr>
        <w:pStyle w:val="ListBullet"/>
      </w:pPr>
      <w:r w:rsidRPr="007C2D51">
        <w:rPr>
          <w:b/>
        </w:rPr>
        <w:t>Vehicles added</w:t>
      </w:r>
      <w:r w:rsidRPr="007C2D51">
        <w:t xml:space="preserve"> – This measure applied to programs that acquired vehicles for agencies or individuals.</w:t>
      </w:r>
    </w:p>
    <w:p w:rsidR="00CD4165" w:rsidRPr="007C2D51" w:rsidRDefault="00CD4165" w:rsidP="00D84D48">
      <w:pPr>
        <w:pStyle w:val="BodyText"/>
      </w:pPr>
      <w:r w:rsidRPr="007C2D51">
        <w:t>For programs that were less easy to categorize, like ITS-related hardware or software improvements</w:t>
      </w:r>
      <w:r w:rsidR="00D84D48" w:rsidRPr="007C2D51">
        <w:t xml:space="preserve"> or feasibility studies</w:t>
      </w:r>
      <w:r w:rsidRPr="007C2D51">
        <w:t>, recipients provided a brief description of the program or investment</w:t>
      </w:r>
      <w:r w:rsidR="00CE332B" w:rsidRPr="007C2D51">
        <w:t xml:space="preserve">.  </w:t>
      </w:r>
    </w:p>
    <w:p w:rsidR="00CD4165" w:rsidRPr="007C2D51" w:rsidRDefault="00CD4165" w:rsidP="00D84D48">
      <w:pPr>
        <w:pStyle w:val="BodyText"/>
      </w:pPr>
      <w:r w:rsidRPr="007C2D51">
        <w:t>Table 6-4 shows the distribution of program outputs by service type and primary goals</w:t>
      </w:r>
      <w:r w:rsidR="00CE332B" w:rsidRPr="007C2D51">
        <w:t xml:space="preserve">.  </w:t>
      </w:r>
      <w:r w:rsidRPr="007C2D51">
        <w:t>Highlights are presented in the following sections.</w:t>
      </w:r>
    </w:p>
    <w:p w:rsidR="00825F5C" w:rsidRPr="007C2D51" w:rsidRDefault="00825F5C" w:rsidP="00D84D48">
      <w:pPr>
        <w:pStyle w:val="Heading3"/>
      </w:pPr>
      <w:r w:rsidRPr="007C2D51">
        <w:t>Trip-based services</w:t>
      </w:r>
    </w:p>
    <w:p w:rsidR="00825F5C" w:rsidRPr="007C2D51" w:rsidRDefault="00825F5C" w:rsidP="00D84D48">
      <w:pPr>
        <w:pStyle w:val="BodyText"/>
      </w:pPr>
      <w:r w:rsidRPr="007C2D51">
        <w:t xml:space="preserve">As reported in Chapter </w:t>
      </w:r>
      <w:r w:rsidR="00E56671" w:rsidRPr="007C2D51">
        <w:t>4</w:t>
      </w:r>
      <w:r w:rsidRPr="007C2D51">
        <w:t xml:space="preserve">, JARC-supported trip-based services generated </w:t>
      </w:r>
      <w:r w:rsidR="00D84D48" w:rsidRPr="007C2D51">
        <w:t>55</w:t>
      </w:r>
      <w:r w:rsidR="00E56671" w:rsidRPr="007C2D51">
        <w:t>.3</w:t>
      </w:r>
      <w:r w:rsidRPr="007C2D51">
        <w:t xml:space="preserve"> million one-way trips in FY 20</w:t>
      </w:r>
      <w:r w:rsidR="00D84D48" w:rsidRPr="007C2D51">
        <w:t>10</w:t>
      </w:r>
      <w:r w:rsidR="00CE332B" w:rsidRPr="007C2D51">
        <w:t xml:space="preserve">.  </w:t>
      </w:r>
      <w:r w:rsidR="00E91485" w:rsidRPr="007C2D51">
        <w:t>Table 6-4 shows the breakdown by service type and goal</w:t>
      </w:r>
      <w:r w:rsidR="00DB5E03" w:rsidRPr="007C2D51">
        <w:t>:</w:t>
      </w:r>
    </w:p>
    <w:p w:rsidR="0038798C" w:rsidRPr="007C2D51" w:rsidRDefault="0038798C" w:rsidP="004A6BFF">
      <w:pPr>
        <w:pStyle w:val="ListBullet"/>
      </w:pPr>
      <w:r w:rsidRPr="007C2D51">
        <w:t xml:space="preserve">One-way trips from fixed-route services dominated the reporting and were most likely to be associated with programs providing </w:t>
      </w:r>
      <w:r w:rsidR="004A6BFF" w:rsidRPr="007C2D51">
        <w:rPr>
          <w:i/>
        </w:rPr>
        <w:t>expanded geographic coverage</w:t>
      </w:r>
      <w:r w:rsidR="004A6BFF" w:rsidRPr="007C2D51">
        <w:t xml:space="preserve"> (15 million), </w:t>
      </w:r>
      <w:r w:rsidR="004A6BFF" w:rsidRPr="007C2D51">
        <w:rPr>
          <w:i/>
        </w:rPr>
        <w:t>improved access/connections</w:t>
      </w:r>
      <w:r w:rsidR="004A6BFF" w:rsidRPr="007C2D51">
        <w:t xml:space="preserve"> (12 million), and improved system capacity (11.8 million). </w:t>
      </w:r>
    </w:p>
    <w:p w:rsidR="004A6BFF" w:rsidRPr="007C2D51" w:rsidRDefault="004A6BFF" w:rsidP="004A6BFF">
      <w:pPr>
        <w:pStyle w:val="ListBullet"/>
      </w:pPr>
      <w:r w:rsidRPr="007C2D51">
        <w:t xml:space="preserve">Demand response services were almost equally likely to provide </w:t>
      </w:r>
      <w:r w:rsidRPr="007C2D51">
        <w:rPr>
          <w:i/>
        </w:rPr>
        <w:t>expanded geographic coverage</w:t>
      </w:r>
      <w:r w:rsidRPr="007C2D51">
        <w:t xml:space="preserve">, </w:t>
      </w:r>
      <w:r w:rsidRPr="007C2D51">
        <w:rPr>
          <w:i/>
        </w:rPr>
        <w:t>improved system capacity</w:t>
      </w:r>
      <w:r w:rsidRPr="007C2D51">
        <w:t xml:space="preserve">, and </w:t>
      </w:r>
      <w:r w:rsidRPr="007C2D51">
        <w:rPr>
          <w:i/>
        </w:rPr>
        <w:t>extended service hours or days</w:t>
      </w:r>
      <w:r w:rsidRPr="007C2D51">
        <w:t xml:space="preserve">. Demand response services generated more than 800,000 trips in each of these categories. </w:t>
      </w:r>
    </w:p>
    <w:p w:rsidR="00DB5E03" w:rsidRPr="007C2D51" w:rsidRDefault="0038798C" w:rsidP="004A6BFF">
      <w:pPr>
        <w:pStyle w:val="ListBullet"/>
      </w:pPr>
      <w:r w:rsidRPr="007C2D51">
        <w:t xml:space="preserve">Flexible routes were most likely to provide </w:t>
      </w:r>
      <w:r w:rsidRPr="007C2D51">
        <w:rPr>
          <w:i/>
        </w:rPr>
        <w:t>expanded geographic coverage</w:t>
      </w:r>
      <w:r w:rsidRPr="007C2D51">
        <w:t xml:space="preserve">, with </w:t>
      </w:r>
      <w:r w:rsidR="004A6BFF" w:rsidRPr="007C2D51">
        <w:t xml:space="preserve">more than 780,000 trips associated with this goal. </w:t>
      </w:r>
      <w:r w:rsidR="00CE332B" w:rsidRPr="007C2D51">
        <w:t xml:space="preserve"> </w:t>
      </w:r>
    </w:p>
    <w:p w:rsidR="00825F5C" w:rsidRPr="007C2D51" w:rsidRDefault="00825F5C" w:rsidP="004A6BFF">
      <w:pPr>
        <w:pStyle w:val="Heading3"/>
      </w:pPr>
      <w:r w:rsidRPr="007C2D51">
        <w:t>Information-based services</w:t>
      </w:r>
    </w:p>
    <w:p w:rsidR="006253FA" w:rsidRPr="007C2D51" w:rsidRDefault="006253FA" w:rsidP="004A6BFF">
      <w:pPr>
        <w:pStyle w:val="BodyText"/>
      </w:pPr>
      <w:r w:rsidRPr="007C2D51">
        <w:t>This category included a broad mix of programs, from mobility managers to Internet-based information</w:t>
      </w:r>
      <w:r w:rsidR="00CE332B" w:rsidRPr="007C2D51">
        <w:t xml:space="preserve">.  </w:t>
      </w:r>
      <w:r w:rsidRPr="007C2D51">
        <w:t>Some of the major findings:</w:t>
      </w:r>
    </w:p>
    <w:p w:rsidR="006253FA" w:rsidRPr="007C2D51" w:rsidRDefault="00391E61" w:rsidP="00C63D01">
      <w:pPr>
        <w:pStyle w:val="ListBullet"/>
      </w:pPr>
      <w:r w:rsidRPr="007C2D51">
        <w:lastRenderedPageBreak/>
        <w:t xml:space="preserve">Mobility managers generated </w:t>
      </w:r>
      <w:r w:rsidR="00892115" w:rsidRPr="007C2D51">
        <w:t>over</w:t>
      </w:r>
      <w:r w:rsidRPr="007C2D51">
        <w:t xml:space="preserve"> </w:t>
      </w:r>
      <w:r w:rsidR="00C63D01" w:rsidRPr="007C2D51">
        <w:t>3</w:t>
      </w:r>
      <w:r w:rsidRPr="007C2D51">
        <w:t>75,000 one-way trips and initiated</w:t>
      </w:r>
      <w:r w:rsidR="00C63D01" w:rsidRPr="007C2D51">
        <w:t xml:space="preserve"> more than 350,000 </w:t>
      </w:r>
      <w:r w:rsidRPr="007C2D51">
        <w:t>customer contacts</w:t>
      </w:r>
      <w:r w:rsidR="00CE332B" w:rsidRPr="007C2D51">
        <w:t xml:space="preserve">.  </w:t>
      </w:r>
    </w:p>
    <w:p w:rsidR="00B643C9" w:rsidRPr="007C2D51" w:rsidRDefault="00C63D01" w:rsidP="00C63D01">
      <w:pPr>
        <w:pStyle w:val="ListBullet"/>
      </w:pPr>
      <w:r w:rsidRPr="007C2D51">
        <w:t>Internet-based programs received more than 125,000 visits.</w:t>
      </w:r>
    </w:p>
    <w:p w:rsidR="00B643C9" w:rsidRPr="007C2D51" w:rsidRDefault="00C63D01" w:rsidP="00C63D01">
      <w:pPr>
        <w:pStyle w:val="ListBullet"/>
      </w:pPr>
      <w:r w:rsidRPr="007C2D51">
        <w:t xml:space="preserve">Almost 3,300 people participated in group travel resource training and 3,600 received </w:t>
      </w:r>
      <w:r w:rsidR="00B643C9" w:rsidRPr="007C2D51">
        <w:t>one-on-one transit training</w:t>
      </w:r>
      <w:r w:rsidR="00C74FD3" w:rsidRPr="007C2D51">
        <w:t>.</w:t>
      </w:r>
    </w:p>
    <w:p w:rsidR="00A121A9" w:rsidRPr="007C2D51" w:rsidRDefault="00A121A9" w:rsidP="00A121A9">
      <w:pPr>
        <w:pStyle w:val="BodyText"/>
      </w:pPr>
      <w:r w:rsidRPr="007C2D51">
        <w:t xml:space="preserve">Grant recipients reporting mobility manager programs had the option to report one-way trips with the service component of their program (e.g., demand response service).  Therefore, the trip numbers associated with mobility managers may understate the impacts of those investments.  </w:t>
      </w:r>
    </w:p>
    <w:p w:rsidR="00825F5C" w:rsidRPr="007C2D51" w:rsidRDefault="00825F5C" w:rsidP="00ED6F19">
      <w:pPr>
        <w:pStyle w:val="Heading3"/>
      </w:pPr>
      <w:r w:rsidRPr="007C2D51">
        <w:t>Capital investment programs</w:t>
      </w:r>
    </w:p>
    <w:p w:rsidR="00825F5C" w:rsidRPr="007C2D51" w:rsidRDefault="006253FA" w:rsidP="00ED6F19">
      <w:pPr>
        <w:pStyle w:val="BodyText"/>
      </w:pPr>
      <w:r w:rsidRPr="007C2D51">
        <w:t xml:space="preserve">This category included </w:t>
      </w:r>
      <w:r w:rsidR="00892115" w:rsidRPr="007C2D51">
        <w:t>programs providing</w:t>
      </w:r>
      <w:r w:rsidRPr="007C2D51">
        <w:t xml:space="preserve"> transit vehicles for agencies, vehicles for vanpool programs, autos for individuals</w:t>
      </w:r>
      <w:r w:rsidR="00386173" w:rsidRPr="007C2D51">
        <w:t>, and car-sharing services</w:t>
      </w:r>
      <w:r w:rsidR="00CE332B" w:rsidRPr="007C2D51">
        <w:t xml:space="preserve">.  </w:t>
      </w:r>
      <w:r w:rsidRPr="007C2D51">
        <w:t>Highlights included:</w:t>
      </w:r>
    </w:p>
    <w:p w:rsidR="006253FA" w:rsidRPr="007C2D51" w:rsidRDefault="00C74FD3" w:rsidP="00ED6F19">
      <w:pPr>
        <w:pStyle w:val="ListBullet"/>
      </w:pPr>
      <w:r w:rsidRPr="007C2D51">
        <w:t xml:space="preserve">Agencies added </w:t>
      </w:r>
      <w:r w:rsidR="00ED6F19" w:rsidRPr="007C2D51">
        <w:t xml:space="preserve">almost 50 </w:t>
      </w:r>
      <w:r w:rsidR="00E251A9" w:rsidRPr="007C2D51">
        <w:t>vehicles, which</w:t>
      </w:r>
      <w:r w:rsidR="00ED6F19" w:rsidRPr="007C2D51">
        <w:t xml:space="preserve"> </w:t>
      </w:r>
      <w:r w:rsidRPr="007C2D51">
        <w:t xml:space="preserve">generated more than </w:t>
      </w:r>
      <w:r w:rsidR="00ED6F19" w:rsidRPr="007C2D51">
        <w:t>112</w:t>
      </w:r>
      <w:r w:rsidRPr="007C2D51">
        <w:t>,000 one-way trips</w:t>
      </w:r>
      <w:r w:rsidR="00CE332B" w:rsidRPr="007C2D51">
        <w:t xml:space="preserve">.  </w:t>
      </w:r>
      <w:r w:rsidR="00ED6F19" w:rsidRPr="007C2D51">
        <w:t>About 70%</w:t>
      </w:r>
      <w:r w:rsidR="00386173" w:rsidRPr="007C2D51">
        <w:t xml:space="preserve"> of the </w:t>
      </w:r>
      <w:r w:rsidR="00ED6F19" w:rsidRPr="007C2D51">
        <w:t xml:space="preserve">trips were associated with </w:t>
      </w:r>
      <w:r w:rsidR="00386173" w:rsidRPr="007C2D51">
        <w:t xml:space="preserve">programs designed to </w:t>
      </w:r>
      <w:r w:rsidR="00386173" w:rsidRPr="007C2D51">
        <w:rPr>
          <w:i/>
        </w:rPr>
        <w:t xml:space="preserve">improve </w:t>
      </w:r>
      <w:r w:rsidR="00ED6F19" w:rsidRPr="007C2D51">
        <w:rPr>
          <w:i/>
        </w:rPr>
        <w:t>access / connections</w:t>
      </w:r>
      <w:r w:rsidR="00386173" w:rsidRPr="007C2D51">
        <w:t>.</w:t>
      </w:r>
    </w:p>
    <w:p w:rsidR="00C74FD3" w:rsidRPr="007C2D51" w:rsidRDefault="00C74FD3" w:rsidP="00A121A9">
      <w:pPr>
        <w:pStyle w:val="ListBullet"/>
      </w:pPr>
      <w:r w:rsidRPr="007C2D51">
        <w:t xml:space="preserve">Grant recipients provided </w:t>
      </w:r>
      <w:r w:rsidR="002A0000" w:rsidRPr="007C2D51">
        <w:t xml:space="preserve">almost 1,700 </w:t>
      </w:r>
      <w:r w:rsidRPr="007C2D51">
        <w:t xml:space="preserve">car loans to individuals, which generated more than </w:t>
      </w:r>
      <w:r w:rsidR="002A0000" w:rsidRPr="007C2D51">
        <w:t>265</w:t>
      </w:r>
      <w:r w:rsidRPr="007C2D51">
        <w:t>,000 one-way trips.</w:t>
      </w:r>
    </w:p>
    <w:p w:rsidR="00C74FD3" w:rsidRPr="007C2D51" w:rsidRDefault="00C74FD3" w:rsidP="00A121A9">
      <w:pPr>
        <w:pStyle w:val="ListBullet"/>
      </w:pPr>
      <w:r w:rsidRPr="007C2D51">
        <w:t xml:space="preserve">ITS-related improvements included </w:t>
      </w:r>
      <w:r w:rsidR="002A0000" w:rsidRPr="007C2D51">
        <w:t>call center upgrades, scheduling software, and automated annun</w:t>
      </w:r>
      <w:r w:rsidR="00AC637B" w:rsidRPr="007C2D51">
        <w:t>c</w:t>
      </w:r>
      <w:r w:rsidR="002A0000" w:rsidRPr="007C2D51">
        <w:t xml:space="preserve">iators. </w:t>
      </w:r>
    </w:p>
    <w:p w:rsidR="00C74FD3" w:rsidRPr="007C2D51" w:rsidRDefault="00C74FD3" w:rsidP="00A121A9">
      <w:pPr>
        <w:pStyle w:val="ListBullet"/>
      </w:pPr>
      <w:r w:rsidRPr="007C2D51">
        <w:t xml:space="preserve">Other capital improvements included bicycle distribution and </w:t>
      </w:r>
      <w:r w:rsidR="002A0000" w:rsidRPr="007C2D51">
        <w:t>route sign</w:t>
      </w:r>
      <w:r w:rsidRPr="007C2D51">
        <w:t xml:space="preserve"> </w:t>
      </w:r>
      <w:r w:rsidR="00AD6A6C" w:rsidRPr="007C2D51">
        <w:t>improvements</w:t>
      </w:r>
      <w:r w:rsidR="00CE332B" w:rsidRPr="007C2D51">
        <w:t xml:space="preserve">.  </w:t>
      </w:r>
    </w:p>
    <w:p w:rsidR="00C74FD3" w:rsidRPr="007C2D51" w:rsidRDefault="00C74FD3" w:rsidP="00A121A9">
      <w:pPr>
        <w:pStyle w:val="BodyText"/>
      </w:pPr>
      <w:r w:rsidRPr="007C2D51">
        <w:t>Grant recipients that used JARC funding to purchase agency vehicles had two options for reporting one-way trips</w:t>
      </w:r>
      <w:r w:rsidR="00CE332B" w:rsidRPr="007C2D51">
        <w:t xml:space="preserve">.  </w:t>
      </w:r>
      <w:r w:rsidRPr="007C2D51">
        <w:t>Some categorized the trip information as part of the capital project; others reported the service component separately, for example as a demand-response or fixed route service</w:t>
      </w:r>
      <w:r w:rsidR="00CE332B" w:rsidRPr="007C2D51">
        <w:t xml:space="preserve">.  </w:t>
      </w:r>
      <w:r w:rsidR="00386173" w:rsidRPr="007C2D51">
        <w:t>Accordingly, the trip numbers associated with capital vehicle purchases</w:t>
      </w:r>
      <w:r w:rsidR="00E5476B" w:rsidRPr="007C2D51">
        <w:t xml:space="preserve"> understate the impacts of those investments</w:t>
      </w:r>
      <w:r w:rsidR="00CE332B" w:rsidRPr="007C2D51">
        <w:t xml:space="preserve">.  </w:t>
      </w:r>
    </w:p>
    <w:p w:rsidR="00ED6F19" w:rsidRPr="007C2D51" w:rsidRDefault="00ED6F19" w:rsidP="007C54DC">
      <w:pPr>
        <w:pStyle w:val="Heading3"/>
      </w:pPr>
      <w:r w:rsidRPr="007C2D51">
        <w:t>Planning studies</w:t>
      </w:r>
    </w:p>
    <w:p w:rsidR="00ED6F19" w:rsidRPr="007C2D51" w:rsidRDefault="00ED6F19" w:rsidP="007C54DC">
      <w:pPr>
        <w:pStyle w:val="BodyText"/>
      </w:pPr>
      <w:r w:rsidRPr="007C2D51">
        <w:t xml:space="preserve">This category was added for FY 2010 and </w:t>
      </w:r>
      <w:r w:rsidR="007C54DC" w:rsidRPr="007C2D51">
        <w:t>grantees reported 11 programs, including community mobility studies and needs assessments</w:t>
      </w:r>
      <w:r w:rsidRPr="007C2D51">
        <w:t>.</w:t>
      </w:r>
    </w:p>
    <w:p w:rsidR="007272EF" w:rsidRPr="007C2D51" w:rsidRDefault="007272EF" w:rsidP="00CE7C6F">
      <w:pPr>
        <w:pStyle w:val="BodyText"/>
      </w:pPr>
      <w:r w:rsidRPr="007C2D51">
        <w:br w:type="page"/>
      </w:r>
    </w:p>
    <w:tbl>
      <w:tblPr>
        <w:tblStyle w:val="LightList-Accent6"/>
        <w:tblpPr w:leftFromText="180" w:rightFromText="180" w:vertAnchor="page" w:horzAnchor="margin" w:tblpY="2248"/>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80"/>
        <w:gridCol w:w="1296"/>
        <w:gridCol w:w="1296"/>
        <w:gridCol w:w="1296"/>
        <w:gridCol w:w="1296"/>
        <w:gridCol w:w="1296"/>
      </w:tblGrid>
      <w:tr w:rsidR="00A63037" w:rsidRPr="007C2D51" w:rsidTr="00F15767">
        <w:trPr>
          <w:cnfStyle w:val="100000000000"/>
          <w:trHeight w:val="300"/>
        </w:trPr>
        <w:tc>
          <w:tcPr>
            <w:cnfStyle w:val="001000000000"/>
            <w:tcW w:w="2880" w:type="dxa"/>
            <w:noWrap/>
            <w:vAlign w:val="bottom"/>
          </w:tcPr>
          <w:p w:rsidR="00A63037" w:rsidRPr="007C2D51" w:rsidRDefault="00A63037" w:rsidP="00A63037">
            <w:pPr>
              <w:jc w:val="right"/>
            </w:pPr>
            <w:bookmarkStart w:id="139" w:name="_Toc242869965"/>
            <w:bookmarkStart w:id="140" w:name="_Toc244658136"/>
          </w:p>
        </w:tc>
        <w:tc>
          <w:tcPr>
            <w:tcW w:w="6480" w:type="dxa"/>
            <w:gridSpan w:val="5"/>
            <w:noWrap/>
            <w:vAlign w:val="bottom"/>
          </w:tcPr>
          <w:p w:rsidR="00A63037" w:rsidRPr="007C2D51" w:rsidRDefault="00A63037" w:rsidP="00A63037">
            <w:pPr>
              <w:jc w:val="center"/>
              <w:cnfStyle w:val="100000000000"/>
            </w:pPr>
            <w:r w:rsidRPr="007C2D51">
              <w:t>Primary Goal</w:t>
            </w:r>
          </w:p>
        </w:tc>
      </w:tr>
      <w:tr w:rsidR="00A63037" w:rsidRPr="007C2D51" w:rsidTr="00F15767">
        <w:trPr>
          <w:cnfStyle w:val="000000100000"/>
          <w:trHeight w:val="300"/>
        </w:trPr>
        <w:tc>
          <w:tcPr>
            <w:cnfStyle w:val="001000000000"/>
            <w:tcW w:w="2880" w:type="dxa"/>
            <w:tcBorders>
              <w:top w:val="none" w:sz="0" w:space="0" w:color="auto"/>
              <w:left w:val="none" w:sz="0" w:space="0" w:color="auto"/>
              <w:bottom w:val="none" w:sz="0" w:space="0" w:color="auto"/>
            </w:tcBorders>
            <w:noWrap/>
            <w:vAlign w:val="bottom"/>
          </w:tcPr>
          <w:p w:rsidR="00A63037" w:rsidRPr="007C2D51" w:rsidRDefault="00A63037" w:rsidP="000904D9">
            <w:r w:rsidRPr="007C2D51">
              <w:t>Service Type</w:t>
            </w:r>
          </w:p>
        </w:tc>
        <w:tc>
          <w:tcPr>
            <w:tcW w:w="1296" w:type="dxa"/>
            <w:tcBorders>
              <w:top w:val="none" w:sz="0" w:space="0" w:color="auto"/>
              <w:bottom w:val="none" w:sz="0" w:space="0" w:color="auto"/>
            </w:tcBorders>
            <w:noWrap/>
            <w:vAlign w:val="bottom"/>
          </w:tcPr>
          <w:p w:rsidR="00A63037" w:rsidRPr="007C2D51" w:rsidRDefault="00A63037" w:rsidP="00A63037">
            <w:pPr>
              <w:jc w:val="center"/>
              <w:cnfStyle w:val="000000100000"/>
            </w:pPr>
            <w:r w:rsidRPr="007C2D51">
              <w:t>(A)</w:t>
            </w:r>
            <w:r w:rsidRPr="007C2D51">
              <w:br/>
              <w:t>Expanded geographic coverage</w:t>
            </w:r>
          </w:p>
        </w:tc>
        <w:tc>
          <w:tcPr>
            <w:tcW w:w="1296" w:type="dxa"/>
            <w:tcBorders>
              <w:top w:val="none" w:sz="0" w:space="0" w:color="auto"/>
              <w:bottom w:val="none" w:sz="0" w:space="0" w:color="auto"/>
            </w:tcBorders>
            <w:noWrap/>
            <w:vAlign w:val="bottom"/>
          </w:tcPr>
          <w:p w:rsidR="00A63037" w:rsidRPr="007C2D51" w:rsidRDefault="00A63037" w:rsidP="00A63037">
            <w:pPr>
              <w:jc w:val="center"/>
              <w:cnfStyle w:val="000000100000"/>
            </w:pPr>
            <w:r w:rsidRPr="007C2D51">
              <w:t>(B)</w:t>
            </w:r>
            <w:r w:rsidRPr="007C2D51">
              <w:br/>
              <w:t>Extended hours/days of service</w:t>
            </w:r>
          </w:p>
        </w:tc>
        <w:tc>
          <w:tcPr>
            <w:tcW w:w="1296" w:type="dxa"/>
            <w:tcBorders>
              <w:top w:val="none" w:sz="0" w:space="0" w:color="auto"/>
              <w:bottom w:val="none" w:sz="0" w:space="0" w:color="auto"/>
            </w:tcBorders>
            <w:noWrap/>
            <w:vAlign w:val="bottom"/>
          </w:tcPr>
          <w:p w:rsidR="00A63037" w:rsidRPr="007C2D51" w:rsidRDefault="00A63037" w:rsidP="00A63037">
            <w:pPr>
              <w:jc w:val="center"/>
              <w:cnfStyle w:val="000000100000"/>
            </w:pPr>
            <w:r w:rsidRPr="007C2D51">
              <w:t>(C)</w:t>
            </w:r>
            <w:r w:rsidRPr="007C2D51">
              <w:br/>
              <w:t>Improved system capacity</w:t>
            </w:r>
          </w:p>
        </w:tc>
        <w:tc>
          <w:tcPr>
            <w:tcW w:w="1296" w:type="dxa"/>
            <w:tcBorders>
              <w:top w:val="none" w:sz="0" w:space="0" w:color="auto"/>
              <w:bottom w:val="none" w:sz="0" w:space="0" w:color="auto"/>
            </w:tcBorders>
            <w:noWrap/>
            <w:vAlign w:val="bottom"/>
          </w:tcPr>
          <w:p w:rsidR="00A63037" w:rsidRPr="007C2D51" w:rsidRDefault="00A63037" w:rsidP="00A63037">
            <w:pPr>
              <w:jc w:val="center"/>
              <w:cnfStyle w:val="000000100000"/>
            </w:pPr>
            <w:r w:rsidRPr="007C2D51">
              <w:t>(D)</w:t>
            </w:r>
            <w:r w:rsidRPr="007C2D51">
              <w:br/>
              <w:t>Improved access/</w:t>
            </w:r>
          </w:p>
          <w:p w:rsidR="00A63037" w:rsidRPr="007C2D51" w:rsidRDefault="00A63037" w:rsidP="00A63037">
            <w:pPr>
              <w:jc w:val="center"/>
              <w:cnfStyle w:val="000000100000"/>
            </w:pPr>
            <w:r w:rsidRPr="007C2D51">
              <w:t>connections</w:t>
            </w:r>
          </w:p>
        </w:tc>
        <w:tc>
          <w:tcPr>
            <w:tcW w:w="1296" w:type="dxa"/>
            <w:tcBorders>
              <w:top w:val="none" w:sz="0" w:space="0" w:color="auto"/>
              <w:bottom w:val="none" w:sz="0" w:space="0" w:color="auto"/>
              <w:right w:val="none" w:sz="0" w:space="0" w:color="auto"/>
            </w:tcBorders>
            <w:noWrap/>
            <w:vAlign w:val="bottom"/>
          </w:tcPr>
          <w:p w:rsidR="00A63037" w:rsidRPr="007C2D51" w:rsidRDefault="00A63037" w:rsidP="00A63037">
            <w:pPr>
              <w:jc w:val="center"/>
              <w:cnfStyle w:val="000000100000"/>
            </w:pPr>
            <w:r w:rsidRPr="007C2D51">
              <w:t>(E)</w:t>
            </w:r>
            <w:r w:rsidRPr="007C2D51">
              <w:br/>
              <w:t>Improved customer knowledge</w:t>
            </w:r>
          </w:p>
        </w:tc>
      </w:tr>
      <w:tr w:rsidR="000904D9" w:rsidRPr="007C2D51" w:rsidTr="00F15767">
        <w:trPr>
          <w:trHeight w:val="300"/>
        </w:trPr>
        <w:tc>
          <w:tcPr>
            <w:cnfStyle w:val="001000000000"/>
            <w:tcW w:w="2880" w:type="dxa"/>
            <w:shd w:val="clear" w:color="auto" w:fill="475A8D" w:themeFill="accent6"/>
            <w:noWrap/>
            <w:vAlign w:val="bottom"/>
          </w:tcPr>
          <w:p w:rsidR="000904D9" w:rsidRPr="007C2D51" w:rsidRDefault="000904D9" w:rsidP="000904D9">
            <w:pPr>
              <w:rPr>
                <w:color w:val="FFFFFF" w:themeColor="background1"/>
              </w:rPr>
            </w:pPr>
            <w:r w:rsidRPr="007C2D51">
              <w:rPr>
                <w:color w:val="FFFFFF" w:themeColor="background1"/>
              </w:rPr>
              <w:t>I.  Trip-Based</w:t>
            </w:r>
          </w:p>
        </w:tc>
        <w:tc>
          <w:tcPr>
            <w:tcW w:w="1296" w:type="dxa"/>
            <w:shd w:val="clear" w:color="auto" w:fill="475A8D" w:themeFill="accent6"/>
            <w:noWrap/>
            <w:vAlign w:val="bottom"/>
          </w:tcPr>
          <w:p w:rsidR="000904D9" w:rsidRPr="007C2D51" w:rsidRDefault="000904D9" w:rsidP="000904D9">
            <w:pPr>
              <w:jc w:val="right"/>
              <w:cnfStyle w:val="000000000000"/>
              <w:rPr>
                <w:rFonts w:cs="Calibri"/>
                <w:b/>
                <w:bCs/>
                <w:color w:val="FFFFFF" w:themeColor="background1"/>
              </w:rPr>
            </w:pPr>
            <w:r w:rsidRPr="007C2D51">
              <w:rPr>
                <w:rFonts w:cs="Calibri"/>
                <w:b/>
                <w:bCs/>
                <w:color w:val="FFFFFF" w:themeColor="background1"/>
              </w:rPr>
              <w:t>292</w:t>
            </w:r>
          </w:p>
        </w:tc>
        <w:tc>
          <w:tcPr>
            <w:tcW w:w="1296" w:type="dxa"/>
            <w:shd w:val="clear" w:color="auto" w:fill="475A8D" w:themeFill="accent6"/>
            <w:noWrap/>
            <w:vAlign w:val="bottom"/>
          </w:tcPr>
          <w:p w:rsidR="000904D9" w:rsidRPr="007C2D51" w:rsidRDefault="000904D9" w:rsidP="000904D9">
            <w:pPr>
              <w:jc w:val="right"/>
              <w:cnfStyle w:val="000000000000"/>
              <w:rPr>
                <w:rFonts w:cs="Calibri"/>
                <w:b/>
                <w:bCs/>
                <w:color w:val="FFFFFF" w:themeColor="background1"/>
              </w:rPr>
            </w:pPr>
            <w:r w:rsidRPr="007C2D51">
              <w:rPr>
                <w:rFonts w:cs="Calibri"/>
                <w:b/>
                <w:bCs/>
                <w:color w:val="FFFFFF" w:themeColor="background1"/>
              </w:rPr>
              <w:t>212</w:t>
            </w:r>
          </w:p>
        </w:tc>
        <w:tc>
          <w:tcPr>
            <w:tcW w:w="1296" w:type="dxa"/>
            <w:shd w:val="clear" w:color="auto" w:fill="475A8D" w:themeFill="accent6"/>
            <w:noWrap/>
            <w:vAlign w:val="bottom"/>
          </w:tcPr>
          <w:p w:rsidR="000904D9" w:rsidRPr="007C2D51" w:rsidRDefault="000904D9" w:rsidP="000904D9">
            <w:pPr>
              <w:jc w:val="right"/>
              <w:cnfStyle w:val="000000000000"/>
              <w:rPr>
                <w:rFonts w:cs="Calibri"/>
                <w:b/>
                <w:bCs/>
                <w:color w:val="FFFFFF" w:themeColor="background1"/>
              </w:rPr>
            </w:pPr>
            <w:r w:rsidRPr="007C2D51">
              <w:rPr>
                <w:rFonts w:cs="Calibri"/>
                <w:b/>
                <w:bCs/>
                <w:color w:val="FFFFFF" w:themeColor="background1"/>
              </w:rPr>
              <w:t>110</w:t>
            </w:r>
          </w:p>
        </w:tc>
        <w:tc>
          <w:tcPr>
            <w:tcW w:w="1296" w:type="dxa"/>
            <w:shd w:val="clear" w:color="auto" w:fill="475A8D" w:themeFill="accent6"/>
            <w:noWrap/>
            <w:vAlign w:val="bottom"/>
          </w:tcPr>
          <w:p w:rsidR="000904D9" w:rsidRPr="007C2D51" w:rsidRDefault="000904D9" w:rsidP="000904D9">
            <w:pPr>
              <w:jc w:val="right"/>
              <w:cnfStyle w:val="000000000000"/>
              <w:rPr>
                <w:rFonts w:cs="Calibri"/>
                <w:b/>
                <w:bCs/>
                <w:color w:val="FFFFFF" w:themeColor="background1"/>
              </w:rPr>
            </w:pPr>
            <w:r w:rsidRPr="007C2D51">
              <w:rPr>
                <w:rFonts w:cs="Calibri"/>
                <w:b/>
                <w:bCs/>
                <w:color w:val="FFFFFF" w:themeColor="background1"/>
              </w:rPr>
              <w:t>199</w:t>
            </w:r>
          </w:p>
        </w:tc>
        <w:tc>
          <w:tcPr>
            <w:tcW w:w="1296" w:type="dxa"/>
            <w:shd w:val="clear" w:color="auto" w:fill="475A8D" w:themeFill="accent6"/>
            <w:noWrap/>
            <w:vAlign w:val="bottom"/>
          </w:tcPr>
          <w:p w:rsidR="000904D9" w:rsidRPr="007C2D51" w:rsidRDefault="004C47C2" w:rsidP="000904D9">
            <w:pPr>
              <w:jc w:val="right"/>
              <w:cnfStyle w:val="000000000000"/>
              <w:rPr>
                <w:b/>
                <w:color w:val="FFFFFF" w:themeColor="background1"/>
              </w:rPr>
            </w:pPr>
            <w:r w:rsidRPr="007C2D51">
              <w:rPr>
                <w:b/>
                <w:color w:val="FFFFFF" w:themeColor="background1"/>
              </w:rPr>
              <w:t>0</w:t>
            </w:r>
          </w:p>
        </w:tc>
      </w:tr>
      <w:tr w:rsidR="000904D9" w:rsidRPr="007C2D51" w:rsidTr="00F15767">
        <w:trPr>
          <w:cnfStyle w:val="000000100000"/>
          <w:trHeight w:val="300"/>
        </w:trPr>
        <w:tc>
          <w:tcPr>
            <w:cnfStyle w:val="001000000000"/>
            <w:tcW w:w="2880" w:type="dxa"/>
            <w:tcBorders>
              <w:top w:val="none" w:sz="0" w:space="0" w:color="auto"/>
              <w:left w:val="none" w:sz="0" w:space="0" w:color="auto"/>
              <w:bottom w:val="none" w:sz="0" w:space="0" w:color="auto"/>
            </w:tcBorders>
            <w:noWrap/>
            <w:vAlign w:val="bottom"/>
          </w:tcPr>
          <w:p w:rsidR="000904D9" w:rsidRPr="007C2D51" w:rsidRDefault="000904D9" w:rsidP="00526171">
            <w:pPr>
              <w:pStyle w:val="ListParagraph"/>
              <w:numPr>
                <w:ilvl w:val="0"/>
                <w:numId w:val="9"/>
              </w:numPr>
              <w:ind w:left="432"/>
            </w:pPr>
            <w:r w:rsidRPr="007C2D51">
              <w:t>Fixed route</w:t>
            </w:r>
          </w:p>
        </w:tc>
        <w:tc>
          <w:tcPr>
            <w:tcW w:w="1296" w:type="dxa"/>
            <w:tcBorders>
              <w:top w:val="none" w:sz="0" w:space="0" w:color="auto"/>
              <w:bottom w:val="none" w:sz="0" w:space="0" w:color="auto"/>
            </w:tcBorders>
            <w:noWrap/>
            <w:vAlign w:val="bottom"/>
          </w:tcPr>
          <w:p w:rsidR="000904D9" w:rsidRPr="007C2D51" w:rsidRDefault="000904D9" w:rsidP="000904D9">
            <w:pPr>
              <w:jc w:val="right"/>
              <w:cnfStyle w:val="000000100000"/>
              <w:rPr>
                <w:rFonts w:cs="Calibri"/>
                <w:color w:val="000000"/>
              </w:rPr>
            </w:pPr>
            <w:r w:rsidRPr="007C2D51">
              <w:rPr>
                <w:rFonts w:cs="Calibri"/>
                <w:color w:val="000000"/>
              </w:rPr>
              <w:t>167</w:t>
            </w:r>
          </w:p>
        </w:tc>
        <w:tc>
          <w:tcPr>
            <w:tcW w:w="1296" w:type="dxa"/>
            <w:tcBorders>
              <w:top w:val="none" w:sz="0" w:space="0" w:color="auto"/>
              <w:bottom w:val="none" w:sz="0" w:space="0" w:color="auto"/>
            </w:tcBorders>
            <w:noWrap/>
            <w:vAlign w:val="bottom"/>
          </w:tcPr>
          <w:p w:rsidR="000904D9" w:rsidRPr="007C2D51" w:rsidRDefault="000904D9" w:rsidP="000904D9">
            <w:pPr>
              <w:jc w:val="right"/>
              <w:cnfStyle w:val="000000100000"/>
              <w:rPr>
                <w:rFonts w:cs="Calibri"/>
                <w:color w:val="000000"/>
              </w:rPr>
            </w:pPr>
            <w:r w:rsidRPr="007C2D51">
              <w:rPr>
                <w:rFonts w:cs="Calibri"/>
                <w:color w:val="000000"/>
              </w:rPr>
              <w:t>124</w:t>
            </w:r>
          </w:p>
        </w:tc>
        <w:tc>
          <w:tcPr>
            <w:tcW w:w="1296" w:type="dxa"/>
            <w:tcBorders>
              <w:top w:val="none" w:sz="0" w:space="0" w:color="auto"/>
              <w:bottom w:val="none" w:sz="0" w:space="0" w:color="auto"/>
            </w:tcBorders>
            <w:noWrap/>
            <w:vAlign w:val="bottom"/>
          </w:tcPr>
          <w:p w:rsidR="000904D9" w:rsidRPr="007C2D51" w:rsidRDefault="000904D9" w:rsidP="000904D9">
            <w:pPr>
              <w:jc w:val="right"/>
              <w:cnfStyle w:val="000000100000"/>
              <w:rPr>
                <w:rFonts w:cs="Calibri"/>
                <w:color w:val="000000"/>
              </w:rPr>
            </w:pPr>
            <w:r w:rsidRPr="007C2D51">
              <w:rPr>
                <w:rFonts w:cs="Calibri"/>
                <w:color w:val="000000"/>
              </w:rPr>
              <w:t>36</w:t>
            </w:r>
          </w:p>
        </w:tc>
        <w:tc>
          <w:tcPr>
            <w:tcW w:w="1296" w:type="dxa"/>
            <w:tcBorders>
              <w:top w:val="none" w:sz="0" w:space="0" w:color="auto"/>
              <w:bottom w:val="none" w:sz="0" w:space="0" w:color="auto"/>
            </w:tcBorders>
            <w:noWrap/>
            <w:vAlign w:val="bottom"/>
          </w:tcPr>
          <w:p w:rsidR="000904D9" w:rsidRPr="007C2D51" w:rsidRDefault="000904D9" w:rsidP="000904D9">
            <w:pPr>
              <w:jc w:val="right"/>
              <w:cnfStyle w:val="000000100000"/>
              <w:rPr>
                <w:rFonts w:cs="Calibri"/>
                <w:color w:val="000000"/>
              </w:rPr>
            </w:pPr>
            <w:r w:rsidRPr="007C2D51">
              <w:rPr>
                <w:rFonts w:cs="Calibri"/>
                <w:color w:val="000000"/>
              </w:rPr>
              <w:t>70</w:t>
            </w:r>
          </w:p>
        </w:tc>
        <w:tc>
          <w:tcPr>
            <w:tcW w:w="1296" w:type="dxa"/>
            <w:tcBorders>
              <w:top w:val="none" w:sz="0" w:space="0" w:color="auto"/>
              <w:bottom w:val="none" w:sz="0" w:space="0" w:color="auto"/>
              <w:right w:val="none" w:sz="0" w:space="0" w:color="auto"/>
            </w:tcBorders>
            <w:shd w:val="clear" w:color="auto" w:fill="D9D9D9" w:themeFill="background1" w:themeFillShade="D9"/>
            <w:noWrap/>
            <w:vAlign w:val="bottom"/>
          </w:tcPr>
          <w:p w:rsidR="000904D9" w:rsidRPr="007C2D51" w:rsidRDefault="000904D9" w:rsidP="000904D9">
            <w:pPr>
              <w:jc w:val="right"/>
              <w:cnfStyle w:val="000000100000"/>
            </w:pPr>
          </w:p>
        </w:tc>
      </w:tr>
      <w:tr w:rsidR="000904D9" w:rsidRPr="007C2D51" w:rsidTr="00F15767">
        <w:trPr>
          <w:trHeight w:val="300"/>
        </w:trPr>
        <w:tc>
          <w:tcPr>
            <w:cnfStyle w:val="001000000000"/>
            <w:tcW w:w="2880" w:type="dxa"/>
            <w:noWrap/>
            <w:vAlign w:val="bottom"/>
          </w:tcPr>
          <w:p w:rsidR="000904D9" w:rsidRPr="007C2D51" w:rsidRDefault="000904D9" w:rsidP="00526171">
            <w:pPr>
              <w:pStyle w:val="ListParagraph"/>
              <w:numPr>
                <w:ilvl w:val="0"/>
                <w:numId w:val="9"/>
              </w:numPr>
              <w:ind w:left="432"/>
            </w:pPr>
            <w:r w:rsidRPr="007C2D51">
              <w:t>Flexible routing</w:t>
            </w:r>
          </w:p>
        </w:tc>
        <w:tc>
          <w:tcPr>
            <w:tcW w:w="1296" w:type="dxa"/>
            <w:noWrap/>
            <w:vAlign w:val="bottom"/>
          </w:tcPr>
          <w:p w:rsidR="000904D9" w:rsidRPr="007C2D51" w:rsidRDefault="000904D9" w:rsidP="000904D9">
            <w:pPr>
              <w:jc w:val="right"/>
              <w:cnfStyle w:val="000000000000"/>
              <w:rPr>
                <w:rFonts w:cs="Calibri"/>
                <w:color w:val="000000"/>
              </w:rPr>
            </w:pPr>
            <w:r w:rsidRPr="007C2D51">
              <w:rPr>
                <w:rFonts w:cs="Calibri"/>
                <w:color w:val="000000"/>
              </w:rPr>
              <w:t>24</w:t>
            </w:r>
          </w:p>
        </w:tc>
        <w:tc>
          <w:tcPr>
            <w:tcW w:w="1296" w:type="dxa"/>
            <w:noWrap/>
            <w:vAlign w:val="bottom"/>
          </w:tcPr>
          <w:p w:rsidR="000904D9" w:rsidRPr="007C2D51" w:rsidRDefault="000904D9" w:rsidP="000904D9">
            <w:pPr>
              <w:jc w:val="right"/>
              <w:cnfStyle w:val="000000000000"/>
              <w:rPr>
                <w:rFonts w:cs="Calibri"/>
                <w:color w:val="000000"/>
              </w:rPr>
            </w:pPr>
            <w:r w:rsidRPr="007C2D51">
              <w:rPr>
                <w:rFonts w:cs="Calibri"/>
                <w:color w:val="000000"/>
              </w:rPr>
              <w:t>19</w:t>
            </w:r>
          </w:p>
        </w:tc>
        <w:tc>
          <w:tcPr>
            <w:tcW w:w="1296" w:type="dxa"/>
            <w:noWrap/>
            <w:vAlign w:val="bottom"/>
          </w:tcPr>
          <w:p w:rsidR="000904D9" w:rsidRPr="007C2D51" w:rsidRDefault="000904D9" w:rsidP="000904D9">
            <w:pPr>
              <w:jc w:val="right"/>
              <w:cnfStyle w:val="000000000000"/>
              <w:rPr>
                <w:rFonts w:cs="Calibri"/>
                <w:color w:val="000000"/>
              </w:rPr>
            </w:pPr>
            <w:r w:rsidRPr="007C2D51">
              <w:rPr>
                <w:rFonts w:cs="Calibri"/>
                <w:color w:val="000000"/>
              </w:rPr>
              <w:t>8</w:t>
            </w:r>
          </w:p>
        </w:tc>
        <w:tc>
          <w:tcPr>
            <w:tcW w:w="1296" w:type="dxa"/>
            <w:noWrap/>
            <w:vAlign w:val="bottom"/>
          </w:tcPr>
          <w:p w:rsidR="000904D9" w:rsidRPr="007C2D51" w:rsidRDefault="000904D9" w:rsidP="000904D9">
            <w:pPr>
              <w:jc w:val="right"/>
              <w:cnfStyle w:val="000000000000"/>
              <w:rPr>
                <w:rFonts w:cs="Calibri"/>
                <w:color w:val="000000"/>
              </w:rPr>
            </w:pPr>
            <w:r w:rsidRPr="007C2D51">
              <w:rPr>
                <w:rFonts w:cs="Calibri"/>
                <w:color w:val="000000"/>
              </w:rPr>
              <w:t>10</w:t>
            </w:r>
          </w:p>
        </w:tc>
        <w:tc>
          <w:tcPr>
            <w:tcW w:w="1296" w:type="dxa"/>
            <w:shd w:val="clear" w:color="auto" w:fill="D9D9D9" w:themeFill="background1" w:themeFillShade="D9"/>
            <w:noWrap/>
            <w:vAlign w:val="bottom"/>
          </w:tcPr>
          <w:p w:rsidR="000904D9" w:rsidRPr="007C2D51" w:rsidRDefault="000904D9" w:rsidP="000904D9">
            <w:pPr>
              <w:jc w:val="right"/>
              <w:cnfStyle w:val="000000000000"/>
            </w:pPr>
          </w:p>
        </w:tc>
      </w:tr>
      <w:tr w:rsidR="000904D9" w:rsidRPr="007C2D51" w:rsidTr="00F15767">
        <w:trPr>
          <w:cnfStyle w:val="000000100000"/>
          <w:trHeight w:val="300"/>
        </w:trPr>
        <w:tc>
          <w:tcPr>
            <w:cnfStyle w:val="001000000000"/>
            <w:tcW w:w="2880" w:type="dxa"/>
            <w:tcBorders>
              <w:top w:val="none" w:sz="0" w:space="0" w:color="auto"/>
              <w:left w:val="none" w:sz="0" w:space="0" w:color="auto"/>
              <w:bottom w:val="none" w:sz="0" w:space="0" w:color="auto"/>
            </w:tcBorders>
            <w:noWrap/>
            <w:vAlign w:val="bottom"/>
          </w:tcPr>
          <w:p w:rsidR="000904D9" w:rsidRPr="007C2D51" w:rsidRDefault="000904D9" w:rsidP="00526171">
            <w:pPr>
              <w:pStyle w:val="ListParagraph"/>
              <w:numPr>
                <w:ilvl w:val="0"/>
                <w:numId w:val="9"/>
              </w:numPr>
              <w:ind w:left="432"/>
            </w:pPr>
            <w:r w:rsidRPr="007C2D51">
              <w:t>Shuttle/Feeders</w:t>
            </w:r>
          </w:p>
        </w:tc>
        <w:tc>
          <w:tcPr>
            <w:tcW w:w="1296" w:type="dxa"/>
            <w:tcBorders>
              <w:top w:val="none" w:sz="0" w:space="0" w:color="auto"/>
              <w:bottom w:val="none" w:sz="0" w:space="0" w:color="auto"/>
            </w:tcBorders>
            <w:noWrap/>
            <w:vAlign w:val="bottom"/>
          </w:tcPr>
          <w:p w:rsidR="000904D9" w:rsidRPr="007C2D51" w:rsidRDefault="000904D9" w:rsidP="000904D9">
            <w:pPr>
              <w:jc w:val="right"/>
              <w:cnfStyle w:val="000000100000"/>
              <w:rPr>
                <w:rFonts w:cs="Calibri"/>
                <w:color w:val="000000"/>
              </w:rPr>
            </w:pPr>
            <w:r w:rsidRPr="007C2D51">
              <w:rPr>
                <w:rFonts w:cs="Calibri"/>
                <w:color w:val="000000"/>
              </w:rPr>
              <w:t>28</w:t>
            </w:r>
          </w:p>
        </w:tc>
        <w:tc>
          <w:tcPr>
            <w:tcW w:w="1296" w:type="dxa"/>
            <w:tcBorders>
              <w:top w:val="none" w:sz="0" w:space="0" w:color="auto"/>
              <w:bottom w:val="none" w:sz="0" w:space="0" w:color="auto"/>
            </w:tcBorders>
            <w:noWrap/>
            <w:vAlign w:val="bottom"/>
          </w:tcPr>
          <w:p w:rsidR="000904D9" w:rsidRPr="007C2D51" w:rsidRDefault="000904D9" w:rsidP="000904D9">
            <w:pPr>
              <w:jc w:val="right"/>
              <w:cnfStyle w:val="000000100000"/>
              <w:rPr>
                <w:rFonts w:cs="Calibri"/>
                <w:color w:val="000000"/>
              </w:rPr>
            </w:pPr>
            <w:r w:rsidRPr="007C2D51">
              <w:rPr>
                <w:rFonts w:cs="Calibri"/>
                <w:color w:val="000000"/>
              </w:rPr>
              <w:t>2</w:t>
            </w:r>
          </w:p>
        </w:tc>
        <w:tc>
          <w:tcPr>
            <w:tcW w:w="1296" w:type="dxa"/>
            <w:tcBorders>
              <w:top w:val="none" w:sz="0" w:space="0" w:color="auto"/>
              <w:bottom w:val="none" w:sz="0" w:space="0" w:color="auto"/>
            </w:tcBorders>
            <w:noWrap/>
            <w:vAlign w:val="bottom"/>
          </w:tcPr>
          <w:p w:rsidR="000904D9" w:rsidRPr="007C2D51" w:rsidRDefault="000904D9" w:rsidP="000904D9">
            <w:pPr>
              <w:jc w:val="right"/>
              <w:cnfStyle w:val="000000100000"/>
              <w:rPr>
                <w:rFonts w:cs="Calibri"/>
                <w:color w:val="000000"/>
              </w:rPr>
            </w:pPr>
            <w:r w:rsidRPr="007C2D51">
              <w:rPr>
                <w:rFonts w:cs="Calibri"/>
                <w:color w:val="000000"/>
              </w:rPr>
              <w:t>6</w:t>
            </w:r>
          </w:p>
        </w:tc>
        <w:tc>
          <w:tcPr>
            <w:tcW w:w="1296" w:type="dxa"/>
            <w:tcBorders>
              <w:top w:val="none" w:sz="0" w:space="0" w:color="auto"/>
              <w:bottom w:val="none" w:sz="0" w:space="0" w:color="auto"/>
            </w:tcBorders>
            <w:noWrap/>
            <w:vAlign w:val="bottom"/>
          </w:tcPr>
          <w:p w:rsidR="000904D9" w:rsidRPr="007C2D51" w:rsidRDefault="000904D9" w:rsidP="000904D9">
            <w:pPr>
              <w:jc w:val="right"/>
              <w:cnfStyle w:val="000000100000"/>
              <w:rPr>
                <w:rFonts w:cs="Calibri"/>
                <w:color w:val="000000"/>
              </w:rPr>
            </w:pPr>
            <w:r w:rsidRPr="007C2D51">
              <w:rPr>
                <w:rFonts w:cs="Calibri"/>
                <w:color w:val="000000"/>
              </w:rPr>
              <w:t>16</w:t>
            </w:r>
          </w:p>
        </w:tc>
        <w:tc>
          <w:tcPr>
            <w:tcW w:w="1296" w:type="dxa"/>
            <w:tcBorders>
              <w:top w:val="none" w:sz="0" w:space="0" w:color="auto"/>
              <w:bottom w:val="none" w:sz="0" w:space="0" w:color="auto"/>
              <w:right w:val="none" w:sz="0" w:space="0" w:color="auto"/>
            </w:tcBorders>
            <w:shd w:val="clear" w:color="auto" w:fill="D9D9D9" w:themeFill="background1" w:themeFillShade="D9"/>
            <w:noWrap/>
            <w:vAlign w:val="bottom"/>
          </w:tcPr>
          <w:p w:rsidR="000904D9" w:rsidRPr="007C2D51" w:rsidRDefault="000904D9" w:rsidP="000904D9">
            <w:pPr>
              <w:jc w:val="right"/>
              <w:cnfStyle w:val="000000100000"/>
            </w:pPr>
          </w:p>
        </w:tc>
      </w:tr>
      <w:tr w:rsidR="000904D9" w:rsidRPr="007C2D51" w:rsidTr="00F15767">
        <w:trPr>
          <w:trHeight w:val="300"/>
        </w:trPr>
        <w:tc>
          <w:tcPr>
            <w:cnfStyle w:val="001000000000"/>
            <w:tcW w:w="2880" w:type="dxa"/>
            <w:noWrap/>
            <w:vAlign w:val="bottom"/>
          </w:tcPr>
          <w:p w:rsidR="000904D9" w:rsidRPr="007C2D51" w:rsidRDefault="000904D9" w:rsidP="00526171">
            <w:pPr>
              <w:pStyle w:val="ListParagraph"/>
              <w:numPr>
                <w:ilvl w:val="0"/>
                <w:numId w:val="9"/>
              </w:numPr>
              <w:ind w:left="432"/>
            </w:pPr>
            <w:r w:rsidRPr="007C2D51">
              <w:t>Demand response</w:t>
            </w:r>
          </w:p>
        </w:tc>
        <w:tc>
          <w:tcPr>
            <w:tcW w:w="1296" w:type="dxa"/>
            <w:noWrap/>
            <w:vAlign w:val="bottom"/>
          </w:tcPr>
          <w:p w:rsidR="000904D9" w:rsidRPr="007C2D51" w:rsidRDefault="000904D9" w:rsidP="000904D9">
            <w:pPr>
              <w:jc w:val="right"/>
              <w:cnfStyle w:val="000000000000"/>
              <w:rPr>
                <w:rFonts w:cs="Calibri"/>
                <w:color w:val="000000"/>
              </w:rPr>
            </w:pPr>
            <w:r w:rsidRPr="007C2D51">
              <w:rPr>
                <w:rFonts w:cs="Calibri"/>
                <w:color w:val="000000"/>
              </w:rPr>
              <w:t>71</w:t>
            </w:r>
          </w:p>
        </w:tc>
        <w:tc>
          <w:tcPr>
            <w:tcW w:w="1296" w:type="dxa"/>
            <w:noWrap/>
            <w:vAlign w:val="bottom"/>
          </w:tcPr>
          <w:p w:rsidR="000904D9" w:rsidRPr="007C2D51" w:rsidRDefault="000904D9" w:rsidP="000904D9">
            <w:pPr>
              <w:jc w:val="right"/>
              <w:cnfStyle w:val="000000000000"/>
              <w:rPr>
                <w:rFonts w:cs="Calibri"/>
                <w:color w:val="000000"/>
              </w:rPr>
            </w:pPr>
            <w:r w:rsidRPr="007C2D51">
              <w:rPr>
                <w:rFonts w:cs="Calibri"/>
                <w:color w:val="000000"/>
              </w:rPr>
              <w:t>63</w:t>
            </w:r>
          </w:p>
        </w:tc>
        <w:tc>
          <w:tcPr>
            <w:tcW w:w="1296" w:type="dxa"/>
            <w:noWrap/>
            <w:vAlign w:val="bottom"/>
          </w:tcPr>
          <w:p w:rsidR="000904D9" w:rsidRPr="007C2D51" w:rsidRDefault="000904D9" w:rsidP="000904D9">
            <w:pPr>
              <w:jc w:val="right"/>
              <w:cnfStyle w:val="000000000000"/>
              <w:rPr>
                <w:rFonts w:cs="Calibri"/>
                <w:color w:val="000000"/>
              </w:rPr>
            </w:pPr>
            <w:r w:rsidRPr="007C2D51">
              <w:rPr>
                <w:rFonts w:cs="Calibri"/>
                <w:color w:val="000000"/>
              </w:rPr>
              <w:t>47</w:t>
            </w:r>
          </w:p>
        </w:tc>
        <w:tc>
          <w:tcPr>
            <w:tcW w:w="1296" w:type="dxa"/>
            <w:noWrap/>
            <w:vAlign w:val="bottom"/>
          </w:tcPr>
          <w:p w:rsidR="000904D9" w:rsidRPr="007C2D51" w:rsidRDefault="000904D9" w:rsidP="000904D9">
            <w:pPr>
              <w:jc w:val="right"/>
              <w:cnfStyle w:val="000000000000"/>
              <w:rPr>
                <w:rFonts w:cs="Calibri"/>
                <w:color w:val="000000"/>
              </w:rPr>
            </w:pPr>
            <w:r w:rsidRPr="007C2D51">
              <w:rPr>
                <w:rFonts w:cs="Calibri"/>
                <w:color w:val="000000"/>
              </w:rPr>
              <w:t>56</w:t>
            </w:r>
          </w:p>
        </w:tc>
        <w:tc>
          <w:tcPr>
            <w:tcW w:w="1296" w:type="dxa"/>
            <w:shd w:val="clear" w:color="auto" w:fill="D9D9D9" w:themeFill="background1" w:themeFillShade="D9"/>
            <w:noWrap/>
            <w:vAlign w:val="bottom"/>
          </w:tcPr>
          <w:p w:rsidR="000904D9" w:rsidRPr="007C2D51" w:rsidRDefault="000904D9" w:rsidP="000904D9">
            <w:pPr>
              <w:jc w:val="right"/>
              <w:cnfStyle w:val="000000000000"/>
            </w:pPr>
          </w:p>
        </w:tc>
      </w:tr>
      <w:tr w:rsidR="000904D9" w:rsidRPr="007C2D51" w:rsidTr="00F15767">
        <w:trPr>
          <w:cnfStyle w:val="000000100000"/>
          <w:trHeight w:val="300"/>
        </w:trPr>
        <w:tc>
          <w:tcPr>
            <w:cnfStyle w:val="001000000000"/>
            <w:tcW w:w="2880" w:type="dxa"/>
            <w:tcBorders>
              <w:top w:val="none" w:sz="0" w:space="0" w:color="auto"/>
              <w:left w:val="none" w:sz="0" w:space="0" w:color="auto"/>
              <w:bottom w:val="none" w:sz="0" w:space="0" w:color="auto"/>
            </w:tcBorders>
            <w:noWrap/>
            <w:vAlign w:val="bottom"/>
          </w:tcPr>
          <w:p w:rsidR="000904D9" w:rsidRPr="007C2D51" w:rsidRDefault="000904D9" w:rsidP="00526171">
            <w:pPr>
              <w:pStyle w:val="ListParagraph"/>
              <w:numPr>
                <w:ilvl w:val="0"/>
                <w:numId w:val="9"/>
              </w:numPr>
              <w:ind w:left="432"/>
            </w:pPr>
            <w:r w:rsidRPr="007C2D51">
              <w:t>Vanpool service</w:t>
            </w:r>
          </w:p>
        </w:tc>
        <w:tc>
          <w:tcPr>
            <w:tcW w:w="1296" w:type="dxa"/>
            <w:tcBorders>
              <w:top w:val="none" w:sz="0" w:space="0" w:color="auto"/>
              <w:bottom w:val="none" w:sz="0" w:space="0" w:color="auto"/>
            </w:tcBorders>
            <w:shd w:val="clear" w:color="auto" w:fill="D9D9D9" w:themeFill="background1" w:themeFillShade="D9"/>
            <w:noWrap/>
            <w:vAlign w:val="bottom"/>
          </w:tcPr>
          <w:p w:rsidR="000904D9" w:rsidRPr="007C2D51" w:rsidRDefault="000904D9" w:rsidP="000904D9">
            <w:pPr>
              <w:jc w:val="right"/>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0904D9" w:rsidRPr="007C2D51" w:rsidRDefault="000904D9" w:rsidP="000904D9">
            <w:pPr>
              <w:jc w:val="right"/>
              <w:cnfStyle w:val="000000100000"/>
            </w:pPr>
          </w:p>
        </w:tc>
        <w:tc>
          <w:tcPr>
            <w:tcW w:w="1296" w:type="dxa"/>
            <w:tcBorders>
              <w:top w:val="none" w:sz="0" w:space="0" w:color="auto"/>
              <w:bottom w:val="none" w:sz="0" w:space="0" w:color="auto"/>
            </w:tcBorders>
            <w:noWrap/>
            <w:vAlign w:val="bottom"/>
          </w:tcPr>
          <w:p w:rsidR="000904D9" w:rsidRPr="007C2D51" w:rsidRDefault="000904D9" w:rsidP="000904D9">
            <w:pPr>
              <w:jc w:val="right"/>
              <w:cnfStyle w:val="000000100000"/>
              <w:rPr>
                <w:rFonts w:cs="Calibri"/>
                <w:color w:val="000000"/>
              </w:rPr>
            </w:pPr>
            <w:r w:rsidRPr="007C2D51">
              <w:rPr>
                <w:rFonts w:cs="Calibri"/>
                <w:color w:val="000000"/>
              </w:rPr>
              <w:t>8</w:t>
            </w:r>
          </w:p>
        </w:tc>
        <w:tc>
          <w:tcPr>
            <w:tcW w:w="1296" w:type="dxa"/>
            <w:tcBorders>
              <w:top w:val="none" w:sz="0" w:space="0" w:color="auto"/>
              <w:bottom w:val="none" w:sz="0" w:space="0" w:color="auto"/>
            </w:tcBorders>
            <w:noWrap/>
            <w:vAlign w:val="bottom"/>
          </w:tcPr>
          <w:p w:rsidR="000904D9" w:rsidRPr="007C2D51" w:rsidRDefault="000904D9" w:rsidP="000904D9">
            <w:pPr>
              <w:jc w:val="right"/>
              <w:cnfStyle w:val="000000100000"/>
              <w:rPr>
                <w:rFonts w:cs="Calibri"/>
                <w:color w:val="000000"/>
              </w:rPr>
            </w:pPr>
            <w:r w:rsidRPr="007C2D51">
              <w:rPr>
                <w:rFonts w:cs="Calibri"/>
                <w:color w:val="000000"/>
              </w:rPr>
              <w:t>20</w:t>
            </w:r>
          </w:p>
        </w:tc>
        <w:tc>
          <w:tcPr>
            <w:tcW w:w="1296" w:type="dxa"/>
            <w:tcBorders>
              <w:top w:val="none" w:sz="0" w:space="0" w:color="auto"/>
              <w:bottom w:val="none" w:sz="0" w:space="0" w:color="auto"/>
              <w:right w:val="none" w:sz="0" w:space="0" w:color="auto"/>
            </w:tcBorders>
            <w:shd w:val="clear" w:color="auto" w:fill="D9D9D9" w:themeFill="background1" w:themeFillShade="D9"/>
            <w:noWrap/>
            <w:vAlign w:val="bottom"/>
          </w:tcPr>
          <w:p w:rsidR="000904D9" w:rsidRPr="007C2D51" w:rsidRDefault="000904D9" w:rsidP="000904D9">
            <w:pPr>
              <w:jc w:val="right"/>
              <w:cnfStyle w:val="000000100000"/>
            </w:pPr>
          </w:p>
        </w:tc>
      </w:tr>
      <w:tr w:rsidR="000904D9" w:rsidRPr="007C2D51" w:rsidTr="00F15767">
        <w:trPr>
          <w:trHeight w:val="300"/>
        </w:trPr>
        <w:tc>
          <w:tcPr>
            <w:cnfStyle w:val="001000000000"/>
            <w:tcW w:w="2880" w:type="dxa"/>
            <w:noWrap/>
            <w:vAlign w:val="bottom"/>
          </w:tcPr>
          <w:p w:rsidR="000904D9" w:rsidRPr="007C2D51" w:rsidRDefault="000904D9" w:rsidP="00526171">
            <w:pPr>
              <w:pStyle w:val="ListParagraph"/>
              <w:numPr>
                <w:ilvl w:val="0"/>
                <w:numId w:val="9"/>
              </w:numPr>
              <w:ind w:left="432"/>
            </w:pPr>
            <w:r w:rsidRPr="007C2D51">
              <w:t>User-side subsidy</w:t>
            </w:r>
          </w:p>
        </w:tc>
        <w:tc>
          <w:tcPr>
            <w:tcW w:w="1296" w:type="dxa"/>
            <w:noWrap/>
            <w:vAlign w:val="bottom"/>
          </w:tcPr>
          <w:p w:rsidR="000904D9" w:rsidRPr="007C2D51" w:rsidRDefault="000904D9" w:rsidP="000904D9">
            <w:pPr>
              <w:jc w:val="right"/>
              <w:cnfStyle w:val="000000000000"/>
              <w:rPr>
                <w:rFonts w:cs="Calibri"/>
                <w:color w:val="000000"/>
              </w:rPr>
            </w:pPr>
            <w:r w:rsidRPr="007C2D51">
              <w:rPr>
                <w:rFonts w:cs="Calibri"/>
                <w:color w:val="000000"/>
              </w:rPr>
              <w:t>2</w:t>
            </w:r>
          </w:p>
        </w:tc>
        <w:tc>
          <w:tcPr>
            <w:tcW w:w="1296" w:type="dxa"/>
            <w:noWrap/>
            <w:vAlign w:val="bottom"/>
          </w:tcPr>
          <w:p w:rsidR="000904D9" w:rsidRPr="007C2D51" w:rsidRDefault="000904D9" w:rsidP="000904D9">
            <w:pPr>
              <w:jc w:val="right"/>
              <w:cnfStyle w:val="000000000000"/>
              <w:rPr>
                <w:rFonts w:cs="Calibri"/>
                <w:color w:val="000000"/>
              </w:rPr>
            </w:pPr>
            <w:r w:rsidRPr="007C2D51">
              <w:rPr>
                <w:rFonts w:cs="Calibri"/>
                <w:color w:val="000000"/>
              </w:rPr>
              <w:t>4</w:t>
            </w:r>
          </w:p>
        </w:tc>
        <w:tc>
          <w:tcPr>
            <w:tcW w:w="1296" w:type="dxa"/>
            <w:noWrap/>
            <w:vAlign w:val="bottom"/>
          </w:tcPr>
          <w:p w:rsidR="000904D9" w:rsidRPr="007C2D51" w:rsidRDefault="000904D9" w:rsidP="000904D9">
            <w:pPr>
              <w:jc w:val="right"/>
              <w:cnfStyle w:val="000000000000"/>
              <w:rPr>
                <w:rFonts w:cs="Calibri"/>
                <w:color w:val="000000"/>
              </w:rPr>
            </w:pPr>
            <w:r w:rsidRPr="007C2D51">
              <w:rPr>
                <w:rFonts w:cs="Calibri"/>
                <w:color w:val="000000"/>
              </w:rPr>
              <w:t>5</w:t>
            </w:r>
          </w:p>
        </w:tc>
        <w:tc>
          <w:tcPr>
            <w:tcW w:w="1296" w:type="dxa"/>
            <w:noWrap/>
            <w:vAlign w:val="bottom"/>
          </w:tcPr>
          <w:p w:rsidR="000904D9" w:rsidRPr="007C2D51" w:rsidRDefault="000904D9" w:rsidP="000904D9">
            <w:pPr>
              <w:jc w:val="right"/>
              <w:cnfStyle w:val="000000000000"/>
              <w:rPr>
                <w:rFonts w:cs="Calibri"/>
                <w:color w:val="000000"/>
              </w:rPr>
            </w:pPr>
            <w:r w:rsidRPr="007C2D51">
              <w:rPr>
                <w:rFonts w:cs="Calibri"/>
                <w:color w:val="000000"/>
              </w:rPr>
              <w:t>27</w:t>
            </w:r>
          </w:p>
        </w:tc>
        <w:tc>
          <w:tcPr>
            <w:tcW w:w="1296" w:type="dxa"/>
            <w:shd w:val="clear" w:color="auto" w:fill="D9D9D9" w:themeFill="background1" w:themeFillShade="D9"/>
            <w:noWrap/>
            <w:vAlign w:val="bottom"/>
          </w:tcPr>
          <w:p w:rsidR="000904D9" w:rsidRPr="007C2D51" w:rsidRDefault="000904D9" w:rsidP="000904D9">
            <w:pPr>
              <w:jc w:val="right"/>
              <w:cnfStyle w:val="000000000000"/>
            </w:pPr>
          </w:p>
        </w:tc>
      </w:tr>
      <w:tr w:rsidR="000904D9" w:rsidRPr="007C2D51" w:rsidTr="00F15767">
        <w:trPr>
          <w:cnfStyle w:val="000000100000"/>
          <w:trHeight w:val="300"/>
        </w:trPr>
        <w:tc>
          <w:tcPr>
            <w:cnfStyle w:val="001000000000"/>
            <w:tcW w:w="2880" w:type="dxa"/>
            <w:tcBorders>
              <w:top w:val="none" w:sz="0" w:space="0" w:color="auto"/>
              <w:left w:val="none" w:sz="0" w:space="0" w:color="auto"/>
              <w:bottom w:val="none" w:sz="0" w:space="0" w:color="auto"/>
            </w:tcBorders>
            <w:shd w:val="clear" w:color="auto" w:fill="475A8D" w:themeFill="accent6"/>
            <w:noWrap/>
            <w:vAlign w:val="bottom"/>
          </w:tcPr>
          <w:p w:rsidR="000904D9" w:rsidRPr="007C2D51" w:rsidRDefault="000904D9" w:rsidP="000904D9">
            <w:pPr>
              <w:rPr>
                <w:color w:val="FFFFFF" w:themeColor="background1"/>
              </w:rPr>
            </w:pPr>
            <w:r w:rsidRPr="007C2D51">
              <w:rPr>
                <w:color w:val="FFFFFF" w:themeColor="background1"/>
              </w:rPr>
              <w:t xml:space="preserve">II.  Information-Based </w:t>
            </w:r>
          </w:p>
        </w:tc>
        <w:tc>
          <w:tcPr>
            <w:tcW w:w="1296" w:type="dxa"/>
            <w:tcBorders>
              <w:top w:val="none" w:sz="0" w:space="0" w:color="auto"/>
              <w:bottom w:val="none" w:sz="0" w:space="0" w:color="auto"/>
            </w:tcBorders>
            <w:shd w:val="clear" w:color="auto" w:fill="475A8D" w:themeFill="accent6"/>
            <w:noWrap/>
            <w:vAlign w:val="bottom"/>
          </w:tcPr>
          <w:p w:rsidR="000904D9" w:rsidRPr="007C2D51" w:rsidRDefault="000904D9" w:rsidP="000904D9">
            <w:pPr>
              <w:jc w:val="right"/>
              <w:cnfStyle w:val="000000100000"/>
              <w:rPr>
                <w:color w:val="FFFFFF" w:themeColor="background1"/>
              </w:rPr>
            </w:pPr>
          </w:p>
        </w:tc>
        <w:tc>
          <w:tcPr>
            <w:tcW w:w="1296" w:type="dxa"/>
            <w:tcBorders>
              <w:top w:val="none" w:sz="0" w:space="0" w:color="auto"/>
              <w:bottom w:val="none" w:sz="0" w:space="0" w:color="auto"/>
            </w:tcBorders>
            <w:shd w:val="clear" w:color="auto" w:fill="475A8D" w:themeFill="accent6"/>
            <w:noWrap/>
            <w:vAlign w:val="bottom"/>
          </w:tcPr>
          <w:p w:rsidR="000904D9" w:rsidRPr="007C2D51" w:rsidRDefault="000904D9" w:rsidP="000904D9">
            <w:pPr>
              <w:jc w:val="right"/>
              <w:cnfStyle w:val="000000100000"/>
              <w:rPr>
                <w:color w:val="FFFFFF" w:themeColor="background1"/>
              </w:rPr>
            </w:pPr>
          </w:p>
        </w:tc>
        <w:tc>
          <w:tcPr>
            <w:tcW w:w="1296" w:type="dxa"/>
            <w:tcBorders>
              <w:top w:val="none" w:sz="0" w:space="0" w:color="auto"/>
              <w:bottom w:val="none" w:sz="0" w:space="0" w:color="auto"/>
            </w:tcBorders>
            <w:shd w:val="clear" w:color="auto" w:fill="475A8D" w:themeFill="accent6"/>
            <w:noWrap/>
            <w:vAlign w:val="bottom"/>
          </w:tcPr>
          <w:p w:rsidR="000904D9" w:rsidRPr="007C2D51" w:rsidRDefault="000904D9" w:rsidP="000904D9">
            <w:pPr>
              <w:jc w:val="right"/>
              <w:cnfStyle w:val="000000100000"/>
              <w:rPr>
                <w:color w:val="FFFFFF" w:themeColor="background1"/>
              </w:rPr>
            </w:pPr>
          </w:p>
        </w:tc>
        <w:tc>
          <w:tcPr>
            <w:tcW w:w="1296" w:type="dxa"/>
            <w:tcBorders>
              <w:top w:val="none" w:sz="0" w:space="0" w:color="auto"/>
              <w:bottom w:val="none" w:sz="0" w:space="0" w:color="auto"/>
            </w:tcBorders>
            <w:shd w:val="clear" w:color="auto" w:fill="475A8D" w:themeFill="accent6"/>
            <w:noWrap/>
            <w:vAlign w:val="bottom"/>
          </w:tcPr>
          <w:p w:rsidR="000904D9" w:rsidRPr="007C2D51" w:rsidRDefault="000904D9" w:rsidP="000904D9">
            <w:pPr>
              <w:jc w:val="right"/>
              <w:cnfStyle w:val="000000100000"/>
              <w:rPr>
                <w:rFonts w:cs="Calibri"/>
                <w:b/>
                <w:bCs/>
                <w:color w:val="FFFFFF" w:themeColor="background1"/>
              </w:rPr>
            </w:pPr>
            <w:r w:rsidRPr="007C2D51">
              <w:rPr>
                <w:rFonts w:cs="Calibri"/>
                <w:b/>
                <w:bCs/>
                <w:color w:val="FFFFFF" w:themeColor="background1"/>
              </w:rPr>
              <w:t>65</w:t>
            </w:r>
          </w:p>
        </w:tc>
        <w:tc>
          <w:tcPr>
            <w:tcW w:w="1296" w:type="dxa"/>
            <w:tcBorders>
              <w:top w:val="none" w:sz="0" w:space="0" w:color="auto"/>
              <w:bottom w:val="none" w:sz="0" w:space="0" w:color="auto"/>
              <w:right w:val="none" w:sz="0" w:space="0" w:color="auto"/>
            </w:tcBorders>
            <w:shd w:val="clear" w:color="auto" w:fill="475A8D" w:themeFill="accent6"/>
            <w:noWrap/>
            <w:vAlign w:val="bottom"/>
          </w:tcPr>
          <w:p w:rsidR="000904D9" w:rsidRPr="007C2D51" w:rsidRDefault="000904D9" w:rsidP="000904D9">
            <w:pPr>
              <w:jc w:val="right"/>
              <w:cnfStyle w:val="000000100000"/>
              <w:rPr>
                <w:rFonts w:cs="Calibri"/>
                <w:b/>
                <w:bCs/>
                <w:color w:val="FFFFFF" w:themeColor="background1"/>
              </w:rPr>
            </w:pPr>
            <w:r w:rsidRPr="007C2D51">
              <w:rPr>
                <w:rFonts w:cs="Calibri"/>
                <w:b/>
                <w:bCs/>
                <w:color w:val="FFFFFF" w:themeColor="background1"/>
              </w:rPr>
              <w:t>55</w:t>
            </w:r>
          </w:p>
        </w:tc>
      </w:tr>
      <w:tr w:rsidR="00A63037" w:rsidRPr="007C2D51" w:rsidTr="00F15767">
        <w:trPr>
          <w:trHeight w:val="300"/>
        </w:trPr>
        <w:tc>
          <w:tcPr>
            <w:cnfStyle w:val="001000000000"/>
            <w:tcW w:w="2880" w:type="dxa"/>
            <w:noWrap/>
            <w:vAlign w:val="bottom"/>
          </w:tcPr>
          <w:p w:rsidR="00A63037" w:rsidRPr="007C2D51" w:rsidRDefault="00A63037" w:rsidP="00526171">
            <w:pPr>
              <w:pStyle w:val="ListParagraph"/>
              <w:numPr>
                <w:ilvl w:val="0"/>
                <w:numId w:val="10"/>
              </w:numPr>
              <w:ind w:left="432"/>
            </w:pPr>
            <w:r w:rsidRPr="007C2D51">
              <w:t>Mobility manager</w:t>
            </w:r>
          </w:p>
        </w:tc>
        <w:tc>
          <w:tcPr>
            <w:tcW w:w="1296" w:type="dxa"/>
            <w:shd w:val="clear" w:color="auto" w:fill="D9D9D9" w:themeFill="background1" w:themeFillShade="D9"/>
            <w:noWrap/>
            <w:vAlign w:val="bottom"/>
          </w:tcPr>
          <w:p w:rsidR="00A63037" w:rsidRPr="007C2D51" w:rsidRDefault="00A63037" w:rsidP="000904D9">
            <w:pPr>
              <w:jc w:val="right"/>
              <w:cnfStyle w:val="000000000000"/>
            </w:pPr>
          </w:p>
        </w:tc>
        <w:tc>
          <w:tcPr>
            <w:tcW w:w="1296" w:type="dxa"/>
            <w:shd w:val="clear" w:color="auto" w:fill="D9D9D9" w:themeFill="background1" w:themeFillShade="D9"/>
            <w:noWrap/>
            <w:vAlign w:val="bottom"/>
          </w:tcPr>
          <w:p w:rsidR="00A63037" w:rsidRPr="007C2D51" w:rsidRDefault="00A63037" w:rsidP="000904D9">
            <w:pPr>
              <w:jc w:val="right"/>
              <w:cnfStyle w:val="000000000000"/>
            </w:pPr>
          </w:p>
        </w:tc>
        <w:tc>
          <w:tcPr>
            <w:tcW w:w="1296" w:type="dxa"/>
            <w:shd w:val="clear" w:color="auto" w:fill="D9D9D9" w:themeFill="background1" w:themeFillShade="D9"/>
            <w:noWrap/>
            <w:vAlign w:val="bottom"/>
          </w:tcPr>
          <w:p w:rsidR="00A63037" w:rsidRPr="007C2D51" w:rsidRDefault="00A63037" w:rsidP="000904D9">
            <w:pPr>
              <w:jc w:val="right"/>
              <w:cnfStyle w:val="000000000000"/>
            </w:pPr>
          </w:p>
        </w:tc>
        <w:tc>
          <w:tcPr>
            <w:tcW w:w="1296" w:type="dxa"/>
            <w:noWrap/>
            <w:vAlign w:val="bottom"/>
          </w:tcPr>
          <w:p w:rsidR="00A63037" w:rsidRPr="007C2D51" w:rsidRDefault="000904D9" w:rsidP="000904D9">
            <w:pPr>
              <w:jc w:val="right"/>
              <w:cnfStyle w:val="000000000000"/>
              <w:rPr>
                <w:rFonts w:cs="Calibri"/>
                <w:color w:val="000000"/>
              </w:rPr>
            </w:pPr>
            <w:r w:rsidRPr="007C2D51">
              <w:rPr>
                <w:rFonts w:cs="Calibri"/>
                <w:color w:val="000000"/>
              </w:rPr>
              <w:t>65</w:t>
            </w:r>
          </w:p>
        </w:tc>
        <w:tc>
          <w:tcPr>
            <w:tcW w:w="1296" w:type="dxa"/>
            <w:shd w:val="clear" w:color="auto" w:fill="D9D9D9" w:themeFill="background1" w:themeFillShade="D9"/>
            <w:noWrap/>
            <w:vAlign w:val="bottom"/>
          </w:tcPr>
          <w:p w:rsidR="00A63037" w:rsidRPr="007C2D51" w:rsidRDefault="00A63037" w:rsidP="000904D9">
            <w:pPr>
              <w:jc w:val="right"/>
              <w:cnfStyle w:val="000000000000"/>
            </w:pPr>
          </w:p>
        </w:tc>
      </w:tr>
      <w:tr w:rsidR="00A63037" w:rsidRPr="007C2D51" w:rsidTr="00F15767">
        <w:trPr>
          <w:cnfStyle w:val="000000100000"/>
          <w:trHeight w:val="300"/>
        </w:trPr>
        <w:tc>
          <w:tcPr>
            <w:cnfStyle w:val="001000000000"/>
            <w:tcW w:w="2880" w:type="dxa"/>
            <w:tcBorders>
              <w:top w:val="none" w:sz="0" w:space="0" w:color="auto"/>
              <w:left w:val="none" w:sz="0" w:space="0" w:color="auto"/>
              <w:bottom w:val="none" w:sz="0" w:space="0" w:color="auto"/>
            </w:tcBorders>
            <w:noWrap/>
            <w:vAlign w:val="bottom"/>
          </w:tcPr>
          <w:p w:rsidR="00A63037" w:rsidRPr="007C2D51" w:rsidRDefault="00A63037" w:rsidP="00526171">
            <w:pPr>
              <w:pStyle w:val="ListParagraph"/>
              <w:numPr>
                <w:ilvl w:val="0"/>
                <w:numId w:val="10"/>
              </w:numPr>
              <w:ind w:left="432"/>
            </w:pPr>
            <w:r w:rsidRPr="007C2D51">
              <w:t>One-stop center</w:t>
            </w:r>
          </w:p>
        </w:tc>
        <w:tc>
          <w:tcPr>
            <w:tcW w:w="1296" w:type="dxa"/>
            <w:tcBorders>
              <w:top w:val="none" w:sz="0" w:space="0" w:color="auto"/>
              <w:bottom w:val="none" w:sz="0" w:space="0" w:color="auto"/>
            </w:tcBorders>
            <w:shd w:val="clear" w:color="auto" w:fill="D9D9D9" w:themeFill="background1" w:themeFillShade="D9"/>
            <w:noWrap/>
            <w:vAlign w:val="bottom"/>
          </w:tcPr>
          <w:p w:rsidR="00A63037" w:rsidRPr="007C2D51" w:rsidRDefault="00A63037" w:rsidP="000904D9">
            <w:pPr>
              <w:jc w:val="right"/>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A63037" w:rsidRPr="007C2D51" w:rsidRDefault="00A63037" w:rsidP="000904D9">
            <w:pPr>
              <w:jc w:val="right"/>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A63037" w:rsidRPr="007C2D51" w:rsidRDefault="00A63037" w:rsidP="000904D9">
            <w:pPr>
              <w:jc w:val="right"/>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A63037" w:rsidRPr="007C2D51" w:rsidRDefault="00A63037" w:rsidP="000904D9">
            <w:pPr>
              <w:jc w:val="right"/>
              <w:cnfStyle w:val="000000100000"/>
            </w:pPr>
          </w:p>
        </w:tc>
        <w:tc>
          <w:tcPr>
            <w:tcW w:w="1296" w:type="dxa"/>
            <w:tcBorders>
              <w:top w:val="none" w:sz="0" w:space="0" w:color="auto"/>
              <w:bottom w:val="none" w:sz="0" w:space="0" w:color="auto"/>
              <w:right w:val="none" w:sz="0" w:space="0" w:color="auto"/>
            </w:tcBorders>
            <w:noWrap/>
            <w:vAlign w:val="bottom"/>
          </w:tcPr>
          <w:p w:rsidR="00A63037" w:rsidRPr="007C2D51" w:rsidRDefault="000904D9" w:rsidP="000904D9">
            <w:pPr>
              <w:jc w:val="right"/>
              <w:cnfStyle w:val="000000100000"/>
            </w:pPr>
            <w:r w:rsidRPr="007C2D51">
              <w:t>9</w:t>
            </w:r>
          </w:p>
        </w:tc>
      </w:tr>
      <w:tr w:rsidR="00A63037" w:rsidRPr="007C2D51" w:rsidTr="00F15767">
        <w:trPr>
          <w:trHeight w:val="300"/>
        </w:trPr>
        <w:tc>
          <w:tcPr>
            <w:cnfStyle w:val="001000000000"/>
            <w:tcW w:w="2880" w:type="dxa"/>
            <w:noWrap/>
            <w:vAlign w:val="bottom"/>
          </w:tcPr>
          <w:p w:rsidR="00A63037" w:rsidRPr="007C2D51" w:rsidRDefault="00A63037" w:rsidP="00526171">
            <w:pPr>
              <w:pStyle w:val="ListParagraph"/>
              <w:numPr>
                <w:ilvl w:val="0"/>
                <w:numId w:val="10"/>
              </w:numPr>
              <w:ind w:left="432"/>
            </w:pPr>
            <w:r w:rsidRPr="007C2D51">
              <w:t>Itinerary planning</w:t>
            </w:r>
          </w:p>
        </w:tc>
        <w:tc>
          <w:tcPr>
            <w:tcW w:w="1296" w:type="dxa"/>
            <w:shd w:val="clear" w:color="auto" w:fill="D9D9D9" w:themeFill="background1" w:themeFillShade="D9"/>
            <w:noWrap/>
            <w:vAlign w:val="bottom"/>
          </w:tcPr>
          <w:p w:rsidR="00A63037" w:rsidRPr="007C2D51" w:rsidRDefault="00A63037" w:rsidP="000904D9">
            <w:pPr>
              <w:jc w:val="right"/>
              <w:cnfStyle w:val="000000000000"/>
            </w:pPr>
          </w:p>
        </w:tc>
        <w:tc>
          <w:tcPr>
            <w:tcW w:w="1296" w:type="dxa"/>
            <w:shd w:val="clear" w:color="auto" w:fill="D9D9D9" w:themeFill="background1" w:themeFillShade="D9"/>
            <w:noWrap/>
            <w:vAlign w:val="bottom"/>
          </w:tcPr>
          <w:p w:rsidR="00A63037" w:rsidRPr="007C2D51" w:rsidRDefault="00A63037" w:rsidP="000904D9">
            <w:pPr>
              <w:jc w:val="right"/>
              <w:cnfStyle w:val="000000000000"/>
            </w:pPr>
          </w:p>
        </w:tc>
        <w:tc>
          <w:tcPr>
            <w:tcW w:w="1296" w:type="dxa"/>
            <w:shd w:val="clear" w:color="auto" w:fill="D9D9D9" w:themeFill="background1" w:themeFillShade="D9"/>
            <w:noWrap/>
            <w:vAlign w:val="bottom"/>
          </w:tcPr>
          <w:p w:rsidR="00A63037" w:rsidRPr="007C2D51" w:rsidRDefault="00A63037" w:rsidP="000904D9">
            <w:pPr>
              <w:jc w:val="right"/>
              <w:cnfStyle w:val="000000000000"/>
            </w:pPr>
          </w:p>
        </w:tc>
        <w:tc>
          <w:tcPr>
            <w:tcW w:w="1296" w:type="dxa"/>
            <w:shd w:val="clear" w:color="auto" w:fill="D9D9D9" w:themeFill="background1" w:themeFillShade="D9"/>
            <w:noWrap/>
            <w:vAlign w:val="bottom"/>
          </w:tcPr>
          <w:p w:rsidR="00A63037" w:rsidRPr="007C2D51" w:rsidRDefault="00A63037" w:rsidP="000904D9">
            <w:pPr>
              <w:jc w:val="right"/>
              <w:cnfStyle w:val="000000000000"/>
            </w:pPr>
          </w:p>
        </w:tc>
        <w:tc>
          <w:tcPr>
            <w:tcW w:w="1296" w:type="dxa"/>
            <w:noWrap/>
            <w:vAlign w:val="bottom"/>
          </w:tcPr>
          <w:p w:rsidR="00A63037" w:rsidRPr="007C2D51" w:rsidRDefault="000904D9" w:rsidP="000904D9">
            <w:pPr>
              <w:jc w:val="right"/>
              <w:cnfStyle w:val="000000000000"/>
            </w:pPr>
            <w:r w:rsidRPr="007C2D51">
              <w:t>5</w:t>
            </w:r>
          </w:p>
        </w:tc>
      </w:tr>
      <w:tr w:rsidR="00A63037" w:rsidRPr="007C2D51" w:rsidTr="00F15767">
        <w:trPr>
          <w:cnfStyle w:val="000000100000"/>
          <w:trHeight w:val="300"/>
        </w:trPr>
        <w:tc>
          <w:tcPr>
            <w:cnfStyle w:val="001000000000"/>
            <w:tcW w:w="2880" w:type="dxa"/>
            <w:tcBorders>
              <w:top w:val="none" w:sz="0" w:space="0" w:color="auto"/>
              <w:left w:val="none" w:sz="0" w:space="0" w:color="auto"/>
              <w:bottom w:val="none" w:sz="0" w:space="0" w:color="auto"/>
            </w:tcBorders>
            <w:noWrap/>
            <w:vAlign w:val="bottom"/>
          </w:tcPr>
          <w:p w:rsidR="00A63037" w:rsidRPr="007C2D51" w:rsidRDefault="00A63037" w:rsidP="00526171">
            <w:pPr>
              <w:pStyle w:val="ListParagraph"/>
              <w:numPr>
                <w:ilvl w:val="0"/>
                <w:numId w:val="10"/>
              </w:numPr>
              <w:ind w:left="432"/>
            </w:pPr>
            <w:r w:rsidRPr="007C2D51">
              <w:t>One-on-one transit training</w:t>
            </w:r>
          </w:p>
        </w:tc>
        <w:tc>
          <w:tcPr>
            <w:tcW w:w="1296" w:type="dxa"/>
            <w:tcBorders>
              <w:top w:val="none" w:sz="0" w:space="0" w:color="auto"/>
              <w:bottom w:val="none" w:sz="0" w:space="0" w:color="auto"/>
            </w:tcBorders>
            <w:shd w:val="clear" w:color="auto" w:fill="D9D9D9" w:themeFill="background1" w:themeFillShade="D9"/>
            <w:noWrap/>
            <w:vAlign w:val="bottom"/>
          </w:tcPr>
          <w:p w:rsidR="00A63037" w:rsidRPr="007C2D51" w:rsidRDefault="00A63037" w:rsidP="000904D9">
            <w:pPr>
              <w:jc w:val="right"/>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A63037" w:rsidRPr="007C2D51" w:rsidRDefault="00A63037" w:rsidP="000904D9">
            <w:pPr>
              <w:jc w:val="right"/>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A63037" w:rsidRPr="007C2D51" w:rsidRDefault="00A63037" w:rsidP="000904D9">
            <w:pPr>
              <w:jc w:val="right"/>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A63037" w:rsidRPr="007C2D51" w:rsidRDefault="00A63037" w:rsidP="000904D9">
            <w:pPr>
              <w:jc w:val="right"/>
              <w:cnfStyle w:val="000000100000"/>
            </w:pPr>
          </w:p>
        </w:tc>
        <w:tc>
          <w:tcPr>
            <w:tcW w:w="1296" w:type="dxa"/>
            <w:tcBorders>
              <w:top w:val="none" w:sz="0" w:space="0" w:color="auto"/>
              <w:bottom w:val="none" w:sz="0" w:space="0" w:color="auto"/>
              <w:right w:val="none" w:sz="0" w:space="0" w:color="auto"/>
            </w:tcBorders>
            <w:noWrap/>
            <w:vAlign w:val="bottom"/>
          </w:tcPr>
          <w:p w:rsidR="00A63037" w:rsidRPr="007C2D51" w:rsidRDefault="000904D9" w:rsidP="000904D9">
            <w:pPr>
              <w:jc w:val="right"/>
              <w:cnfStyle w:val="000000100000"/>
            </w:pPr>
            <w:r w:rsidRPr="007C2D51">
              <w:t>15</w:t>
            </w:r>
          </w:p>
        </w:tc>
      </w:tr>
      <w:tr w:rsidR="00A63037" w:rsidRPr="007C2D51" w:rsidTr="00F15767">
        <w:trPr>
          <w:trHeight w:val="300"/>
        </w:trPr>
        <w:tc>
          <w:tcPr>
            <w:cnfStyle w:val="001000000000"/>
            <w:tcW w:w="2880" w:type="dxa"/>
            <w:noWrap/>
            <w:vAlign w:val="bottom"/>
          </w:tcPr>
          <w:p w:rsidR="00A63037" w:rsidRPr="007C2D51" w:rsidRDefault="00A63037" w:rsidP="00526171">
            <w:pPr>
              <w:pStyle w:val="ListParagraph"/>
              <w:numPr>
                <w:ilvl w:val="0"/>
                <w:numId w:val="10"/>
              </w:numPr>
              <w:ind w:left="432"/>
            </w:pPr>
            <w:r w:rsidRPr="007C2D51">
              <w:t>Internet-based info</w:t>
            </w:r>
          </w:p>
        </w:tc>
        <w:tc>
          <w:tcPr>
            <w:tcW w:w="1296" w:type="dxa"/>
            <w:shd w:val="clear" w:color="auto" w:fill="D9D9D9" w:themeFill="background1" w:themeFillShade="D9"/>
            <w:noWrap/>
            <w:vAlign w:val="bottom"/>
          </w:tcPr>
          <w:p w:rsidR="00A63037" w:rsidRPr="007C2D51" w:rsidRDefault="00A63037" w:rsidP="000904D9">
            <w:pPr>
              <w:jc w:val="right"/>
              <w:cnfStyle w:val="000000000000"/>
            </w:pPr>
          </w:p>
        </w:tc>
        <w:tc>
          <w:tcPr>
            <w:tcW w:w="1296" w:type="dxa"/>
            <w:shd w:val="clear" w:color="auto" w:fill="D9D9D9" w:themeFill="background1" w:themeFillShade="D9"/>
            <w:noWrap/>
            <w:vAlign w:val="bottom"/>
          </w:tcPr>
          <w:p w:rsidR="00A63037" w:rsidRPr="007C2D51" w:rsidRDefault="00A63037" w:rsidP="000904D9">
            <w:pPr>
              <w:jc w:val="right"/>
              <w:cnfStyle w:val="000000000000"/>
            </w:pPr>
          </w:p>
        </w:tc>
        <w:tc>
          <w:tcPr>
            <w:tcW w:w="1296" w:type="dxa"/>
            <w:shd w:val="clear" w:color="auto" w:fill="D9D9D9" w:themeFill="background1" w:themeFillShade="D9"/>
            <w:noWrap/>
            <w:vAlign w:val="bottom"/>
          </w:tcPr>
          <w:p w:rsidR="00A63037" w:rsidRPr="007C2D51" w:rsidRDefault="00A63037" w:rsidP="000904D9">
            <w:pPr>
              <w:jc w:val="right"/>
              <w:cnfStyle w:val="000000000000"/>
            </w:pPr>
          </w:p>
        </w:tc>
        <w:tc>
          <w:tcPr>
            <w:tcW w:w="1296" w:type="dxa"/>
            <w:shd w:val="clear" w:color="auto" w:fill="D9D9D9" w:themeFill="background1" w:themeFillShade="D9"/>
            <w:noWrap/>
            <w:vAlign w:val="bottom"/>
          </w:tcPr>
          <w:p w:rsidR="00A63037" w:rsidRPr="007C2D51" w:rsidRDefault="00A63037" w:rsidP="000904D9">
            <w:pPr>
              <w:jc w:val="right"/>
              <w:cnfStyle w:val="000000000000"/>
            </w:pPr>
          </w:p>
        </w:tc>
        <w:tc>
          <w:tcPr>
            <w:tcW w:w="1296" w:type="dxa"/>
            <w:noWrap/>
            <w:vAlign w:val="bottom"/>
          </w:tcPr>
          <w:p w:rsidR="00A63037" w:rsidRPr="007C2D51" w:rsidRDefault="000904D9" w:rsidP="000904D9">
            <w:pPr>
              <w:jc w:val="right"/>
              <w:cnfStyle w:val="000000000000"/>
            </w:pPr>
            <w:r w:rsidRPr="007C2D51">
              <w:t>3</w:t>
            </w:r>
          </w:p>
        </w:tc>
      </w:tr>
      <w:tr w:rsidR="000904D9" w:rsidRPr="007C2D51" w:rsidTr="00F15767">
        <w:trPr>
          <w:cnfStyle w:val="000000100000"/>
          <w:trHeight w:val="300"/>
        </w:trPr>
        <w:tc>
          <w:tcPr>
            <w:cnfStyle w:val="001000000000"/>
            <w:tcW w:w="2880" w:type="dxa"/>
            <w:tcBorders>
              <w:top w:val="none" w:sz="0" w:space="0" w:color="auto"/>
              <w:left w:val="none" w:sz="0" w:space="0" w:color="auto"/>
              <w:bottom w:val="none" w:sz="0" w:space="0" w:color="auto"/>
            </w:tcBorders>
            <w:noWrap/>
            <w:vAlign w:val="bottom"/>
          </w:tcPr>
          <w:p w:rsidR="000904D9" w:rsidRPr="007C2D51" w:rsidRDefault="000904D9" w:rsidP="00526171">
            <w:pPr>
              <w:pStyle w:val="ListParagraph"/>
              <w:numPr>
                <w:ilvl w:val="0"/>
                <w:numId w:val="10"/>
              </w:numPr>
              <w:ind w:left="432"/>
            </w:pPr>
            <w:r w:rsidRPr="007C2D51">
              <w:t>Materials and marketing</w:t>
            </w:r>
          </w:p>
        </w:tc>
        <w:tc>
          <w:tcPr>
            <w:tcW w:w="1296" w:type="dxa"/>
            <w:tcBorders>
              <w:top w:val="none" w:sz="0" w:space="0" w:color="auto"/>
              <w:bottom w:val="none" w:sz="0" w:space="0" w:color="auto"/>
            </w:tcBorders>
            <w:shd w:val="clear" w:color="auto" w:fill="D9D9D9" w:themeFill="background1" w:themeFillShade="D9"/>
            <w:noWrap/>
            <w:vAlign w:val="bottom"/>
          </w:tcPr>
          <w:p w:rsidR="000904D9" w:rsidRPr="007C2D51" w:rsidRDefault="000904D9" w:rsidP="000904D9">
            <w:pPr>
              <w:jc w:val="right"/>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0904D9" w:rsidRPr="007C2D51" w:rsidRDefault="000904D9" w:rsidP="000904D9">
            <w:pPr>
              <w:jc w:val="right"/>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0904D9" w:rsidRPr="007C2D51" w:rsidRDefault="000904D9" w:rsidP="000904D9">
            <w:pPr>
              <w:jc w:val="right"/>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0904D9" w:rsidRPr="007C2D51" w:rsidRDefault="000904D9" w:rsidP="000904D9">
            <w:pPr>
              <w:jc w:val="right"/>
              <w:cnfStyle w:val="000000100000"/>
            </w:pPr>
          </w:p>
        </w:tc>
        <w:tc>
          <w:tcPr>
            <w:tcW w:w="1296" w:type="dxa"/>
            <w:tcBorders>
              <w:top w:val="none" w:sz="0" w:space="0" w:color="auto"/>
              <w:bottom w:val="none" w:sz="0" w:space="0" w:color="auto"/>
              <w:right w:val="none" w:sz="0" w:space="0" w:color="auto"/>
            </w:tcBorders>
            <w:noWrap/>
            <w:vAlign w:val="bottom"/>
          </w:tcPr>
          <w:p w:rsidR="000904D9" w:rsidRPr="007C2D51" w:rsidRDefault="000904D9" w:rsidP="000904D9">
            <w:pPr>
              <w:jc w:val="right"/>
              <w:cnfStyle w:val="000000100000"/>
              <w:rPr>
                <w:rFonts w:cs="Calibri"/>
                <w:color w:val="000000"/>
              </w:rPr>
            </w:pPr>
            <w:r w:rsidRPr="007C2D51">
              <w:rPr>
                <w:rFonts w:cs="Calibri"/>
                <w:color w:val="000000"/>
              </w:rPr>
              <w:t>13</w:t>
            </w:r>
          </w:p>
        </w:tc>
      </w:tr>
      <w:tr w:rsidR="000904D9" w:rsidRPr="007C2D51" w:rsidTr="00F15767">
        <w:trPr>
          <w:trHeight w:val="300"/>
        </w:trPr>
        <w:tc>
          <w:tcPr>
            <w:cnfStyle w:val="001000000000"/>
            <w:tcW w:w="2880" w:type="dxa"/>
            <w:noWrap/>
            <w:vAlign w:val="bottom"/>
          </w:tcPr>
          <w:p w:rsidR="000904D9" w:rsidRPr="007C2D51" w:rsidRDefault="000904D9" w:rsidP="00526171">
            <w:pPr>
              <w:pStyle w:val="ListParagraph"/>
              <w:numPr>
                <w:ilvl w:val="0"/>
                <w:numId w:val="10"/>
              </w:numPr>
              <w:ind w:left="432"/>
            </w:pPr>
            <w:r w:rsidRPr="007C2D51">
              <w:t>Transportation resource training</w:t>
            </w:r>
          </w:p>
        </w:tc>
        <w:tc>
          <w:tcPr>
            <w:tcW w:w="1296" w:type="dxa"/>
            <w:shd w:val="clear" w:color="auto" w:fill="D9D9D9" w:themeFill="background1" w:themeFillShade="D9"/>
            <w:noWrap/>
            <w:vAlign w:val="bottom"/>
          </w:tcPr>
          <w:p w:rsidR="000904D9" w:rsidRPr="007C2D51" w:rsidRDefault="000904D9" w:rsidP="000904D9">
            <w:pPr>
              <w:jc w:val="right"/>
              <w:cnfStyle w:val="000000000000"/>
            </w:pPr>
          </w:p>
        </w:tc>
        <w:tc>
          <w:tcPr>
            <w:tcW w:w="1296" w:type="dxa"/>
            <w:shd w:val="clear" w:color="auto" w:fill="D9D9D9" w:themeFill="background1" w:themeFillShade="D9"/>
            <w:noWrap/>
            <w:vAlign w:val="bottom"/>
          </w:tcPr>
          <w:p w:rsidR="000904D9" w:rsidRPr="007C2D51" w:rsidRDefault="000904D9" w:rsidP="000904D9">
            <w:pPr>
              <w:jc w:val="right"/>
              <w:cnfStyle w:val="000000000000"/>
            </w:pPr>
          </w:p>
        </w:tc>
        <w:tc>
          <w:tcPr>
            <w:tcW w:w="1296" w:type="dxa"/>
            <w:shd w:val="clear" w:color="auto" w:fill="D9D9D9" w:themeFill="background1" w:themeFillShade="D9"/>
            <w:noWrap/>
            <w:vAlign w:val="bottom"/>
          </w:tcPr>
          <w:p w:rsidR="000904D9" w:rsidRPr="007C2D51" w:rsidRDefault="000904D9" w:rsidP="000904D9">
            <w:pPr>
              <w:jc w:val="right"/>
              <w:cnfStyle w:val="000000000000"/>
            </w:pPr>
          </w:p>
        </w:tc>
        <w:tc>
          <w:tcPr>
            <w:tcW w:w="1296" w:type="dxa"/>
            <w:shd w:val="clear" w:color="auto" w:fill="D9D9D9" w:themeFill="background1" w:themeFillShade="D9"/>
            <w:noWrap/>
            <w:vAlign w:val="bottom"/>
          </w:tcPr>
          <w:p w:rsidR="000904D9" w:rsidRPr="007C2D51" w:rsidRDefault="000904D9" w:rsidP="000904D9">
            <w:pPr>
              <w:jc w:val="right"/>
              <w:cnfStyle w:val="000000000000"/>
            </w:pPr>
          </w:p>
        </w:tc>
        <w:tc>
          <w:tcPr>
            <w:tcW w:w="1296" w:type="dxa"/>
            <w:noWrap/>
            <w:vAlign w:val="bottom"/>
          </w:tcPr>
          <w:p w:rsidR="000904D9" w:rsidRPr="007C2D51" w:rsidRDefault="000904D9" w:rsidP="000904D9">
            <w:pPr>
              <w:jc w:val="right"/>
              <w:cnfStyle w:val="000000000000"/>
            </w:pPr>
            <w:r w:rsidRPr="007C2D51">
              <w:t>10</w:t>
            </w:r>
          </w:p>
        </w:tc>
      </w:tr>
      <w:tr w:rsidR="000904D9" w:rsidRPr="007C2D51" w:rsidTr="00F15767">
        <w:trPr>
          <w:cnfStyle w:val="000000100000"/>
          <w:trHeight w:val="300"/>
        </w:trPr>
        <w:tc>
          <w:tcPr>
            <w:cnfStyle w:val="001000000000"/>
            <w:tcW w:w="2880" w:type="dxa"/>
            <w:tcBorders>
              <w:top w:val="none" w:sz="0" w:space="0" w:color="auto"/>
              <w:left w:val="none" w:sz="0" w:space="0" w:color="auto"/>
              <w:bottom w:val="none" w:sz="0" w:space="0" w:color="auto"/>
            </w:tcBorders>
            <w:shd w:val="clear" w:color="auto" w:fill="475A8D" w:themeFill="accent6"/>
            <w:noWrap/>
            <w:vAlign w:val="bottom"/>
          </w:tcPr>
          <w:p w:rsidR="000904D9" w:rsidRPr="007C2D51" w:rsidRDefault="000904D9" w:rsidP="000904D9">
            <w:pPr>
              <w:rPr>
                <w:color w:val="FFFFFF" w:themeColor="background1"/>
              </w:rPr>
            </w:pPr>
            <w:r w:rsidRPr="007C2D51">
              <w:rPr>
                <w:color w:val="FFFFFF" w:themeColor="background1"/>
              </w:rPr>
              <w:t>III.  Capital Investment</w:t>
            </w:r>
          </w:p>
        </w:tc>
        <w:tc>
          <w:tcPr>
            <w:tcW w:w="1296" w:type="dxa"/>
            <w:tcBorders>
              <w:top w:val="none" w:sz="0" w:space="0" w:color="auto"/>
              <w:bottom w:val="none" w:sz="0" w:space="0" w:color="auto"/>
            </w:tcBorders>
            <w:shd w:val="clear" w:color="auto" w:fill="475A8D" w:themeFill="accent6"/>
            <w:noWrap/>
            <w:vAlign w:val="bottom"/>
          </w:tcPr>
          <w:p w:rsidR="000904D9" w:rsidRPr="007C2D51" w:rsidRDefault="000904D9" w:rsidP="000904D9">
            <w:pPr>
              <w:jc w:val="right"/>
              <w:cnfStyle w:val="000000100000"/>
              <w:rPr>
                <w:rFonts w:cs="Calibri"/>
                <w:b/>
                <w:bCs/>
                <w:color w:val="FFFFFF" w:themeColor="background1"/>
              </w:rPr>
            </w:pPr>
            <w:r w:rsidRPr="007C2D51">
              <w:rPr>
                <w:rFonts w:cs="Calibri"/>
                <w:b/>
                <w:bCs/>
                <w:color w:val="FFFFFF" w:themeColor="background1"/>
              </w:rPr>
              <w:t>12</w:t>
            </w:r>
          </w:p>
        </w:tc>
        <w:tc>
          <w:tcPr>
            <w:tcW w:w="1296" w:type="dxa"/>
            <w:tcBorders>
              <w:top w:val="none" w:sz="0" w:space="0" w:color="auto"/>
              <w:bottom w:val="none" w:sz="0" w:space="0" w:color="auto"/>
            </w:tcBorders>
            <w:shd w:val="clear" w:color="auto" w:fill="475A8D" w:themeFill="accent6"/>
            <w:noWrap/>
            <w:vAlign w:val="bottom"/>
          </w:tcPr>
          <w:p w:rsidR="000904D9" w:rsidRPr="007C2D51" w:rsidRDefault="000904D9" w:rsidP="000904D9">
            <w:pPr>
              <w:jc w:val="right"/>
              <w:cnfStyle w:val="000000100000"/>
              <w:rPr>
                <w:rFonts w:cs="Calibri"/>
                <w:b/>
                <w:bCs/>
                <w:color w:val="FFFFFF" w:themeColor="background1"/>
              </w:rPr>
            </w:pPr>
            <w:r w:rsidRPr="007C2D51">
              <w:rPr>
                <w:rFonts w:cs="Calibri"/>
                <w:b/>
                <w:bCs/>
                <w:color w:val="FFFFFF" w:themeColor="background1"/>
              </w:rPr>
              <w:t>6</w:t>
            </w:r>
          </w:p>
        </w:tc>
        <w:tc>
          <w:tcPr>
            <w:tcW w:w="1296" w:type="dxa"/>
            <w:tcBorders>
              <w:top w:val="none" w:sz="0" w:space="0" w:color="auto"/>
              <w:bottom w:val="none" w:sz="0" w:space="0" w:color="auto"/>
            </w:tcBorders>
            <w:shd w:val="clear" w:color="auto" w:fill="475A8D" w:themeFill="accent6"/>
            <w:noWrap/>
            <w:vAlign w:val="bottom"/>
          </w:tcPr>
          <w:p w:rsidR="000904D9" w:rsidRPr="007C2D51" w:rsidRDefault="000904D9" w:rsidP="000904D9">
            <w:pPr>
              <w:jc w:val="right"/>
              <w:cnfStyle w:val="000000100000"/>
              <w:rPr>
                <w:rFonts w:cs="Calibri"/>
                <w:b/>
                <w:bCs/>
                <w:color w:val="FFFFFF" w:themeColor="background1"/>
              </w:rPr>
            </w:pPr>
            <w:r w:rsidRPr="007C2D51">
              <w:rPr>
                <w:rFonts w:cs="Calibri"/>
                <w:b/>
                <w:bCs/>
                <w:color w:val="FFFFFF" w:themeColor="background1"/>
              </w:rPr>
              <w:t>23</w:t>
            </w:r>
          </w:p>
        </w:tc>
        <w:tc>
          <w:tcPr>
            <w:tcW w:w="1296" w:type="dxa"/>
            <w:tcBorders>
              <w:top w:val="none" w:sz="0" w:space="0" w:color="auto"/>
              <w:bottom w:val="none" w:sz="0" w:space="0" w:color="auto"/>
            </w:tcBorders>
            <w:shd w:val="clear" w:color="auto" w:fill="475A8D" w:themeFill="accent6"/>
            <w:noWrap/>
            <w:vAlign w:val="bottom"/>
          </w:tcPr>
          <w:p w:rsidR="000904D9" w:rsidRPr="007C2D51" w:rsidRDefault="000904D9" w:rsidP="000904D9">
            <w:pPr>
              <w:jc w:val="right"/>
              <w:cnfStyle w:val="000000100000"/>
              <w:rPr>
                <w:rFonts w:cs="Calibri"/>
                <w:b/>
                <w:bCs/>
                <w:color w:val="FFFFFF" w:themeColor="background1"/>
              </w:rPr>
            </w:pPr>
            <w:r w:rsidRPr="007C2D51">
              <w:rPr>
                <w:rFonts w:cs="Calibri"/>
                <w:b/>
                <w:bCs/>
                <w:color w:val="FFFFFF" w:themeColor="background1"/>
              </w:rPr>
              <w:t>42</w:t>
            </w:r>
          </w:p>
        </w:tc>
        <w:tc>
          <w:tcPr>
            <w:tcW w:w="1296" w:type="dxa"/>
            <w:tcBorders>
              <w:top w:val="none" w:sz="0" w:space="0" w:color="auto"/>
              <w:bottom w:val="none" w:sz="0" w:space="0" w:color="auto"/>
              <w:right w:val="none" w:sz="0" w:space="0" w:color="auto"/>
            </w:tcBorders>
            <w:shd w:val="clear" w:color="auto" w:fill="475A8D" w:themeFill="accent6"/>
            <w:noWrap/>
            <w:vAlign w:val="bottom"/>
          </w:tcPr>
          <w:p w:rsidR="000904D9" w:rsidRPr="007C2D51" w:rsidRDefault="000904D9" w:rsidP="000904D9">
            <w:pPr>
              <w:jc w:val="right"/>
              <w:cnfStyle w:val="000000100000"/>
              <w:rPr>
                <w:rFonts w:cs="Calibri"/>
                <w:b/>
                <w:bCs/>
                <w:color w:val="FFFFFF" w:themeColor="background1"/>
              </w:rPr>
            </w:pPr>
          </w:p>
        </w:tc>
      </w:tr>
      <w:tr w:rsidR="000904D9" w:rsidRPr="007C2D51" w:rsidTr="00F15767">
        <w:trPr>
          <w:trHeight w:val="300"/>
        </w:trPr>
        <w:tc>
          <w:tcPr>
            <w:cnfStyle w:val="001000000000"/>
            <w:tcW w:w="2880" w:type="dxa"/>
            <w:noWrap/>
            <w:vAlign w:val="bottom"/>
          </w:tcPr>
          <w:p w:rsidR="000904D9" w:rsidRPr="007C2D51" w:rsidRDefault="000904D9" w:rsidP="00526171">
            <w:pPr>
              <w:pStyle w:val="ListParagraph"/>
              <w:numPr>
                <w:ilvl w:val="0"/>
                <w:numId w:val="11"/>
              </w:numPr>
              <w:ind w:left="432"/>
            </w:pPr>
            <w:r w:rsidRPr="007C2D51">
              <w:t>Vehicle for individual</w:t>
            </w:r>
          </w:p>
        </w:tc>
        <w:tc>
          <w:tcPr>
            <w:tcW w:w="1296" w:type="dxa"/>
            <w:shd w:val="clear" w:color="auto" w:fill="D9D9D9" w:themeFill="background1" w:themeFillShade="D9"/>
            <w:noWrap/>
            <w:vAlign w:val="bottom"/>
          </w:tcPr>
          <w:p w:rsidR="000904D9" w:rsidRPr="007C2D51" w:rsidRDefault="000904D9" w:rsidP="000904D9">
            <w:pPr>
              <w:jc w:val="right"/>
              <w:cnfStyle w:val="000000000000"/>
            </w:pPr>
          </w:p>
        </w:tc>
        <w:tc>
          <w:tcPr>
            <w:tcW w:w="1296" w:type="dxa"/>
            <w:shd w:val="clear" w:color="auto" w:fill="D9D9D9" w:themeFill="background1" w:themeFillShade="D9"/>
            <w:noWrap/>
            <w:vAlign w:val="bottom"/>
          </w:tcPr>
          <w:p w:rsidR="000904D9" w:rsidRPr="007C2D51" w:rsidRDefault="000904D9" w:rsidP="000904D9">
            <w:pPr>
              <w:jc w:val="right"/>
              <w:cnfStyle w:val="000000000000"/>
            </w:pPr>
          </w:p>
        </w:tc>
        <w:tc>
          <w:tcPr>
            <w:tcW w:w="1296" w:type="dxa"/>
            <w:shd w:val="clear" w:color="auto" w:fill="D9D9D9" w:themeFill="background1" w:themeFillShade="D9"/>
            <w:noWrap/>
            <w:vAlign w:val="bottom"/>
          </w:tcPr>
          <w:p w:rsidR="000904D9" w:rsidRPr="007C2D51" w:rsidRDefault="000904D9" w:rsidP="000904D9">
            <w:pPr>
              <w:jc w:val="right"/>
              <w:cnfStyle w:val="000000000000"/>
            </w:pPr>
          </w:p>
        </w:tc>
        <w:tc>
          <w:tcPr>
            <w:tcW w:w="1296" w:type="dxa"/>
            <w:shd w:val="clear" w:color="auto" w:fill="auto"/>
            <w:noWrap/>
            <w:vAlign w:val="bottom"/>
          </w:tcPr>
          <w:p w:rsidR="000904D9" w:rsidRPr="007C2D51" w:rsidRDefault="000904D9" w:rsidP="000904D9">
            <w:pPr>
              <w:jc w:val="right"/>
              <w:cnfStyle w:val="000000000000"/>
            </w:pPr>
            <w:r w:rsidRPr="007C2D51">
              <w:t>31</w:t>
            </w:r>
          </w:p>
        </w:tc>
        <w:tc>
          <w:tcPr>
            <w:tcW w:w="1296" w:type="dxa"/>
            <w:shd w:val="clear" w:color="auto" w:fill="D9D9D9" w:themeFill="background1" w:themeFillShade="D9"/>
            <w:noWrap/>
            <w:vAlign w:val="bottom"/>
          </w:tcPr>
          <w:p w:rsidR="000904D9" w:rsidRPr="007C2D51" w:rsidRDefault="000904D9" w:rsidP="000904D9">
            <w:pPr>
              <w:jc w:val="right"/>
              <w:cnfStyle w:val="000000000000"/>
            </w:pPr>
          </w:p>
        </w:tc>
      </w:tr>
      <w:tr w:rsidR="000904D9" w:rsidRPr="007C2D51" w:rsidTr="00F15767">
        <w:trPr>
          <w:cnfStyle w:val="000000100000"/>
          <w:trHeight w:val="300"/>
        </w:trPr>
        <w:tc>
          <w:tcPr>
            <w:cnfStyle w:val="001000000000"/>
            <w:tcW w:w="2880" w:type="dxa"/>
            <w:tcBorders>
              <w:top w:val="none" w:sz="0" w:space="0" w:color="auto"/>
              <w:left w:val="none" w:sz="0" w:space="0" w:color="auto"/>
              <w:bottom w:val="none" w:sz="0" w:space="0" w:color="auto"/>
            </w:tcBorders>
            <w:noWrap/>
            <w:vAlign w:val="bottom"/>
          </w:tcPr>
          <w:p w:rsidR="000904D9" w:rsidRPr="007C2D51" w:rsidRDefault="000904D9" w:rsidP="00526171">
            <w:pPr>
              <w:pStyle w:val="ListParagraph"/>
              <w:numPr>
                <w:ilvl w:val="0"/>
                <w:numId w:val="11"/>
              </w:numPr>
              <w:ind w:left="432"/>
            </w:pPr>
            <w:r w:rsidRPr="007C2D51">
              <w:t>Vehicle for agency</w:t>
            </w:r>
          </w:p>
        </w:tc>
        <w:tc>
          <w:tcPr>
            <w:tcW w:w="1296" w:type="dxa"/>
            <w:tcBorders>
              <w:top w:val="none" w:sz="0" w:space="0" w:color="auto"/>
              <w:bottom w:val="none" w:sz="0" w:space="0" w:color="auto"/>
            </w:tcBorders>
            <w:shd w:val="clear" w:color="auto" w:fill="auto"/>
            <w:noWrap/>
            <w:vAlign w:val="bottom"/>
          </w:tcPr>
          <w:p w:rsidR="000904D9" w:rsidRPr="007C2D51" w:rsidRDefault="000904D9" w:rsidP="000904D9">
            <w:pPr>
              <w:jc w:val="right"/>
              <w:cnfStyle w:val="000000100000"/>
              <w:rPr>
                <w:rFonts w:cs="Calibri"/>
                <w:color w:val="000000"/>
              </w:rPr>
            </w:pPr>
            <w:r w:rsidRPr="007C2D51">
              <w:rPr>
                <w:rFonts w:cs="Calibri"/>
                <w:color w:val="000000"/>
              </w:rPr>
              <w:t>10</w:t>
            </w:r>
          </w:p>
        </w:tc>
        <w:tc>
          <w:tcPr>
            <w:tcW w:w="1296" w:type="dxa"/>
            <w:tcBorders>
              <w:top w:val="none" w:sz="0" w:space="0" w:color="auto"/>
              <w:bottom w:val="none" w:sz="0" w:space="0" w:color="auto"/>
            </w:tcBorders>
            <w:shd w:val="clear" w:color="auto" w:fill="auto"/>
            <w:noWrap/>
            <w:vAlign w:val="bottom"/>
          </w:tcPr>
          <w:p w:rsidR="000904D9" w:rsidRPr="007C2D51" w:rsidRDefault="000904D9" w:rsidP="000904D9">
            <w:pPr>
              <w:jc w:val="right"/>
              <w:cnfStyle w:val="000000100000"/>
              <w:rPr>
                <w:rFonts w:cs="Calibri"/>
                <w:color w:val="000000"/>
              </w:rPr>
            </w:pPr>
            <w:r w:rsidRPr="007C2D51">
              <w:rPr>
                <w:rFonts w:cs="Calibri"/>
                <w:color w:val="000000"/>
              </w:rPr>
              <w:t>6</w:t>
            </w:r>
          </w:p>
        </w:tc>
        <w:tc>
          <w:tcPr>
            <w:tcW w:w="1296" w:type="dxa"/>
            <w:tcBorders>
              <w:top w:val="none" w:sz="0" w:space="0" w:color="auto"/>
              <w:bottom w:val="none" w:sz="0" w:space="0" w:color="auto"/>
            </w:tcBorders>
            <w:shd w:val="clear" w:color="auto" w:fill="auto"/>
            <w:noWrap/>
            <w:vAlign w:val="bottom"/>
          </w:tcPr>
          <w:p w:rsidR="000904D9" w:rsidRPr="007C2D51" w:rsidRDefault="000904D9" w:rsidP="000904D9">
            <w:pPr>
              <w:jc w:val="right"/>
              <w:cnfStyle w:val="000000100000"/>
              <w:rPr>
                <w:rFonts w:cs="Calibri"/>
                <w:color w:val="000000"/>
              </w:rPr>
            </w:pPr>
            <w:r w:rsidRPr="007C2D51">
              <w:rPr>
                <w:rFonts w:cs="Calibri"/>
                <w:color w:val="000000"/>
              </w:rPr>
              <w:t>16</w:t>
            </w:r>
          </w:p>
        </w:tc>
        <w:tc>
          <w:tcPr>
            <w:tcW w:w="1296" w:type="dxa"/>
            <w:tcBorders>
              <w:top w:val="none" w:sz="0" w:space="0" w:color="auto"/>
              <w:bottom w:val="none" w:sz="0" w:space="0" w:color="auto"/>
            </w:tcBorders>
            <w:shd w:val="clear" w:color="auto" w:fill="D9D9D9" w:themeFill="background1" w:themeFillShade="D9"/>
            <w:noWrap/>
            <w:vAlign w:val="bottom"/>
          </w:tcPr>
          <w:p w:rsidR="000904D9" w:rsidRPr="007C2D51" w:rsidRDefault="000904D9" w:rsidP="000904D9">
            <w:pPr>
              <w:jc w:val="right"/>
              <w:cnfStyle w:val="000000100000"/>
              <w:rPr>
                <w:rFonts w:cs="Calibri"/>
                <w:color w:val="000000"/>
              </w:rPr>
            </w:pPr>
          </w:p>
        </w:tc>
        <w:tc>
          <w:tcPr>
            <w:tcW w:w="1296" w:type="dxa"/>
            <w:tcBorders>
              <w:top w:val="none" w:sz="0" w:space="0" w:color="auto"/>
              <w:bottom w:val="none" w:sz="0" w:space="0" w:color="auto"/>
              <w:right w:val="none" w:sz="0" w:space="0" w:color="auto"/>
            </w:tcBorders>
            <w:shd w:val="clear" w:color="auto" w:fill="D9D9D9" w:themeFill="background1" w:themeFillShade="D9"/>
            <w:noWrap/>
            <w:vAlign w:val="bottom"/>
          </w:tcPr>
          <w:p w:rsidR="000904D9" w:rsidRPr="007C2D51" w:rsidRDefault="000904D9" w:rsidP="000904D9">
            <w:pPr>
              <w:jc w:val="right"/>
              <w:cnfStyle w:val="000000100000"/>
              <w:rPr>
                <w:rFonts w:cs="Calibri"/>
                <w:color w:val="000000"/>
              </w:rPr>
            </w:pPr>
          </w:p>
        </w:tc>
      </w:tr>
      <w:tr w:rsidR="000904D9" w:rsidRPr="007C2D51" w:rsidTr="00F15767">
        <w:trPr>
          <w:trHeight w:val="300"/>
        </w:trPr>
        <w:tc>
          <w:tcPr>
            <w:cnfStyle w:val="001000000000"/>
            <w:tcW w:w="2880" w:type="dxa"/>
            <w:noWrap/>
            <w:vAlign w:val="bottom"/>
          </w:tcPr>
          <w:p w:rsidR="000904D9" w:rsidRPr="007C2D51" w:rsidRDefault="000904D9" w:rsidP="00526171">
            <w:pPr>
              <w:pStyle w:val="ListParagraph"/>
              <w:numPr>
                <w:ilvl w:val="0"/>
                <w:numId w:val="11"/>
              </w:numPr>
              <w:ind w:left="432"/>
            </w:pPr>
            <w:r w:rsidRPr="007C2D51">
              <w:t>Vanpool vehicles</w:t>
            </w:r>
          </w:p>
        </w:tc>
        <w:tc>
          <w:tcPr>
            <w:tcW w:w="1296" w:type="dxa"/>
            <w:shd w:val="clear" w:color="auto" w:fill="D9D9D9" w:themeFill="background1" w:themeFillShade="D9"/>
            <w:noWrap/>
            <w:vAlign w:val="bottom"/>
          </w:tcPr>
          <w:p w:rsidR="000904D9" w:rsidRPr="007C2D51" w:rsidRDefault="000904D9" w:rsidP="000904D9">
            <w:pPr>
              <w:jc w:val="right"/>
              <w:cnfStyle w:val="000000000000"/>
              <w:rPr>
                <w:rFonts w:cs="Calibri"/>
                <w:color w:val="000000"/>
              </w:rPr>
            </w:pPr>
          </w:p>
        </w:tc>
        <w:tc>
          <w:tcPr>
            <w:tcW w:w="1296" w:type="dxa"/>
            <w:shd w:val="clear" w:color="auto" w:fill="D9D9D9" w:themeFill="background1" w:themeFillShade="D9"/>
            <w:noWrap/>
            <w:vAlign w:val="bottom"/>
          </w:tcPr>
          <w:p w:rsidR="000904D9" w:rsidRPr="007C2D51" w:rsidRDefault="000904D9" w:rsidP="000904D9">
            <w:pPr>
              <w:jc w:val="right"/>
              <w:cnfStyle w:val="000000000000"/>
              <w:rPr>
                <w:rFonts w:cs="Calibri"/>
                <w:color w:val="000000"/>
              </w:rPr>
            </w:pPr>
          </w:p>
        </w:tc>
        <w:tc>
          <w:tcPr>
            <w:tcW w:w="1296" w:type="dxa"/>
            <w:shd w:val="clear" w:color="auto" w:fill="auto"/>
            <w:noWrap/>
            <w:vAlign w:val="bottom"/>
          </w:tcPr>
          <w:p w:rsidR="000904D9" w:rsidRPr="007C2D51" w:rsidRDefault="000904D9" w:rsidP="000904D9">
            <w:pPr>
              <w:jc w:val="right"/>
              <w:cnfStyle w:val="000000000000"/>
              <w:rPr>
                <w:rFonts w:cs="Calibri"/>
                <w:color w:val="000000"/>
              </w:rPr>
            </w:pPr>
            <w:r w:rsidRPr="007C2D51">
              <w:rPr>
                <w:rFonts w:cs="Calibri"/>
                <w:color w:val="000000"/>
              </w:rPr>
              <w:t>1</w:t>
            </w:r>
          </w:p>
        </w:tc>
        <w:tc>
          <w:tcPr>
            <w:tcW w:w="1296" w:type="dxa"/>
            <w:noWrap/>
            <w:vAlign w:val="bottom"/>
          </w:tcPr>
          <w:p w:rsidR="000904D9" w:rsidRPr="007C2D51" w:rsidRDefault="000904D9" w:rsidP="000904D9">
            <w:pPr>
              <w:jc w:val="right"/>
              <w:cnfStyle w:val="000000000000"/>
              <w:rPr>
                <w:rFonts w:cs="Calibri"/>
                <w:color w:val="000000"/>
              </w:rPr>
            </w:pPr>
            <w:r w:rsidRPr="007C2D51">
              <w:rPr>
                <w:rFonts w:cs="Calibri"/>
                <w:color w:val="000000"/>
              </w:rPr>
              <w:t>3</w:t>
            </w:r>
          </w:p>
        </w:tc>
        <w:tc>
          <w:tcPr>
            <w:tcW w:w="1296" w:type="dxa"/>
            <w:shd w:val="clear" w:color="auto" w:fill="D9D9D9" w:themeFill="background1" w:themeFillShade="D9"/>
            <w:noWrap/>
            <w:vAlign w:val="bottom"/>
          </w:tcPr>
          <w:p w:rsidR="000904D9" w:rsidRPr="007C2D51" w:rsidRDefault="000904D9" w:rsidP="000904D9">
            <w:pPr>
              <w:jc w:val="right"/>
              <w:cnfStyle w:val="000000000000"/>
              <w:rPr>
                <w:rFonts w:cs="Calibri"/>
                <w:color w:val="000000"/>
              </w:rPr>
            </w:pPr>
          </w:p>
        </w:tc>
      </w:tr>
      <w:tr w:rsidR="000904D9" w:rsidRPr="007C2D51" w:rsidTr="00F15767">
        <w:trPr>
          <w:cnfStyle w:val="000000100000"/>
          <w:trHeight w:val="300"/>
        </w:trPr>
        <w:tc>
          <w:tcPr>
            <w:cnfStyle w:val="001000000000"/>
            <w:tcW w:w="2880" w:type="dxa"/>
            <w:tcBorders>
              <w:top w:val="none" w:sz="0" w:space="0" w:color="auto"/>
              <w:left w:val="none" w:sz="0" w:space="0" w:color="auto"/>
              <w:bottom w:val="none" w:sz="0" w:space="0" w:color="auto"/>
            </w:tcBorders>
            <w:noWrap/>
            <w:vAlign w:val="bottom"/>
          </w:tcPr>
          <w:p w:rsidR="000904D9" w:rsidRPr="007C2D51" w:rsidRDefault="000904D9" w:rsidP="00526171">
            <w:pPr>
              <w:pStyle w:val="ListParagraph"/>
              <w:numPr>
                <w:ilvl w:val="0"/>
                <w:numId w:val="11"/>
              </w:numPr>
              <w:ind w:left="432"/>
            </w:pPr>
            <w:r w:rsidRPr="007C2D51">
              <w:t>Car-sharing</w:t>
            </w:r>
          </w:p>
        </w:tc>
        <w:tc>
          <w:tcPr>
            <w:tcW w:w="1296" w:type="dxa"/>
            <w:tcBorders>
              <w:top w:val="none" w:sz="0" w:space="0" w:color="auto"/>
              <w:bottom w:val="none" w:sz="0" w:space="0" w:color="auto"/>
            </w:tcBorders>
            <w:noWrap/>
            <w:vAlign w:val="bottom"/>
          </w:tcPr>
          <w:p w:rsidR="000904D9" w:rsidRPr="007C2D51" w:rsidRDefault="000904D9" w:rsidP="000904D9">
            <w:pPr>
              <w:jc w:val="right"/>
              <w:cnfStyle w:val="000000100000"/>
            </w:pPr>
            <w:r w:rsidRPr="007C2D51">
              <w:t>1</w:t>
            </w:r>
          </w:p>
        </w:tc>
        <w:tc>
          <w:tcPr>
            <w:tcW w:w="1296" w:type="dxa"/>
            <w:tcBorders>
              <w:top w:val="none" w:sz="0" w:space="0" w:color="auto"/>
              <w:bottom w:val="none" w:sz="0" w:space="0" w:color="auto"/>
            </w:tcBorders>
            <w:shd w:val="clear" w:color="auto" w:fill="D9D9D9" w:themeFill="background1" w:themeFillShade="D9"/>
            <w:noWrap/>
            <w:vAlign w:val="bottom"/>
          </w:tcPr>
          <w:p w:rsidR="000904D9" w:rsidRPr="007C2D51" w:rsidRDefault="000904D9" w:rsidP="000904D9">
            <w:pPr>
              <w:jc w:val="right"/>
              <w:cnfStyle w:val="000000100000"/>
            </w:pPr>
          </w:p>
        </w:tc>
        <w:tc>
          <w:tcPr>
            <w:tcW w:w="1296" w:type="dxa"/>
            <w:tcBorders>
              <w:top w:val="none" w:sz="0" w:space="0" w:color="auto"/>
              <w:bottom w:val="none" w:sz="0" w:space="0" w:color="auto"/>
            </w:tcBorders>
            <w:noWrap/>
            <w:vAlign w:val="bottom"/>
          </w:tcPr>
          <w:p w:rsidR="000904D9" w:rsidRPr="007C2D51" w:rsidRDefault="000904D9" w:rsidP="000904D9">
            <w:pPr>
              <w:jc w:val="right"/>
              <w:cnfStyle w:val="000000100000"/>
            </w:pPr>
            <w:r w:rsidRPr="007C2D51">
              <w:t>0</w:t>
            </w:r>
          </w:p>
        </w:tc>
        <w:tc>
          <w:tcPr>
            <w:tcW w:w="1296" w:type="dxa"/>
            <w:tcBorders>
              <w:top w:val="none" w:sz="0" w:space="0" w:color="auto"/>
              <w:bottom w:val="none" w:sz="0" w:space="0" w:color="auto"/>
            </w:tcBorders>
            <w:shd w:val="clear" w:color="auto" w:fill="D9D9D9" w:themeFill="background1" w:themeFillShade="D9"/>
            <w:noWrap/>
            <w:vAlign w:val="bottom"/>
          </w:tcPr>
          <w:p w:rsidR="000904D9" w:rsidRPr="007C2D51" w:rsidRDefault="000904D9" w:rsidP="000904D9">
            <w:pPr>
              <w:jc w:val="right"/>
              <w:cnfStyle w:val="000000100000"/>
            </w:pPr>
          </w:p>
        </w:tc>
        <w:tc>
          <w:tcPr>
            <w:tcW w:w="1296" w:type="dxa"/>
            <w:tcBorders>
              <w:top w:val="none" w:sz="0" w:space="0" w:color="auto"/>
              <w:bottom w:val="none" w:sz="0" w:space="0" w:color="auto"/>
              <w:right w:val="none" w:sz="0" w:space="0" w:color="auto"/>
            </w:tcBorders>
            <w:shd w:val="clear" w:color="auto" w:fill="D9D9D9" w:themeFill="background1" w:themeFillShade="D9"/>
            <w:noWrap/>
            <w:vAlign w:val="bottom"/>
          </w:tcPr>
          <w:p w:rsidR="000904D9" w:rsidRPr="007C2D51" w:rsidRDefault="000904D9" w:rsidP="000904D9">
            <w:pPr>
              <w:jc w:val="right"/>
              <w:cnfStyle w:val="000000100000"/>
            </w:pPr>
          </w:p>
        </w:tc>
      </w:tr>
      <w:tr w:rsidR="000904D9" w:rsidRPr="007C2D51" w:rsidTr="00F15767">
        <w:trPr>
          <w:trHeight w:val="300"/>
        </w:trPr>
        <w:tc>
          <w:tcPr>
            <w:cnfStyle w:val="001000000000"/>
            <w:tcW w:w="2880" w:type="dxa"/>
            <w:noWrap/>
            <w:vAlign w:val="bottom"/>
          </w:tcPr>
          <w:p w:rsidR="000904D9" w:rsidRPr="007C2D51" w:rsidRDefault="000904D9" w:rsidP="00526171">
            <w:pPr>
              <w:pStyle w:val="ListParagraph"/>
              <w:numPr>
                <w:ilvl w:val="0"/>
                <w:numId w:val="11"/>
              </w:numPr>
              <w:ind w:left="432"/>
            </w:pPr>
            <w:r w:rsidRPr="007C2D51">
              <w:t>ITS investments</w:t>
            </w:r>
          </w:p>
        </w:tc>
        <w:tc>
          <w:tcPr>
            <w:tcW w:w="1296" w:type="dxa"/>
            <w:shd w:val="clear" w:color="auto" w:fill="D9D9D9" w:themeFill="background1" w:themeFillShade="D9"/>
            <w:noWrap/>
            <w:vAlign w:val="bottom"/>
          </w:tcPr>
          <w:p w:rsidR="000904D9" w:rsidRPr="007C2D51" w:rsidRDefault="000904D9" w:rsidP="000904D9">
            <w:pPr>
              <w:jc w:val="right"/>
              <w:cnfStyle w:val="000000000000"/>
              <w:rPr>
                <w:rFonts w:cs="Calibri"/>
                <w:color w:val="000000"/>
              </w:rPr>
            </w:pPr>
          </w:p>
        </w:tc>
        <w:tc>
          <w:tcPr>
            <w:tcW w:w="1296" w:type="dxa"/>
            <w:shd w:val="clear" w:color="auto" w:fill="D9D9D9" w:themeFill="background1" w:themeFillShade="D9"/>
            <w:noWrap/>
            <w:vAlign w:val="bottom"/>
          </w:tcPr>
          <w:p w:rsidR="000904D9" w:rsidRPr="007C2D51" w:rsidRDefault="000904D9" w:rsidP="000904D9">
            <w:pPr>
              <w:jc w:val="right"/>
              <w:cnfStyle w:val="000000000000"/>
              <w:rPr>
                <w:rFonts w:cs="Calibri"/>
                <w:color w:val="000000"/>
              </w:rPr>
            </w:pPr>
          </w:p>
        </w:tc>
        <w:tc>
          <w:tcPr>
            <w:tcW w:w="1296" w:type="dxa"/>
            <w:noWrap/>
            <w:vAlign w:val="bottom"/>
          </w:tcPr>
          <w:p w:rsidR="000904D9" w:rsidRPr="007C2D51" w:rsidRDefault="000904D9" w:rsidP="000904D9">
            <w:pPr>
              <w:jc w:val="right"/>
              <w:cnfStyle w:val="000000000000"/>
              <w:rPr>
                <w:rFonts w:cs="Calibri"/>
                <w:color w:val="000000"/>
              </w:rPr>
            </w:pPr>
            <w:r w:rsidRPr="007C2D51">
              <w:rPr>
                <w:rFonts w:cs="Calibri"/>
                <w:color w:val="000000"/>
              </w:rPr>
              <w:t>6</w:t>
            </w:r>
          </w:p>
        </w:tc>
        <w:tc>
          <w:tcPr>
            <w:tcW w:w="1296" w:type="dxa"/>
            <w:noWrap/>
            <w:vAlign w:val="bottom"/>
          </w:tcPr>
          <w:p w:rsidR="000904D9" w:rsidRPr="007C2D51" w:rsidRDefault="000904D9" w:rsidP="000904D9">
            <w:pPr>
              <w:jc w:val="right"/>
              <w:cnfStyle w:val="000000000000"/>
              <w:rPr>
                <w:rFonts w:cs="Calibri"/>
                <w:color w:val="000000"/>
              </w:rPr>
            </w:pPr>
            <w:r w:rsidRPr="007C2D51">
              <w:rPr>
                <w:rFonts w:cs="Calibri"/>
                <w:color w:val="000000"/>
              </w:rPr>
              <w:t>6</w:t>
            </w:r>
          </w:p>
        </w:tc>
        <w:tc>
          <w:tcPr>
            <w:tcW w:w="1296" w:type="dxa"/>
            <w:noWrap/>
            <w:vAlign w:val="bottom"/>
          </w:tcPr>
          <w:p w:rsidR="000904D9" w:rsidRPr="007C2D51" w:rsidRDefault="000904D9" w:rsidP="000904D9">
            <w:pPr>
              <w:jc w:val="right"/>
              <w:cnfStyle w:val="000000000000"/>
              <w:rPr>
                <w:rFonts w:cs="Calibri"/>
                <w:color w:val="000000"/>
              </w:rPr>
            </w:pPr>
            <w:r w:rsidRPr="007C2D51">
              <w:rPr>
                <w:rFonts w:cs="Calibri"/>
                <w:color w:val="000000"/>
              </w:rPr>
              <w:t>0</w:t>
            </w:r>
          </w:p>
        </w:tc>
      </w:tr>
      <w:tr w:rsidR="000904D9" w:rsidRPr="007C2D51" w:rsidTr="00F15767">
        <w:trPr>
          <w:cnfStyle w:val="000000100000"/>
          <w:trHeight w:val="300"/>
        </w:trPr>
        <w:tc>
          <w:tcPr>
            <w:cnfStyle w:val="001000000000"/>
            <w:tcW w:w="2880" w:type="dxa"/>
            <w:tcBorders>
              <w:top w:val="none" w:sz="0" w:space="0" w:color="auto"/>
              <w:left w:val="none" w:sz="0" w:space="0" w:color="auto"/>
              <w:bottom w:val="none" w:sz="0" w:space="0" w:color="auto"/>
            </w:tcBorders>
            <w:noWrap/>
            <w:vAlign w:val="bottom"/>
          </w:tcPr>
          <w:p w:rsidR="000904D9" w:rsidRPr="007C2D51" w:rsidRDefault="000904D9" w:rsidP="00526171">
            <w:pPr>
              <w:pStyle w:val="ListParagraph"/>
              <w:numPr>
                <w:ilvl w:val="0"/>
                <w:numId w:val="11"/>
              </w:numPr>
              <w:ind w:left="432"/>
            </w:pPr>
            <w:r w:rsidRPr="007C2D51">
              <w:t>Other capital projects</w:t>
            </w:r>
          </w:p>
        </w:tc>
        <w:tc>
          <w:tcPr>
            <w:tcW w:w="1296" w:type="dxa"/>
            <w:tcBorders>
              <w:top w:val="none" w:sz="0" w:space="0" w:color="auto"/>
              <w:bottom w:val="none" w:sz="0" w:space="0" w:color="auto"/>
            </w:tcBorders>
            <w:noWrap/>
            <w:vAlign w:val="bottom"/>
          </w:tcPr>
          <w:p w:rsidR="000904D9" w:rsidRPr="007C2D51" w:rsidRDefault="000904D9" w:rsidP="000904D9">
            <w:pPr>
              <w:jc w:val="right"/>
              <w:cnfStyle w:val="000000100000"/>
              <w:rPr>
                <w:rFonts w:cs="Calibri"/>
                <w:color w:val="000000"/>
              </w:rPr>
            </w:pPr>
            <w:r w:rsidRPr="007C2D51">
              <w:rPr>
                <w:rFonts w:cs="Calibri"/>
                <w:color w:val="000000"/>
              </w:rPr>
              <w:t>1</w:t>
            </w:r>
          </w:p>
        </w:tc>
        <w:tc>
          <w:tcPr>
            <w:tcW w:w="1296" w:type="dxa"/>
            <w:tcBorders>
              <w:top w:val="none" w:sz="0" w:space="0" w:color="auto"/>
              <w:bottom w:val="none" w:sz="0" w:space="0" w:color="auto"/>
            </w:tcBorders>
            <w:noWrap/>
            <w:vAlign w:val="bottom"/>
          </w:tcPr>
          <w:p w:rsidR="000904D9" w:rsidRPr="007C2D51" w:rsidRDefault="000904D9" w:rsidP="000904D9">
            <w:pPr>
              <w:jc w:val="right"/>
              <w:cnfStyle w:val="000000100000"/>
              <w:rPr>
                <w:rFonts w:cs="Calibri"/>
                <w:color w:val="000000"/>
              </w:rPr>
            </w:pPr>
            <w:r w:rsidRPr="007C2D51">
              <w:rPr>
                <w:rFonts w:cs="Calibri"/>
                <w:color w:val="000000"/>
              </w:rPr>
              <w:t>0</w:t>
            </w:r>
          </w:p>
        </w:tc>
        <w:tc>
          <w:tcPr>
            <w:tcW w:w="1296" w:type="dxa"/>
            <w:tcBorders>
              <w:top w:val="none" w:sz="0" w:space="0" w:color="auto"/>
              <w:bottom w:val="none" w:sz="0" w:space="0" w:color="auto"/>
            </w:tcBorders>
            <w:noWrap/>
            <w:vAlign w:val="bottom"/>
          </w:tcPr>
          <w:p w:rsidR="000904D9" w:rsidRPr="007C2D51" w:rsidRDefault="000904D9" w:rsidP="000904D9">
            <w:pPr>
              <w:jc w:val="right"/>
              <w:cnfStyle w:val="000000100000"/>
              <w:rPr>
                <w:rFonts w:cs="Calibri"/>
                <w:color w:val="000000"/>
              </w:rPr>
            </w:pPr>
            <w:r w:rsidRPr="007C2D51">
              <w:rPr>
                <w:rFonts w:cs="Calibri"/>
                <w:color w:val="000000"/>
              </w:rPr>
              <w:t>0</w:t>
            </w:r>
          </w:p>
        </w:tc>
        <w:tc>
          <w:tcPr>
            <w:tcW w:w="1296" w:type="dxa"/>
            <w:tcBorders>
              <w:top w:val="none" w:sz="0" w:space="0" w:color="auto"/>
              <w:bottom w:val="none" w:sz="0" w:space="0" w:color="auto"/>
            </w:tcBorders>
            <w:noWrap/>
            <w:vAlign w:val="bottom"/>
          </w:tcPr>
          <w:p w:rsidR="000904D9" w:rsidRPr="007C2D51" w:rsidRDefault="000904D9" w:rsidP="000904D9">
            <w:pPr>
              <w:jc w:val="right"/>
              <w:cnfStyle w:val="000000100000"/>
              <w:rPr>
                <w:rFonts w:cs="Calibri"/>
                <w:color w:val="000000"/>
              </w:rPr>
            </w:pPr>
            <w:r w:rsidRPr="007C2D51">
              <w:rPr>
                <w:rFonts w:cs="Calibri"/>
                <w:color w:val="000000"/>
              </w:rPr>
              <w:t>2</w:t>
            </w:r>
          </w:p>
        </w:tc>
        <w:tc>
          <w:tcPr>
            <w:tcW w:w="1296" w:type="dxa"/>
            <w:tcBorders>
              <w:top w:val="none" w:sz="0" w:space="0" w:color="auto"/>
              <w:bottom w:val="none" w:sz="0" w:space="0" w:color="auto"/>
              <w:right w:val="none" w:sz="0" w:space="0" w:color="auto"/>
            </w:tcBorders>
            <w:noWrap/>
            <w:vAlign w:val="bottom"/>
          </w:tcPr>
          <w:p w:rsidR="000904D9" w:rsidRPr="007C2D51" w:rsidRDefault="000904D9" w:rsidP="000904D9">
            <w:pPr>
              <w:jc w:val="right"/>
              <w:cnfStyle w:val="000000100000"/>
              <w:rPr>
                <w:rFonts w:cs="Calibri"/>
                <w:color w:val="000000"/>
              </w:rPr>
            </w:pPr>
            <w:r w:rsidRPr="007C2D51">
              <w:rPr>
                <w:rFonts w:cs="Calibri"/>
                <w:color w:val="000000"/>
              </w:rPr>
              <w:t>0</w:t>
            </w:r>
          </w:p>
        </w:tc>
      </w:tr>
      <w:tr w:rsidR="000904D9" w:rsidRPr="007C2D51" w:rsidTr="00F15767">
        <w:trPr>
          <w:trHeight w:val="300"/>
        </w:trPr>
        <w:tc>
          <w:tcPr>
            <w:cnfStyle w:val="001000000000"/>
            <w:tcW w:w="2880" w:type="dxa"/>
            <w:shd w:val="clear" w:color="auto" w:fill="475A8D" w:themeFill="accent6"/>
            <w:noWrap/>
            <w:vAlign w:val="bottom"/>
          </w:tcPr>
          <w:p w:rsidR="000904D9" w:rsidRPr="007C2D51" w:rsidRDefault="000904D9" w:rsidP="000904D9">
            <w:pPr>
              <w:ind w:left="72"/>
              <w:rPr>
                <w:color w:val="FFFFFF" w:themeColor="background1"/>
              </w:rPr>
            </w:pPr>
            <w:r w:rsidRPr="007C2D51">
              <w:rPr>
                <w:color w:val="FFFFFF" w:themeColor="background1"/>
              </w:rPr>
              <w:t>IV. Planning Studies</w:t>
            </w:r>
          </w:p>
        </w:tc>
        <w:tc>
          <w:tcPr>
            <w:tcW w:w="1296" w:type="dxa"/>
            <w:shd w:val="clear" w:color="auto" w:fill="475A8D" w:themeFill="accent6"/>
            <w:noWrap/>
            <w:vAlign w:val="bottom"/>
          </w:tcPr>
          <w:p w:rsidR="000904D9" w:rsidRPr="007C2D51" w:rsidRDefault="000904D9" w:rsidP="000904D9">
            <w:pPr>
              <w:jc w:val="right"/>
              <w:cnfStyle w:val="000000000000"/>
              <w:rPr>
                <w:rFonts w:cs="Calibri"/>
                <w:b/>
                <w:bCs/>
                <w:color w:val="FFFFFF" w:themeColor="background1"/>
              </w:rPr>
            </w:pPr>
            <w:r w:rsidRPr="007C2D51">
              <w:rPr>
                <w:rFonts w:cs="Calibri"/>
                <w:b/>
                <w:bCs/>
                <w:color w:val="FFFFFF" w:themeColor="background1"/>
              </w:rPr>
              <w:t>3</w:t>
            </w:r>
          </w:p>
        </w:tc>
        <w:tc>
          <w:tcPr>
            <w:tcW w:w="1296" w:type="dxa"/>
            <w:shd w:val="clear" w:color="auto" w:fill="475A8D" w:themeFill="accent6"/>
            <w:noWrap/>
            <w:vAlign w:val="bottom"/>
          </w:tcPr>
          <w:p w:rsidR="000904D9" w:rsidRPr="007C2D51" w:rsidRDefault="000904D9" w:rsidP="000904D9">
            <w:pPr>
              <w:jc w:val="right"/>
              <w:cnfStyle w:val="000000000000"/>
              <w:rPr>
                <w:rFonts w:cs="Calibri"/>
                <w:b/>
                <w:bCs/>
                <w:color w:val="FFFFFF" w:themeColor="background1"/>
              </w:rPr>
            </w:pPr>
            <w:r w:rsidRPr="007C2D51">
              <w:rPr>
                <w:rFonts w:cs="Calibri"/>
                <w:b/>
                <w:bCs/>
                <w:color w:val="FFFFFF" w:themeColor="background1"/>
              </w:rPr>
              <w:t>1</w:t>
            </w:r>
          </w:p>
        </w:tc>
        <w:tc>
          <w:tcPr>
            <w:tcW w:w="1296" w:type="dxa"/>
            <w:shd w:val="clear" w:color="auto" w:fill="475A8D" w:themeFill="accent6"/>
            <w:noWrap/>
            <w:vAlign w:val="bottom"/>
          </w:tcPr>
          <w:p w:rsidR="000904D9" w:rsidRPr="007C2D51" w:rsidRDefault="000904D9" w:rsidP="000904D9">
            <w:pPr>
              <w:jc w:val="right"/>
              <w:cnfStyle w:val="000000000000"/>
              <w:rPr>
                <w:rFonts w:cs="Calibri"/>
                <w:b/>
                <w:bCs/>
                <w:color w:val="FFFFFF" w:themeColor="background1"/>
              </w:rPr>
            </w:pPr>
            <w:r w:rsidRPr="007C2D51">
              <w:rPr>
                <w:rFonts w:cs="Calibri"/>
                <w:b/>
                <w:bCs/>
                <w:color w:val="FFFFFF" w:themeColor="background1"/>
              </w:rPr>
              <w:t>0</w:t>
            </w:r>
          </w:p>
        </w:tc>
        <w:tc>
          <w:tcPr>
            <w:tcW w:w="1296" w:type="dxa"/>
            <w:shd w:val="clear" w:color="auto" w:fill="475A8D" w:themeFill="accent6"/>
            <w:noWrap/>
            <w:vAlign w:val="bottom"/>
          </w:tcPr>
          <w:p w:rsidR="000904D9" w:rsidRPr="007C2D51" w:rsidRDefault="000904D9" w:rsidP="000904D9">
            <w:pPr>
              <w:jc w:val="right"/>
              <w:cnfStyle w:val="000000000000"/>
              <w:rPr>
                <w:rFonts w:cs="Calibri"/>
                <w:b/>
                <w:bCs/>
                <w:color w:val="FFFFFF" w:themeColor="background1"/>
              </w:rPr>
            </w:pPr>
            <w:r w:rsidRPr="007C2D51">
              <w:rPr>
                <w:rFonts w:cs="Calibri"/>
                <w:b/>
                <w:bCs/>
                <w:color w:val="FFFFFF" w:themeColor="background1"/>
              </w:rPr>
              <w:t>4</w:t>
            </w:r>
          </w:p>
        </w:tc>
        <w:tc>
          <w:tcPr>
            <w:tcW w:w="1296" w:type="dxa"/>
            <w:shd w:val="clear" w:color="auto" w:fill="475A8D" w:themeFill="accent6"/>
            <w:noWrap/>
            <w:vAlign w:val="bottom"/>
          </w:tcPr>
          <w:p w:rsidR="000904D9" w:rsidRPr="007C2D51" w:rsidRDefault="000904D9" w:rsidP="000904D9">
            <w:pPr>
              <w:jc w:val="right"/>
              <w:cnfStyle w:val="000000000000"/>
              <w:rPr>
                <w:rFonts w:cs="Calibri"/>
                <w:b/>
                <w:bCs/>
                <w:color w:val="FFFFFF" w:themeColor="background1"/>
              </w:rPr>
            </w:pPr>
            <w:r w:rsidRPr="007C2D51">
              <w:rPr>
                <w:rFonts w:cs="Calibri"/>
                <w:b/>
                <w:bCs/>
                <w:color w:val="FFFFFF" w:themeColor="background1"/>
              </w:rPr>
              <w:t>3</w:t>
            </w:r>
          </w:p>
        </w:tc>
      </w:tr>
      <w:tr w:rsidR="000904D9" w:rsidRPr="007C2D51" w:rsidTr="00F15767">
        <w:trPr>
          <w:cnfStyle w:val="000000100000"/>
          <w:trHeight w:val="300"/>
        </w:trPr>
        <w:tc>
          <w:tcPr>
            <w:cnfStyle w:val="001000000000"/>
            <w:tcW w:w="2880" w:type="dxa"/>
            <w:tcBorders>
              <w:top w:val="none" w:sz="0" w:space="0" w:color="auto"/>
              <w:left w:val="none" w:sz="0" w:space="0" w:color="auto"/>
              <w:bottom w:val="none" w:sz="0" w:space="0" w:color="auto"/>
            </w:tcBorders>
            <w:noWrap/>
            <w:vAlign w:val="bottom"/>
          </w:tcPr>
          <w:p w:rsidR="000904D9" w:rsidRPr="007C2D51" w:rsidRDefault="000904D9" w:rsidP="00526171">
            <w:pPr>
              <w:pStyle w:val="ListParagraph"/>
              <w:numPr>
                <w:ilvl w:val="0"/>
                <w:numId w:val="21"/>
              </w:numPr>
            </w:pPr>
            <w:r w:rsidRPr="007C2D51">
              <w:t>Feasibility study</w:t>
            </w:r>
          </w:p>
        </w:tc>
        <w:tc>
          <w:tcPr>
            <w:tcW w:w="1296" w:type="dxa"/>
            <w:tcBorders>
              <w:top w:val="none" w:sz="0" w:space="0" w:color="auto"/>
              <w:bottom w:val="none" w:sz="0" w:space="0" w:color="auto"/>
            </w:tcBorders>
            <w:noWrap/>
            <w:vAlign w:val="bottom"/>
          </w:tcPr>
          <w:p w:rsidR="000904D9" w:rsidRPr="007C2D51" w:rsidRDefault="000904D9" w:rsidP="000904D9">
            <w:pPr>
              <w:jc w:val="right"/>
              <w:cnfStyle w:val="000000100000"/>
              <w:rPr>
                <w:rFonts w:cs="Calibri"/>
                <w:color w:val="000000"/>
              </w:rPr>
            </w:pPr>
            <w:r w:rsidRPr="007C2D51">
              <w:rPr>
                <w:rFonts w:cs="Calibri"/>
                <w:color w:val="000000"/>
              </w:rPr>
              <w:t>3</w:t>
            </w:r>
          </w:p>
        </w:tc>
        <w:tc>
          <w:tcPr>
            <w:tcW w:w="1296" w:type="dxa"/>
            <w:tcBorders>
              <w:top w:val="none" w:sz="0" w:space="0" w:color="auto"/>
              <w:bottom w:val="none" w:sz="0" w:space="0" w:color="auto"/>
            </w:tcBorders>
            <w:noWrap/>
            <w:vAlign w:val="bottom"/>
          </w:tcPr>
          <w:p w:rsidR="000904D9" w:rsidRPr="007C2D51" w:rsidRDefault="000904D9" w:rsidP="000904D9">
            <w:pPr>
              <w:jc w:val="right"/>
              <w:cnfStyle w:val="000000100000"/>
              <w:rPr>
                <w:rFonts w:cs="Calibri"/>
                <w:color w:val="000000"/>
              </w:rPr>
            </w:pPr>
            <w:r w:rsidRPr="007C2D51">
              <w:rPr>
                <w:rFonts w:cs="Calibri"/>
                <w:color w:val="000000"/>
              </w:rPr>
              <w:t>1</w:t>
            </w:r>
          </w:p>
        </w:tc>
        <w:tc>
          <w:tcPr>
            <w:tcW w:w="1296" w:type="dxa"/>
            <w:tcBorders>
              <w:top w:val="none" w:sz="0" w:space="0" w:color="auto"/>
              <w:bottom w:val="none" w:sz="0" w:space="0" w:color="auto"/>
            </w:tcBorders>
            <w:noWrap/>
            <w:vAlign w:val="bottom"/>
          </w:tcPr>
          <w:p w:rsidR="000904D9" w:rsidRPr="007C2D51" w:rsidRDefault="000904D9" w:rsidP="000904D9">
            <w:pPr>
              <w:jc w:val="right"/>
              <w:cnfStyle w:val="000000100000"/>
              <w:rPr>
                <w:rFonts w:cs="Calibri"/>
                <w:color w:val="000000"/>
              </w:rPr>
            </w:pPr>
            <w:r w:rsidRPr="007C2D51">
              <w:rPr>
                <w:rFonts w:cs="Calibri"/>
                <w:color w:val="000000"/>
              </w:rPr>
              <w:t>0</w:t>
            </w:r>
          </w:p>
        </w:tc>
        <w:tc>
          <w:tcPr>
            <w:tcW w:w="1296" w:type="dxa"/>
            <w:tcBorders>
              <w:top w:val="none" w:sz="0" w:space="0" w:color="auto"/>
              <w:bottom w:val="none" w:sz="0" w:space="0" w:color="auto"/>
            </w:tcBorders>
            <w:noWrap/>
            <w:vAlign w:val="bottom"/>
          </w:tcPr>
          <w:p w:rsidR="000904D9" w:rsidRPr="007C2D51" w:rsidRDefault="000904D9" w:rsidP="000904D9">
            <w:pPr>
              <w:jc w:val="right"/>
              <w:cnfStyle w:val="000000100000"/>
              <w:rPr>
                <w:rFonts w:cs="Calibri"/>
                <w:color w:val="000000"/>
              </w:rPr>
            </w:pPr>
            <w:r w:rsidRPr="007C2D51">
              <w:rPr>
                <w:rFonts w:cs="Calibri"/>
                <w:color w:val="000000"/>
              </w:rPr>
              <w:t>4</w:t>
            </w:r>
          </w:p>
        </w:tc>
        <w:tc>
          <w:tcPr>
            <w:tcW w:w="1296" w:type="dxa"/>
            <w:tcBorders>
              <w:top w:val="none" w:sz="0" w:space="0" w:color="auto"/>
              <w:bottom w:val="none" w:sz="0" w:space="0" w:color="auto"/>
              <w:right w:val="none" w:sz="0" w:space="0" w:color="auto"/>
            </w:tcBorders>
            <w:noWrap/>
            <w:vAlign w:val="bottom"/>
          </w:tcPr>
          <w:p w:rsidR="000904D9" w:rsidRPr="007C2D51" w:rsidRDefault="000904D9" w:rsidP="000904D9">
            <w:pPr>
              <w:jc w:val="right"/>
              <w:cnfStyle w:val="000000100000"/>
              <w:rPr>
                <w:rFonts w:cs="Calibri"/>
                <w:color w:val="000000"/>
              </w:rPr>
            </w:pPr>
            <w:r w:rsidRPr="007C2D51">
              <w:rPr>
                <w:rFonts w:cs="Calibri"/>
                <w:color w:val="000000"/>
              </w:rPr>
              <w:t>3</w:t>
            </w:r>
          </w:p>
        </w:tc>
      </w:tr>
      <w:tr w:rsidR="000904D9" w:rsidRPr="007C2D51" w:rsidTr="00F15767">
        <w:trPr>
          <w:trHeight w:val="300"/>
        </w:trPr>
        <w:tc>
          <w:tcPr>
            <w:cnfStyle w:val="001000000000"/>
            <w:tcW w:w="2880" w:type="dxa"/>
            <w:shd w:val="clear" w:color="auto" w:fill="475A8D" w:themeFill="accent6"/>
            <w:noWrap/>
            <w:vAlign w:val="bottom"/>
          </w:tcPr>
          <w:p w:rsidR="000904D9" w:rsidRPr="007C2D51" w:rsidRDefault="000904D9" w:rsidP="000904D9">
            <w:pPr>
              <w:rPr>
                <w:color w:val="FFFFFF" w:themeColor="background1"/>
              </w:rPr>
            </w:pPr>
            <w:r w:rsidRPr="007C2D51">
              <w:rPr>
                <w:color w:val="FFFFFF" w:themeColor="background1"/>
              </w:rPr>
              <w:t>Total</w:t>
            </w:r>
          </w:p>
        </w:tc>
        <w:tc>
          <w:tcPr>
            <w:tcW w:w="1296" w:type="dxa"/>
            <w:shd w:val="clear" w:color="auto" w:fill="475A8D" w:themeFill="accent6"/>
            <w:noWrap/>
            <w:vAlign w:val="bottom"/>
          </w:tcPr>
          <w:p w:rsidR="000904D9" w:rsidRPr="007C2D51" w:rsidRDefault="000904D9" w:rsidP="000904D9">
            <w:pPr>
              <w:jc w:val="right"/>
              <w:cnfStyle w:val="000000000000"/>
              <w:rPr>
                <w:rFonts w:cs="Calibri"/>
                <w:b/>
                <w:bCs/>
                <w:color w:val="FFFFFF" w:themeColor="background1"/>
              </w:rPr>
            </w:pPr>
            <w:r w:rsidRPr="007C2D51">
              <w:rPr>
                <w:rFonts w:cs="Calibri"/>
                <w:b/>
                <w:bCs/>
                <w:color w:val="FFFFFF" w:themeColor="background1"/>
              </w:rPr>
              <w:t>307</w:t>
            </w:r>
          </w:p>
        </w:tc>
        <w:tc>
          <w:tcPr>
            <w:tcW w:w="1296" w:type="dxa"/>
            <w:shd w:val="clear" w:color="auto" w:fill="475A8D" w:themeFill="accent6"/>
            <w:noWrap/>
            <w:vAlign w:val="bottom"/>
          </w:tcPr>
          <w:p w:rsidR="000904D9" w:rsidRPr="007C2D51" w:rsidRDefault="000904D9" w:rsidP="000904D9">
            <w:pPr>
              <w:jc w:val="right"/>
              <w:cnfStyle w:val="000000000000"/>
              <w:rPr>
                <w:rFonts w:cs="Calibri"/>
                <w:b/>
                <w:bCs/>
                <w:color w:val="FFFFFF" w:themeColor="background1"/>
              </w:rPr>
            </w:pPr>
            <w:r w:rsidRPr="007C2D51">
              <w:rPr>
                <w:rFonts w:cs="Calibri"/>
                <w:b/>
                <w:bCs/>
                <w:color w:val="FFFFFF" w:themeColor="background1"/>
              </w:rPr>
              <w:t>219</w:t>
            </w:r>
          </w:p>
        </w:tc>
        <w:tc>
          <w:tcPr>
            <w:tcW w:w="1296" w:type="dxa"/>
            <w:shd w:val="clear" w:color="auto" w:fill="475A8D" w:themeFill="accent6"/>
            <w:noWrap/>
            <w:vAlign w:val="bottom"/>
          </w:tcPr>
          <w:p w:rsidR="000904D9" w:rsidRPr="007C2D51" w:rsidRDefault="000904D9" w:rsidP="000904D9">
            <w:pPr>
              <w:jc w:val="right"/>
              <w:cnfStyle w:val="000000000000"/>
              <w:rPr>
                <w:rFonts w:cs="Calibri"/>
                <w:b/>
                <w:bCs/>
                <w:color w:val="FFFFFF" w:themeColor="background1"/>
              </w:rPr>
            </w:pPr>
            <w:r w:rsidRPr="007C2D51">
              <w:rPr>
                <w:rFonts w:cs="Calibri"/>
                <w:b/>
                <w:bCs/>
                <w:color w:val="FFFFFF" w:themeColor="background1"/>
              </w:rPr>
              <w:t>133</w:t>
            </w:r>
          </w:p>
        </w:tc>
        <w:tc>
          <w:tcPr>
            <w:tcW w:w="1296" w:type="dxa"/>
            <w:shd w:val="clear" w:color="auto" w:fill="475A8D" w:themeFill="accent6"/>
            <w:noWrap/>
            <w:vAlign w:val="bottom"/>
          </w:tcPr>
          <w:p w:rsidR="000904D9" w:rsidRPr="007C2D51" w:rsidRDefault="000904D9" w:rsidP="000904D9">
            <w:pPr>
              <w:jc w:val="right"/>
              <w:cnfStyle w:val="000000000000"/>
              <w:rPr>
                <w:rFonts w:cs="Calibri"/>
                <w:b/>
                <w:bCs/>
                <w:color w:val="FFFFFF" w:themeColor="background1"/>
              </w:rPr>
            </w:pPr>
            <w:r w:rsidRPr="007C2D51">
              <w:rPr>
                <w:rFonts w:cs="Calibri"/>
                <w:b/>
                <w:bCs/>
                <w:color w:val="FFFFFF" w:themeColor="background1"/>
              </w:rPr>
              <w:t>310</w:t>
            </w:r>
          </w:p>
        </w:tc>
        <w:tc>
          <w:tcPr>
            <w:tcW w:w="1296" w:type="dxa"/>
            <w:shd w:val="clear" w:color="auto" w:fill="475A8D" w:themeFill="accent6"/>
            <w:noWrap/>
            <w:vAlign w:val="bottom"/>
          </w:tcPr>
          <w:p w:rsidR="000904D9" w:rsidRPr="007C2D51" w:rsidRDefault="000904D9" w:rsidP="000904D9">
            <w:pPr>
              <w:jc w:val="right"/>
              <w:cnfStyle w:val="000000000000"/>
              <w:rPr>
                <w:rFonts w:cs="Calibri"/>
                <w:b/>
                <w:bCs/>
                <w:color w:val="FFFFFF" w:themeColor="background1"/>
              </w:rPr>
            </w:pPr>
            <w:r w:rsidRPr="007C2D51">
              <w:rPr>
                <w:rFonts w:cs="Calibri"/>
                <w:b/>
                <w:bCs/>
                <w:color w:val="FFFFFF" w:themeColor="background1"/>
              </w:rPr>
              <w:t>58</w:t>
            </w:r>
          </w:p>
        </w:tc>
      </w:tr>
    </w:tbl>
    <w:p w:rsidR="0062531C" w:rsidRPr="007C2D51" w:rsidRDefault="0062531C" w:rsidP="0062531C">
      <w:pPr>
        <w:pStyle w:val="Caption"/>
      </w:pPr>
      <w:bookmarkStart w:id="141" w:name="_Toc304967478"/>
      <w:r w:rsidRPr="007C2D51">
        <w:t xml:space="preserve">Table </w:t>
      </w:r>
      <w:r w:rsidR="00022E2F" w:rsidRPr="007C2D51">
        <w:fldChar w:fldCharType="begin"/>
      </w:r>
      <w:r w:rsidR="00FB3E36" w:rsidRPr="007C2D51">
        <w:instrText xml:space="preserve"> STYLEREF 1 \s </w:instrText>
      </w:r>
      <w:r w:rsidR="00022E2F" w:rsidRPr="007C2D51">
        <w:fldChar w:fldCharType="separate"/>
      </w:r>
      <w:r w:rsidR="00F35ACC">
        <w:rPr>
          <w:noProof/>
        </w:rPr>
        <w:t>6</w:t>
      </w:r>
      <w:r w:rsidR="00022E2F" w:rsidRPr="007C2D51">
        <w:fldChar w:fldCharType="end"/>
      </w:r>
      <w:r w:rsidR="00FB3E36" w:rsidRPr="007C2D51">
        <w:noBreakHyphen/>
      </w:r>
      <w:r w:rsidR="00022E2F" w:rsidRPr="007C2D51">
        <w:fldChar w:fldCharType="begin"/>
      </w:r>
      <w:r w:rsidR="00FB3E36" w:rsidRPr="007C2D51">
        <w:instrText xml:space="preserve"> SEQ Table \* ARABIC \s 1 </w:instrText>
      </w:r>
      <w:r w:rsidR="00022E2F" w:rsidRPr="007C2D51">
        <w:fldChar w:fldCharType="separate"/>
      </w:r>
      <w:r w:rsidR="00F35ACC">
        <w:rPr>
          <w:noProof/>
        </w:rPr>
        <w:t>1</w:t>
      </w:r>
      <w:r w:rsidR="00022E2F" w:rsidRPr="007C2D51">
        <w:fldChar w:fldCharType="end"/>
      </w:r>
      <w:r w:rsidRPr="007C2D51">
        <w:br/>
        <w:t xml:space="preserve">JARC Service Matrix – Distribution of Services by Primary </w:t>
      </w:r>
      <w:r w:rsidR="008844B6" w:rsidRPr="007C2D51">
        <w:t xml:space="preserve">Goal </w:t>
      </w:r>
      <w:r w:rsidR="00C5196D" w:rsidRPr="007C2D51">
        <w:br/>
        <w:t>(Number of services)</w:t>
      </w:r>
      <w:bookmarkEnd w:id="141"/>
    </w:p>
    <w:bookmarkEnd w:id="139"/>
    <w:bookmarkEnd w:id="140"/>
    <w:p w:rsidR="00A921AA" w:rsidRPr="007C2D51" w:rsidRDefault="00A921AA" w:rsidP="00A921AA"/>
    <w:p w:rsidR="00386163" w:rsidRPr="007C2D51" w:rsidRDefault="00386163" w:rsidP="00A921AA">
      <w:r w:rsidRPr="007C2D51">
        <w:t>Note that grayed-out cells were not available for data entry.</w:t>
      </w:r>
    </w:p>
    <w:p w:rsidR="00BF6F7B" w:rsidRPr="007C2D51" w:rsidRDefault="007272EF">
      <w:pPr>
        <w:rPr>
          <w:rFonts w:asciiTheme="majorHAnsi" w:eastAsia="Times New Roman" w:hAnsiTheme="majorHAnsi" w:cs="Times New Roman"/>
          <w:b/>
          <w:bCs/>
          <w:sz w:val="22"/>
          <w:lang w:eastAsia="en-US"/>
        </w:rPr>
      </w:pPr>
      <w:bookmarkStart w:id="142" w:name="_Toc242869967"/>
      <w:bookmarkStart w:id="143" w:name="_Toc244658138"/>
      <w:r w:rsidRPr="007C2D51">
        <w:br w:type="page"/>
      </w:r>
    </w:p>
    <w:p w:rsidR="00A35C90" w:rsidRPr="007C2D51" w:rsidRDefault="00BF6F7B" w:rsidP="008F08C8">
      <w:pPr>
        <w:pStyle w:val="Caption"/>
      </w:pPr>
      <w:bookmarkStart w:id="144" w:name="_Toc304967479"/>
      <w:r w:rsidRPr="007C2D51">
        <w:lastRenderedPageBreak/>
        <w:t>Table</w:t>
      </w:r>
      <w:r w:rsidR="008F08C8" w:rsidRPr="007C2D51">
        <w:t xml:space="preserve"> </w:t>
      </w:r>
      <w:r w:rsidR="00022E2F" w:rsidRPr="007C2D51">
        <w:fldChar w:fldCharType="begin"/>
      </w:r>
      <w:r w:rsidR="00FB3E36" w:rsidRPr="007C2D51">
        <w:instrText xml:space="preserve"> STYLEREF 1 \s </w:instrText>
      </w:r>
      <w:r w:rsidR="00022E2F" w:rsidRPr="007C2D51">
        <w:fldChar w:fldCharType="separate"/>
      </w:r>
      <w:r w:rsidR="00F35ACC">
        <w:rPr>
          <w:noProof/>
        </w:rPr>
        <w:t>6</w:t>
      </w:r>
      <w:r w:rsidR="00022E2F" w:rsidRPr="007C2D51">
        <w:fldChar w:fldCharType="end"/>
      </w:r>
      <w:r w:rsidR="00FB3E36" w:rsidRPr="007C2D51">
        <w:noBreakHyphen/>
      </w:r>
      <w:r w:rsidR="00022E2F" w:rsidRPr="007C2D51">
        <w:fldChar w:fldCharType="begin"/>
      </w:r>
      <w:r w:rsidR="00FB3E36" w:rsidRPr="007C2D51">
        <w:instrText xml:space="preserve"> SEQ Table \* ARABIC \s 1 </w:instrText>
      </w:r>
      <w:r w:rsidR="00022E2F" w:rsidRPr="007C2D51">
        <w:fldChar w:fldCharType="separate"/>
      </w:r>
      <w:r w:rsidR="00F35ACC">
        <w:rPr>
          <w:noProof/>
        </w:rPr>
        <w:t>2</w:t>
      </w:r>
      <w:r w:rsidR="00022E2F" w:rsidRPr="007C2D51">
        <w:fldChar w:fldCharType="end"/>
      </w:r>
      <w:r w:rsidR="00A35C90" w:rsidRPr="007C2D51">
        <w:rPr>
          <w:b w:val="0"/>
          <w:bCs w:val="0"/>
        </w:rPr>
        <w:br/>
      </w:r>
      <w:r w:rsidR="00A35C90" w:rsidRPr="007C2D51">
        <w:t xml:space="preserve">JARC Service Matrix – Distribution of Services by Primary </w:t>
      </w:r>
      <w:r w:rsidR="008844B6" w:rsidRPr="007C2D51">
        <w:t xml:space="preserve">Goal </w:t>
      </w:r>
      <w:r w:rsidR="00A35C90" w:rsidRPr="007C2D51">
        <w:br/>
        <w:t>(Percentage by row)</w:t>
      </w:r>
      <w:bookmarkEnd w:id="144"/>
    </w:p>
    <w:tbl>
      <w:tblPr>
        <w:tblStyle w:val="LightList-Accent6"/>
        <w:tblpPr w:leftFromText="180" w:rightFromText="180" w:vertAnchor="page" w:horzAnchor="margin" w:tblpY="2248"/>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80"/>
        <w:gridCol w:w="1296"/>
        <w:gridCol w:w="1296"/>
        <w:gridCol w:w="1296"/>
        <w:gridCol w:w="1296"/>
        <w:gridCol w:w="1296"/>
      </w:tblGrid>
      <w:tr w:rsidR="004C47C2" w:rsidRPr="007C2D51" w:rsidTr="00F15767">
        <w:trPr>
          <w:cnfStyle w:val="100000000000"/>
          <w:trHeight w:val="300"/>
        </w:trPr>
        <w:tc>
          <w:tcPr>
            <w:cnfStyle w:val="001000000000"/>
            <w:tcW w:w="2880" w:type="dxa"/>
            <w:noWrap/>
            <w:vAlign w:val="bottom"/>
          </w:tcPr>
          <w:p w:rsidR="004C47C2" w:rsidRPr="007C2D51" w:rsidRDefault="004C47C2" w:rsidP="004A7F1F">
            <w:pPr>
              <w:jc w:val="right"/>
            </w:pPr>
          </w:p>
        </w:tc>
        <w:tc>
          <w:tcPr>
            <w:tcW w:w="6480" w:type="dxa"/>
            <w:gridSpan w:val="5"/>
            <w:noWrap/>
            <w:vAlign w:val="bottom"/>
          </w:tcPr>
          <w:p w:rsidR="004C47C2" w:rsidRPr="007C2D51" w:rsidRDefault="004C47C2" w:rsidP="004A7F1F">
            <w:pPr>
              <w:jc w:val="center"/>
              <w:cnfStyle w:val="100000000000"/>
            </w:pPr>
            <w:r w:rsidRPr="007C2D51">
              <w:t>Primary Goal</w:t>
            </w:r>
          </w:p>
        </w:tc>
      </w:tr>
      <w:tr w:rsidR="004C47C2" w:rsidRPr="007C2D51" w:rsidTr="00F15767">
        <w:trPr>
          <w:cnfStyle w:val="000000100000"/>
          <w:trHeight w:val="300"/>
        </w:trPr>
        <w:tc>
          <w:tcPr>
            <w:cnfStyle w:val="001000000000"/>
            <w:tcW w:w="2880" w:type="dxa"/>
            <w:tcBorders>
              <w:top w:val="none" w:sz="0" w:space="0" w:color="auto"/>
              <w:left w:val="none" w:sz="0" w:space="0" w:color="auto"/>
              <w:bottom w:val="none" w:sz="0" w:space="0" w:color="auto"/>
            </w:tcBorders>
            <w:noWrap/>
            <w:vAlign w:val="bottom"/>
          </w:tcPr>
          <w:p w:rsidR="004C47C2" w:rsidRPr="007C2D51" w:rsidRDefault="004C47C2" w:rsidP="00FA2E94">
            <w:r w:rsidRPr="007C2D51">
              <w:t>Service Type</w:t>
            </w:r>
          </w:p>
        </w:tc>
        <w:tc>
          <w:tcPr>
            <w:tcW w:w="1296" w:type="dxa"/>
            <w:tcBorders>
              <w:top w:val="none" w:sz="0" w:space="0" w:color="auto"/>
              <w:bottom w:val="none" w:sz="0" w:space="0" w:color="auto"/>
            </w:tcBorders>
            <w:noWrap/>
            <w:vAlign w:val="bottom"/>
          </w:tcPr>
          <w:p w:rsidR="004C47C2" w:rsidRPr="007C2D51" w:rsidRDefault="004C47C2" w:rsidP="004A7F1F">
            <w:pPr>
              <w:jc w:val="center"/>
              <w:cnfStyle w:val="000000100000"/>
            </w:pPr>
            <w:r w:rsidRPr="007C2D51">
              <w:t>(A)</w:t>
            </w:r>
            <w:r w:rsidRPr="007C2D51">
              <w:br/>
              <w:t>Expanded geographic coverage</w:t>
            </w:r>
          </w:p>
        </w:tc>
        <w:tc>
          <w:tcPr>
            <w:tcW w:w="1296" w:type="dxa"/>
            <w:tcBorders>
              <w:top w:val="none" w:sz="0" w:space="0" w:color="auto"/>
              <w:bottom w:val="none" w:sz="0" w:space="0" w:color="auto"/>
            </w:tcBorders>
            <w:noWrap/>
            <w:vAlign w:val="bottom"/>
          </w:tcPr>
          <w:p w:rsidR="004C47C2" w:rsidRPr="007C2D51" w:rsidRDefault="004C47C2" w:rsidP="004A7F1F">
            <w:pPr>
              <w:jc w:val="center"/>
              <w:cnfStyle w:val="000000100000"/>
            </w:pPr>
            <w:r w:rsidRPr="007C2D51">
              <w:t>(B)</w:t>
            </w:r>
            <w:r w:rsidRPr="007C2D51">
              <w:br/>
              <w:t>Extended hours/days of service</w:t>
            </w:r>
          </w:p>
        </w:tc>
        <w:tc>
          <w:tcPr>
            <w:tcW w:w="1296" w:type="dxa"/>
            <w:tcBorders>
              <w:top w:val="none" w:sz="0" w:space="0" w:color="auto"/>
              <w:bottom w:val="none" w:sz="0" w:space="0" w:color="auto"/>
            </w:tcBorders>
            <w:noWrap/>
            <w:vAlign w:val="bottom"/>
          </w:tcPr>
          <w:p w:rsidR="004C47C2" w:rsidRPr="007C2D51" w:rsidRDefault="004C47C2" w:rsidP="004A7F1F">
            <w:pPr>
              <w:jc w:val="center"/>
              <w:cnfStyle w:val="000000100000"/>
            </w:pPr>
            <w:r w:rsidRPr="007C2D51">
              <w:t>(C)</w:t>
            </w:r>
            <w:r w:rsidRPr="007C2D51">
              <w:br/>
              <w:t>Improved system capacity</w:t>
            </w:r>
          </w:p>
        </w:tc>
        <w:tc>
          <w:tcPr>
            <w:tcW w:w="1296" w:type="dxa"/>
            <w:tcBorders>
              <w:top w:val="none" w:sz="0" w:space="0" w:color="auto"/>
              <w:bottom w:val="none" w:sz="0" w:space="0" w:color="auto"/>
            </w:tcBorders>
            <w:noWrap/>
            <w:vAlign w:val="bottom"/>
          </w:tcPr>
          <w:p w:rsidR="004C47C2" w:rsidRPr="007C2D51" w:rsidRDefault="004C47C2" w:rsidP="004A7F1F">
            <w:pPr>
              <w:jc w:val="center"/>
              <w:cnfStyle w:val="000000100000"/>
            </w:pPr>
            <w:r w:rsidRPr="007C2D51">
              <w:t>(D)</w:t>
            </w:r>
            <w:r w:rsidRPr="007C2D51">
              <w:br/>
              <w:t>Improved access/</w:t>
            </w:r>
          </w:p>
          <w:p w:rsidR="004C47C2" w:rsidRPr="007C2D51" w:rsidRDefault="004C47C2" w:rsidP="004A7F1F">
            <w:pPr>
              <w:jc w:val="center"/>
              <w:cnfStyle w:val="000000100000"/>
            </w:pPr>
            <w:r w:rsidRPr="007C2D51">
              <w:t>connections</w:t>
            </w:r>
          </w:p>
        </w:tc>
        <w:tc>
          <w:tcPr>
            <w:tcW w:w="1296" w:type="dxa"/>
            <w:tcBorders>
              <w:top w:val="none" w:sz="0" w:space="0" w:color="auto"/>
              <w:bottom w:val="none" w:sz="0" w:space="0" w:color="auto"/>
              <w:right w:val="none" w:sz="0" w:space="0" w:color="auto"/>
            </w:tcBorders>
            <w:noWrap/>
            <w:vAlign w:val="bottom"/>
          </w:tcPr>
          <w:p w:rsidR="004C47C2" w:rsidRPr="007C2D51" w:rsidRDefault="004C47C2" w:rsidP="004A7F1F">
            <w:pPr>
              <w:jc w:val="center"/>
              <w:cnfStyle w:val="000000100000"/>
            </w:pPr>
            <w:r w:rsidRPr="007C2D51">
              <w:t>(E)</w:t>
            </w:r>
            <w:r w:rsidRPr="007C2D51">
              <w:br/>
              <w:t>Improved customer knowledge</w:t>
            </w:r>
          </w:p>
        </w:tc>
      </w:tr>
      <w:tr w:rsidR="00FA2E94" w:rsidRPr="007C2D51" w:rsidTr="00F15767">
        <w:trPr>
          <w:trHeight w:val="300"/>
        </w:trPr>
        <w:tc>
          <w:tcPr>
            <w:cnfStyle w:val="001000000000"/>
            <w:tcW w:w="2880" w:type="dxa"/>
            <w:shd w:val="clear" w:color="auto" w:fill="475A8D" w:themeFill="accent6"/>
            <w:noWrap/>
            <w:vAlign w:val="bottom"/>
          </w:tcPr>
          <w:p w:rsidR="00400406" w:rsidRPr="007C2D51" w:rsidRDefault="00400406" w:rsidP="00FA2E94">
            <w:pPr>
              <w:rPr>
                <w:color w:val="FFFFFF" w:themeColor="background1"/>
              </w:rPr>
            </w:pPr>
            <w:r w:rsidRPr="007C2D51">
              <w:rPr>
                <w:color w:val="FFFFFF" w:themeColor="background1"/>
              </w:rPr>
              <w:t>I.  Trip-Based</w:t>
            </w:r>
          </w:p>
        </w:tc>
        <w:tc>
          <w:tcPr>
            <w:tcW w:w="1296" w:type="dxa"/>
            <w:shd w:val="clear" w:color="auto" w:fill="475A8D" w:themeFill="accent6"/>
            <w:noWrap/>
            <w:vAlign w:val="bottom"/>
          </w:tcPr>
          <w:p w:rsidR="00400406" w:rsidRPr="007C2D51" w:rsidRDefault="00400406" w:rsidP="00FA2E94">
            <w:pPr>
              <w:jc w:val="right"/>
              <w:cnfStyle w:val="000000000000"/>
              <w:rPr>
                <w:rFonts w:cs="Calibri"/>
                <w:b/>
                <w:bCs/>
                <w:color w:val="FFFFFF" w:themeColor="background1"/>
              </w:rPr>
            </w:pPr>
            <w:r w:rsidRPr="007C2D51">
              <w:rPr>
                <w:rFonts w:cs="Calibri"/>
                <w:b/>
                <w:bCs/>
                <w:color w:val="FFFFFF" w:themeColor="background1"/>
              </w:rPr>
              <w:t>36%</w:t>
            </w:r>
          </w:p>
        </w:tc>
        <w:tc>
          <w:tcPr>
            <w:tcW w:w="1296" w:type="dxa"/>
            <w:shd w:val="clear" w:color="auto" w:fill="475A8D" w:themeFill="accent6"/>
            <w:noWrap/>
            <w:vAlign w:val="bottom"/>
          </w:tcPr>
          <w:p w:rsidR="00400406" w:rsidRPr="007C2D51" w:rsidRDefault="00400406" w:rsidP="00FA2E94">
            <w:pPr>
              <w:jc w:val="right"/>
              <w:cnfStyle w:val="000000000000"/>
              <w:rPr>
                <w:rFonts w:cs="Calibri"/>
                <w:b/>
                <w:bCs/>
                <w:color w:val="FFFFFF" w:themeColor="background1"/>
              </w:rPr>
            </w:pPr>
            <w:r w:rsidRPr="007C2D51">
              <w:rPr>
                <w:rFonts w:cs="Calibri"/>
                <w:b/>
                <w:bCs/>
                <w:color w:val="FFFFFF" w:themeColor="background1"/>
              </w:rPr>
              <w:t>26%</w:t>
            </w:r>
          </w:p>
        </w:tc>
        <w:tc>
          <w:tcPr>
            <w:tcW w:w="1296" w:type="dxa"/>
            <w:shd w:val="clear" w:color="auto" w:fill="475A8D" w:themeFill="accent6"/>
            <w:noWrap/>
            <w:vAlign w:val="bottom"/>
          </w:tcPr>
          <w:p w:rsidR="00400406" w:rsidRPr="007C2D51" w:rsidRDefault="00400406" w:rsidP="00FA2E94">
            <w:pPr>
              <w:jc w:val="right"/>
              <w:cnfStyle w:val="000000000000"/>
              <w:rPr>
                <w:rFonts w:cs="Calibri"/>
                <w:b/>
                <w:bCs/>
                <w:color w:val="FFFFFF" w:themeColor="background1"/>
              </w:rPr>
            </w:pPr>
            <w:r w:rsidRPr="007C2D51">
              <w:rPr>
                <w:rFonts w:cs="Calibri"/>
                <w:b/>
                <w:bCs/>
                <w:color w:val="FFFFFF" w:themeColor="background1"/>
              </w:rPr>
              <w:t>14%</w:t>
            </w:r>
          </w:p>
        </w:tc>
        <w:tc>
          <w:tcPr>
            <w:tcW w:w="1296" w:type="dxa"/>
            <w:shd w:val="clear" w:color="auto" w:fill="475A8D" w:themeFill="accent6"/>
            <w:noWrap/>
            <w:vAlign w:val="bottom"/>
          </w:tcPr>
          <w:p w:rsidR="00400406" w:rsidRPr="007C2D51" w:rsidRDefault="00400406" w:rsidP="00FA2E94">
            <w:pPr>
              <w:jc w:val="right"/>
              <w:cnfStyle w:val="000000000000"/>
              <w:rPr>
                <w:rFonts w:cs="Calibri"/>
                <w:b/>
                <w:bCs/>
                <w:color w:val="FFFFFF" w:themeColor="background1"/>
              </w:rPr>
            </w:pPr>
            <w:r w:rsidRPr="007C2D51">
              <w:rPr>
                <w:rFonts w:cs="Calibri"/>
                <w:b/>
                <w:bCs/>
                <w:color w:val="FFFFFF" w:themeColor="background1"/>
              </w:rPr>
              <w:t>24%</w:t>
            </w:r>
          </w:p>
        </w:tc>
        <w:tc>
          <w:tcPr>
            <w:tcW w:w="1296" w:type="dxa"/>
            <w:shd w:val="clear" w:color="auto" w:fill="475A8D" w:themeFill="accent6"/>
            <w:noWrap/>
            <w:vAlign w:val="bottom"/>
          </w:tcPr>
          <w:p w:rsidR="00400406" w:rsidRPr="007C2D51" w:rsidRDefault="00400406" w:rsidP="00FA2E94">
            <w:pPr>
              <w:jc w:val="right"/>
              <w:cnfStyle w:val="000000000000"/>
              <w:rPr>
                <w:rFonts w:cs="Calibri"/>
                <w:b/>
                <w:bCs/>
                <w:color w:val="FFFFFF" w:themeColor="background1"/>
              </w:rPr>
            </w:pPr>
            <w:r w:rsidRPr="007C2D51">
              <w:rPr>
                <w:rFonts w:cs="Calibri"/>
                <w:b/>
                <w:bCs/>
                <w:color w:val="FFFFFF" w:themeColor="background1"/>
              </w:rPr>
              <w:t>0%</w:t>
            </w:r>
          </w:p>
        </w:tc>
      </w:tr>
      <w:tr w:rsidR="00FA2E94" w:rsidRPr="007C2D51" w:rsidTr="00F15767">
        <w:trPr>
          <w:cnfStyle w:val="000000100000"/>
          <w:trHeight w:val="300"/>
        </w:trPr>
        <w:tc>
          <w:tcPr>
            <w:cnfStyle w:val="001000000000"/>
            <w:tcW w:w="2880" w:type="dxa"/>
            <w:tcBorders>
              <w:top w:val="none" w:sz="0" w:space="0" w:color="auto"/>
              <w:left w:val="none" w:sz="0" w:space="0" w:color="auto"/>
              <w:bottom w:val="none" w:sz="0" w:space="0" w:color="auto"/>
            </w:tcBorders>
            <w:noWrap/>
            <w:vAlign w:val="bottom"/>
          </w:tcPr>
          <w:p w:rsidR="00FA2E94" w:rsidRPr="007C2D51" w:rsidRDefault="00FA2E94" w:rsidP="00526171">
            <w:pPr>
              <w:pStyle w:val="ListParagraph"/>
              <w:numPr>
                <w:ilvl w:val="0"/>
                <w:numId w:val="22"/>
              </w:numPr>
              <w:ind w:left="432"/>
            </w:pPr>
            <w:r w:rsidRPr="007C2D51">
              <w:t>Fixed route</w:t>
            </w:r>
          </w:p>
        </w:tc>
        <w:tc>
          <w:tcPr>
            <w:tcW w:w="1296" w:type="dxa"/>
            <w:tcBorders>
              <w:top w:val="none" w:sz="0" w:space="0" w:color="auto"/>
              <w:bottom w:val="none" w:sz="0" w:space="0" w:color="auto"/>
            </w:tcBorders>
            <w:noWrap/>
            <w:vAlign w:val="bottom"/>
          </w:tcPr>
          <w:p w:rsidR="00FA2E94" w:rsidRPr="007C2D51" w:rsidRDefault="00FA2E94" w:rsidP="00FA2E94">
            <w:pPr>
              <w:jc w:val="right"/>
              <w:cnfStyle w:val="000000100000"/>
              <w:rPr>
                <w:rFonts w:cs="Calibri"/>
                <w:color w:val="000000"/>
              </w:rPr>
            </w:pPr>
            <w:r w:rsidRPr="007C2D51">
              <w:rPr>
                <w:rFonts w:cs="Calibri"/>
                <w:color w:val="000000"/>
              </w:rPr>
              <w:t>42%</w:t>
            </w:r>
          </w:p>
        </w:tc>
        <w:tc>
          <w:tcPr>
            <w:tcW w:w="1296" w:type="dxa"/>
            <w:tcBorders>
              <w:top w:val="none" w:sz="0" w:space="0" w:color="auto"/>
              <w:bottom w:val="none" w:sz="0" w:space="0" w:color="auto"/>
            </w:tcBorders>
            <w:noWrap/>
            <w:vAlign w:val="bottom"/>
          </w:tcPr>
          <w:p w:rsidR="00FA2E94" w:rsidRPr="007C2D51" w:rsidRDefault="00FA2E94" w:rsidP="00FA2E94">
            <w:pPr>
              <w:jc w:val="right"/>
              <w:cnfStyle w:val="000000100000"/>
              <w:rPr>
                <w:rFonts w:cs="Calibri"/>
                <w:color w:val="000000"/>
              </w:rPr>
            </w:pPr>
            <w:r w:rsidRPr="007C2D51">
              <w:rPr>
                <w:rFonts w:cs="Calibri"/>
                <w:color w:val="000000"/>
              </w:rPr>
              <w:t>31%</w:t>
            </w:r>
          </w:p>
        </w:tc>
        <w:tc>
          <w:tcPr>
            <w:tcW w:w="1296" w:type="dxa"/>
            <w:tcBorders>
              <w:top w:val="none" w:sz="0" w:space="0" w:color="auto"/>
              <w:bottom w:val="none" w:sz="0" w:space="0" w:color="auto"/>
            </w:tcBorders>
            <w:noWrap/>
            <w:vAlign w:val="bottom"/>
          </w:tcPr>
          <w:p w:rsidR="00FA2E94" w:rsidRPr="007C2D51" w:rsidRDefault="00FA2E94" w:rsidP="00FA2E94">
            <w:pPr>
              <w:jc w:val="right"/>
              <w:cnfStyle w:val="000000100000"/>
              <w:rPr>
                <w:rFonts w:cs="Calibri"/>
                <w:color w:val="000000"/>
              </w:rPr>
            </w:pPr>
            <w:r w:rsidRPr="007C2D51">
              <w:rPr>
                <w:rFonts w:cs="Calibri"/>
                <w:color w:val="000000"/>
              </w:rPr>
              <w:t>9%</w:t>
            </w:r>
          </w:p>
        </w:tc>
        <w:tc>
          <w:tcPr>
            <w:tcW w:w="1296" w:type="dxa"/>
            <w:tcBorders>
              <w:top w:val="none" w:sz="0" w:space="0" w:color="auto"/>
              <w:bottom w:val="none" w:sz="0" w:space="0" w:color="auto"/>
            </w:tcBorders>
            <w:noWrap/>
            <w:vAlign w:val="bottom"/>
          </w:tcPr>
          <w:p w:rsidR="00FA2E94" w:rsidRPr="007C2D51" w:rsidRDefault="00FA2E94" w:rsidP="00FA2E94">
            <w:pPr>
              <w:jc w:val="right"/>
              <w:cnfStyle w:val="000000100000"/>
              <w:rPr>
                <w:rFonts w:cs="Calibri"/>
                <w:color w:val="000000"/>
              </w:rPr>
            </w:pPr>
            <w:r w:rsidRPr="007C2D51">
              <w:rPr>
                <w:rFonts w:cs="Calibri"/>
                <w:color w:val="000000"/>
              </w:rPr>
              <w:t>18%</w:t>
            </w:r>
          </w:p>
        </w:tc>
        <w:tc>
          <w:tcPr>
            <w:tcW w:w="1296" w:type="dxa"/>
            <w:tcBorders>
              <w:top w:val="none" w:sz="0" w:space="0" w:color="auto"/>
              <w:bottom w:val="none" w:sz="0" w:space="0" w:color="auto"/>
              <w:right w:val="none" w:sz="0" w:space="0" w:color="auto"/>
            </w:tcBorders>
            <w:shd w:val="clear" w:color="auto" w:fill="D9D9D9" w:themeFill="background1" w:themeFillShade="D9"/>
            <w:noWrap/>
            <w:vAlign w:val="bottom"/>
          </w:tcPr>
          <w:p w:rsidR="00FA2E94" w:rsidRPr="007C2D51" w:rsidRDefault="00FA2E94" w:rsidP="00FA2E94">
            <w:pPr>
              <w:jc w:val="right"/>
              <w:cnfStyle w:val="000000100000"/>
              <w:rPr>
                <w:rFonts w:cs="Calibri"/>
                <w:color w:val="000000"/>
              </w:rPr>
            </w:pPr>
          </w:p>
        </w:tc>
      </w:tr>
      <w:tr w:rsidR="00FA2E94" w:rsidRPr="007C2D51" w:rsidTr="00F15767">
        <w:trPr>
          <w:trHeight w:val="300"/>
        </w:trPr>
        <w:tc>
          <w:tcPr>
            <w:cnfStyle w:val="001000000000"/>
            <w:tcW w:w="2880" w:type="dxa"/>
            <w:noWrap/>
            <w:vAlign w:val="bottom"/>
          </w:tcPr>
          <w:p w:rsidR="00FA2E94" w:rsidRPr="007C2D51" w:rsidRDefault="00FA2E94" w:rsidP="00526171">
            <w:pPr>
              <w:pStyle w:val="ListParagraph"/>
              <w:numPr>
                <w:ilvl w:val="0"/>
                <w:numId w:val="22"/>
              </w:numPr>
              <w:ind w:left="432"/>
            </w:pPr>
            <w:r w:rsidRPr="007C2D51">
              <w:t>Flexible routing</w:t>
            </w:r>
          </w:p>
        </w:tc>
        <w:tc>
          <w:tcPr>
            <w:tcW w:w="1296" w:type="dxa"/>
            <w:noWrap/>
            <w:vAlign w:val="bottom"/>
          </w:tcPr>
          <w:p w:rsidR="00FA2E94" w:rsidRPr="007C2D51" w:rsidRDefault="00FA2E94" w:rsidP="00FA2E94">
            <w:pPr>
              <w:jc w:val="right"/>
              <w:cnfStyle w:val="000000000000"/>
              <w:rPr>
                <w:rFonts w:cs="Calibri"/>
                <w:color w:val="000000"/>
              </w:rPr>
            </w:pPr>
            <w:r w:rsidRPr="007C2D51">
              <w:rPr>
                <w:rFonts w:cs="Calibri"/>
                <w:color w:val="000000"/>
              </w:rPr>
              <w:t>39%</w:t>
            </w:r>
          </w:p>
        </w:tc>
        <w:tc>
          <w:tcPr>
            <w:tcW w:w="1296" w:type="dxa"/>
            <w:noWrap/>
            <w:vAlign w:val="bottom"/>
          </w:tcPr>
          <w:p w:rsidR="00FA2E94" w:rsidRPr="007C2D51" w:rsidRDefault="00FA2E94" w:rsidP="00FA2E94">
            <w:pPr>
              <w:jc w:val="right"/>
              <w:cnfStyle w:val="000000000000"/>
              <w:rPr>
                <w:rFonts w:cs="Calibri"/>
                <w:color w:val="000000"/>
              </w:rPr>
            </w:pPr>
            <w:r w:rsidRPr="007C2D51">
              <w:rPr>
                <w:rFonts w:cs="Calibri"/>
                <w:color w:val="000000"/>
              </w:rPr>
              <w:t>31%</w:t>
            </w:r>
          </w:p>
        </w:tc>
        <w:tc>
          <w:tcPr>
            <w:tcW w:w="1296" w:type="dxa"/>
            <w:noWrap/>
            <w:vAlign w:val="bottom"/>
          </w:tcPr>
          <w:p w:rsidR="00FA2E94" w:rsidRPr="007C2D51" w:rsidRDefault="00FA2E94" w:rsidP="00FA2E94">
            <w:pPr>
              <w:jc w:val="right"/>
              <w:cnfStyle w:val="000000000000"/>
              <w:rPr>
                <w:rFonts w:cs="Calibri"/>
                <w:color w:val="000000"/>
              </w:rPr>
            </w:pPr>
            <w:r w:rsidRPr="007C2D51">
              <w:rPr>
                <w:rFonts w:cs="Calibri"/>
                <w:color w:val="000000"/>
              </w:rPr>
              <w:t>13%</w:t>
            </w:r>
          </w:p>
        </w:tc>
        <w:tc>
          <w:tcPr>
            <w:tcW w:w="1296" w:type="dxa"/>
            <w:noWrap/>
            <w:vAlign w:val="bottom"/>
          </w:tcPr>
          <w:p w:rsidR="00FA2E94" w:rsidRPr="007C2D51" w:rsidRDefault="00FA2E94" w:rsidP="00FA2E94">
            <w:pPr>
              <w:jc w:val="right"/>
              <w:cnfStyle w:val="000000000000"/>
              <w:rPr>
                <w:rFonts w:cs="Calibri"/>
                <w:color w:val="000000"/>
              </w:rPr>
            </w:pPr>
            <w:r w:rsidRPr="007C2D51">
              <w:rPr>
                <w:rFonts w:cs="Calibri"/>
                <w:color w:val="000000"/>
              </w:rPr>
              <w:t>16%</w:t>
            </w:r>
          </w:p>
        </w:tc>
        <w:tc>
          <w:tcPr>
            <w:tcW w:w="1296" w:type="dxa"/>
            <w:shd w:val="clear" w:color="auto" w:fill="D9D9D9" w:themeFill="background1" w:themeFillShade="D9"/>
            <w:noWrap/>
            <w:vAlign w:val="bottom"/>
          </w:tcPr>
          <w:p w:rsidR="00FA2E94" w:rsidRPr="007C2D51" w:rsidRDefault="00FA2E94" w:rsidP="00FA2E94">
            <w:pPr>
              <w:jc w:val="right"/>
              <w:cnfStyle w:val="000000000000"/>
              <w:rPr>
                <w:rFonts w:cs="Calibri"/>
                <w:color w:val="000000"/>
              </w:rPr>
            </w:pPr>
          </w:p>
        </w:tc>
      </w:tr>
      <w:tr w:rsidR="00FA2E94" w:rsidRPr="007C2D51" w:rsidTr="00F15767">
        <w:trPr>
          <w:cnfStyle w:val="000000100000"/>
          <w:trHeight w:val="300"/>
        </w:trPr>
        <w:tc>
          <w:tcPr>
            <w:cnfStyle w:val="001000000000"/>
            <w:tcW w:w="2880" w:type="dxa"/>
            <w:tcBorders>
              <w:top w:val="none" w:sz="0" w:space="0" w:color="auto"/>
              <w:left w:val="none" w:sz="0" w:space="0" w:color="auto"/>
              <w:bottom w:val="none" w:sz="0" w:space="0" w:color="auto"/>
            </w:tcBorders>
            <w:noWrap/>
            <w:vAlign w:val="bottom"/>
          </w:tcPr>
          <w:p w:rsidR="00FA2E94" w:rsidRPr="007C2D51" w:rsidRDefault="00FA2E94" w:rsidP="00526171">
            <w:pPr>
              <w:pStyle w:val="ListParagraph"/>
              <w:numPr>
                <w:ilvl w:val="0"/>
                <w:numId w:val="22"/>
              </w:numPr>
              <w:ind w:left="432"/>
            </w:pPr>
            <w:r w:rsidRPr="007C2D51">
              <w:t>Shuttle/Feeders</w:t>
            </w:r>
          </w:p>
        </w:tc>
        <w:tc>
          <w:tcPr>
            <w:tcW w:w="1296" w:type="dxa"/>
            <w:tcBorders>
              <w:top w:val="none" w:sz="0" w:space="0" w:color="auto"/>
              <w:bottom w:val="none" w:sz="0" w:space="0" w:color="auto"/>
            </w:tcBorders>
            <w:noWrap/>
            <w:vAlign w:val="bottom"/>
          </w:tcPr>
          <w:p w:rsidR="00FA2E94" w:rsidRPr="007C2D51" w:rsidRDefault="00FA2E94" w:rsidP="00FA2E94">
            <w:pPr>
              <w:jc w:val="right"/>
              <w:cnfStyle w:val="000000100000"/>
              <w:rPr>
                <w:rFonts w:cs="Calibri"/>
                <w:color w:val="000000"/>
              </w:rPr>
            </w:pPr>
            <w:r w:rsidRPr="007C2D51">
              <w:rPr>
                <w:rFonts w:cs="Calibri"/>
                <w:color w:val="000000"/>
              </w:rPr>
              <w:t>54%</w:t>
            </w:r>
          </w:p>
        </w:tc>
        <w:tc>
          <w:tcPr>
            <w:tcW w:w="1296" w:type="dxa"/>
            <w:tcBorders>
              <w:top w:val="none" w:sz="0" w:space="0" w:color="auto"/>
              <w:bottom w:val="none" w:sz="0" w:space="0" w:color="auto"/>
            </w:tcBorders>
            <w:noWrap/>
            <w:vAlign w:val="bottom"/>
          </w:tcPr>
          <w:p w:rsidR="00FA2E94" w:rsidRPr="007C2D51" w:rsidRDefault="00FA2E94" w:rsidP="00FA2E94">
            <w:pPr>
              <w:jc w:val="right"/>
              <w:cnfStyle w:val="000000100000"/>
              <w:rPr>
                <w:rFonts w:cs="Calibri"/>
                <w:color w:val="000000"/>
              </w:rPr>
            </w:pPr>
            <w:r w:rsidRPr="007C2D51">
              <w:rPr>
                <w:rFonts w:cs="Calibri"/>
                <w:color w:val="000000"/>
              </w:rPr>
              <w:t>4%</w:t>
            </w:r>
          </w:p>
        </w:tc>
        <w:tc>
          <w:tcPr>
            <w:tcW w:w="1296" w:type="dxa"/>
            <w:tcBorders>
              <w:top w:val="none" w:sz="0" w:space="0" w:color="auto"/>
              <w:bottom w:val="none" w:sz="0" w:space="0" w:color="auto"/>
            </w:tcBorders>
            <w:noWrap/>
            <w:vAlign w:val="bottom"/>
          </w:tcPr>
          <w:p w:rsidR="00FA2E94" w:rsidRPr="007C2D51" w:rsidRDefault="00FA2E94" w:rsidP="00FA2E94">
            <w:pPr>
              <w:jc w:val="right"/>
              <w:cnfStyle w:val="000000100000"/>
              <w:rPr>
                <w:rFonts w:cs="Calibri"/>
                <w:color w:val="000000"/>
              </w:rPr>
            </w:pPr>
            <w:r w:rsidRPr="007C2D51">
              <w:rPr>
                <w:rFonts w:cs="Calibri"/>
                <w:color w:val="000000"/>
              </w:rPr>
              <w:t>12%</w:t>
            </w:r>
          </w:p>
        </w:tc>
        <w:tc>
          <w:tcPr>
            <w:tcW w:w="1296" w:type="dxa"/>
            <w:tcBorders>
              <w:top w:val="none" w:sz="0" w:space="0" w:color="auto"/>
              <w:bottom w:val="none" w:sz="0" w:space="0" w:color="auto"/>
            </w:tcBorders>
            <w:noWrap/>
            <w:vAlign w:val="bottom"/>
          </w:tcPr>
          <w:p w:rsidR="00FA2E94" w:rsidRPr="007C2D51" w:rsidRDefault="00FA2E94" w:rsidP="00FA2E94">
            <w:pPr>
              <w:jc w:val="right"/>
              <w:cnfStyle w:val="000000100000"/>
              <w:rPr>
                <w:rFonts w:cs="Calibri"/>
                <w:color w:val="000000"/>
              </w:rPr>
            </w:pPr>
            <w:r w:rsidRPr="007C2D51">
              <w:rPr>
                <w:rFonts w:cs="Calibri"/>
                <w:color w:val="000000"/>
              </w:rPr>
              <w:t>31%</w:t>
            </w:r>
          </w:p>
        </w:tc>
        <w:tc>
          <w:tcPr>
            <w:tcW w:w="1296" w:type="dxa"/>
            <w:tcBorders>
              <w:top w:val="none" w:sz="0" w:space="0" w:color="auto"/>
              <w:bottom w:val="none" w:sz="0" w:space="0" w:color="auto"/>
              <w:right w:val="none" w:sz="0" w:space="0" w:color="auto"/>
            </w:tcBorders>
            <w:shd w:val="clear" w:color="auto" w:fill="D9D9D9" w:themeFill="background1" w:themeFillShade="D9"/>
            <w:noWrap/>
            <w:vAlign w:val="bottom"/>
          </w:tcPr>
          <w:p w:rsidR="00FA2E94" w:rsidRPr="007C2D51" w:rsidRDefault="00FA2E94" w:rsidP="00FA2E94">
            <w:pPr>
              <w:jc w:val="right"/>
              <w:cnfStyle w:val="000000100000"/>
              <w:rPr>
                <w:rFonts w:cs="Calibri"/>
                <w:color w:val="000000"/>
              </w:rPr>
            </w:pPr>
          </w:p>
        </w:tc>
      </w:tr>
      <w:tr w:rsidR="00FA2E94" w:rsidRPr="007C2D51" w:rsidTr="00F15767">
        <w:trPr>
          <w:trHeight w:val="300"/>
        </w:trPr>
        <w:tc>
          <w:tcPr>
            <w:cnfStyle w:val="001000000000"/>
            <w:tcW w:w="2880" w:type="dxa"/>
            <w:noWrap/>
            <w:vAlign w:val="bottom"/>
          </w:tcPr>
          <w:p w:rsidR="00FA2E94" w:rsidRPr="007C2D51" w:rsidRDefault="00FA2E94" w:rsidP="00526171">
            <w:pPr>
              <w:pStyle w:val="ListParagraph"/>
              <w:numPr>
                <w:ilvl w:val="0"/>
                <w:numId w:val="22"/>
              </w:numPr>
              <w:ind w:left="432"/>
            </w:pPr>
            <w:r w:rsidRPr="007C2D51">
              <w:t>Demand response</w:t>
            </w:r>
          </w:p>
        </w:tc>
        <w:tc>
          <w:tcPr>
            <w:tcW w:w="1296" w:type="dxa"/>
            <w:noWrap/>
            <w:vAlign w:val="bottom"/>
          </w:tcPr>
          <w:p w:rsidR="00FA2E94" w:rsidRPr="007C2D51" w:rsidRDefault="00FA2E94" w:rsidP="00FA2E94">
            <w:pPr>
              <w:jc w:val="right"/>
              <w:cnfStyle w:val="000000000000"/>
              <w:rPr>
                <w:rFonts w:cs="Calibri"/>
                <w:color w:val="000000"/>
              </w:rPr>
            </w:pPr>
            <w:r w:rsidRPr="007C2D51">
              <w:rPr>
                <w:rFonts w:cs="Calibri"/>
                <w:color w:val="000000"/>
              </w:rPr>
              <w:t>30%</w:t>
            </w:r>
          </w:p>
        </w:tc>
        <w:tc>
          <w:tcPr>
            <w:tcW w:w="1296" w:type="dxa"/>
            <w:noWrap/>
            <w:vAlign w:val="bottom"/>
          </w:tcPr>
          <w:p w:rsidR="00FA2E94" w:rsidRPr="007C2D51" w:rsidRDefault="00FA2E94" w:rsidP="00FA2E94">
            <w:pPr>
              <w:jc w:val="right"/>
              <w:cnfStyle w:val="000000000000"/>
              <w:rPr>
                <w:rFonts w:cs="Calibri"/>
                <w:color w:val="000000"/>
              </w:rPr>
            </w:pPr>
            <w:r w:rsidRPr="007C2D51">
              <w:rPr>
                <w:rFonts w:cs="Calibri"/>
                <w:color w:val="000000"/>
              </w:rPr>
              <w:t>27%</w:t>
            </w:r>
          </w:p>
        </w:tc>
        <w:tc>
          <w:tcPr>
            <w:tcW w:w="1296" w:type="dxa"/>
            <w:noWrap/>
            <w:vAlign w:val="bottom"/>
          </w:tcPr>
          <w:p w:rsidR="00FA2E94" w:rsidRPr="007C2D51" w:rsidRDefault="00FA2E94" w:rsidP="00FA2E94">
            <w:pPr>
              <w:jc w:val="right"/>
              <w:cnfStyle w:val="000000000000"/>
              <w:rPr>
                <w:rFonts w:cs="Calibri"/>
                <w:color w:val="000000"/>
              </w:rPr>
            </w:pPr>
            <w:r w:rsidRPr="007C2D51">
              <w:rPr>
                <w:rFonts w:cs="Calibri"/>
                <w:color w:val="000000"/>
              </w:rPr>
              <w:t>20%</w:t>
            </w:r>
          </w:p>
        </w:tc>
        <w:tc>
          <w:tcPr>
            <w:tcW w:w="1296" w:type="dxa"/>
            <w:noWrap/>
            <w:vAlign w:val="bottom"/>
          </w:tcPr>
          <w:p w:rsidR="00FA2E94" w:rsidRPr="007C2D51" w:rsidRDefault="00FA2E94" w:rsidP="00FA2E94">
            <w:pPr>
              <w:jc w:val="right"/>
              <w:cnfStyle w:val="000000000000"/>
              <w:rPr>
                <w:rFonts w:cs="Calibri"/>
                <w:color w:val="000000"/>
              </w:rPr>
            </w:pPr>
            <w:r w:rsidRPr="007C2D51">
              <w:rPr>
                <w:rFonts w:cs="Calibri"/>
                <w:color w:val="000000"/>
              </w:rPr>
              <w:t>24%</w:t>
            </w:r>
          </w:p>
        </w:tc>
        <w:tc>
          <w:tcPr>
            <w:tcW w:w="1296" w:type="dxa"/>
            <w:shd w:val="clear" w:color="auto" w:fill="D9D9D9" w:themeFill="background1" w:themeFillShade="D9"/>
            <w:noWrap/>
            <w:vAlign w:val="bottom"/>
          </w:tcPr>
          <w:p w:rsidR="00FA2E94" w:rsidRPr="007C2D51" w:rsidRDefault="00FA2E94" w:rsidP="00FA2E94">
            <w:pPr>
              <w:jc w:val="right"/>
              <w:cnfStyle w:val="000000000000"/>
              <w:rPr>
                <w:rFonts w:cs="Calibri"/>
                <w:color w:val="000000"/>
              </w:rPr>
            </w:pPr>
          </w:p>
        </w:tc>
      </w:tr>
      <w:tr w:rsidR="00FA2E94" w:rsidRPr="007C2D51" w:rsidTr="00F15767">
        <w:trPr>
          <w:cnfStyle w:val="000000100000"/>
          <w:trHeight w:val="300"/>
        </w:trPr>
        <w:tc>
          <w:tcPr>
            <w:cnfStyle w:val="001000000000"/>
            <w:tcW w:w="2880" w:type="dxa"/>
            <w:tcBorders>
              <w:top w:val="none" w:sz="0" w:space="0" w:color="auto"/>
              <w:left w:val="none" w:sz="0" w:space="0" w:color="auto"/>
              <w:bottom w:val="none" w:sz="0" w:space="0" w:color="auto"/>
            </w:tcBorders>
            <w:noWrap/>
            <w:vAlign w:val="bottom"/>
          </w:tcPr>
          <w:p w:rsidR="00FA2E94" w:rsidRPr="007C2D51" w:rsidRDefault="00FA2E94" w:rsidP="00526171">
            <w:pPr>
              <w:pStyle w:val="ListParagraph"/>
              <w:numPr>
                <w:ilvl w:val="0"/>
                <w:numId w:val="22"/>
              </w:numPr>
              <w:ind w:left="432"/>
            </w:pPr>
            <w:r w:rsidRPr="007C2D51">
              <w:t>Vanpool service</w:t>
            </w:r>
          </w:p>
        </w:tc>
        <w:tc>
          <w:tcPr>
            <w:tcW w:w="1296" w:type="dxa"/>
            <w:tcBorders>
              <w:top w:val="none" w:sz="0" w:space="0" w:color="auto"/>
              <w:bottom w:val="none" w:sz="0" w:space="0" w:color="auto"/>
            </w:tcBorders>
            <w:shd w:val="clear" w:color="auto" w:fill="D9D9D9" w:themeFill="background1" w:themeFillShade="D9"/>
            <w:noWrap/>
            <w:vAlign w:val="bottom"/>
          </w:tcPr>
          <w:p w:rsidR="00FA2E94" w:rsidRPr="007C2D51" w:rsidRDefault="00FA2E94" w:rsidP="00FA2E94">
            <w:pPr>
              <w:jc w:val="right"/>
              <w:cnfStyle w:val="000000100000"/>
              <w:rPr>
                <w:rFonts w:cs="Calibri"/>
                <w:color w:val="000000"/>
              </w:rPr>
            </w:pPr>
          </w:p>
        </w:tc>
        <w:tc>
          <w:tcPr>
            <w:tcW w:w="1296" w:type="dxa"/>
            <w:tcBorders>
              <w:top w:val="none" w:sz="0" w:space="0" w:color="auto"/>
              <w:bottom w:val="none" w:sz="0" w:space="0" w:color="auto"/>
            </w:tcBorders>
            <w:shd w:val="clear" w:color="auto" w:fill="D9D9D9" w:themeFill="background1" w:themeFillShade="D9"/>
            <w:noWrap/>
            <w:vAlign w:val="bottom"/>
          </w:tcPr>
          <w:p w:rsidR="00FA2E94" w:rsidRPr="007C2D51" w:rsidRDefault="00FA2E94" w:rsidP="00FA2E94">
            <w:pPr>
              <w:jc w:val="right"/>
              <w:cnfStyle w:val="000000100000"/>
              <w:rPr>
                <w:rFonts w:cs="Calibri"/>
                <w:color w:val="000000"/>
              </w:rPr>
            </w:pPr>
          </w:p>
        </w:tc>
        <w:tc>
          <w:tcPr>
            <w:tcW w:w="1296" w:type="dxa"/>
            <w:tcBorders>
              <w:top w:val="none" w:sz="0" w:space="0" w:color="auto"/>
              <w:bottom w:val="none" w:sz="0" w:space="0" w:color="auto"/>
            </w:tcBorders>
            <w:noWrap/>
            <w:vAlign w:val="bottom"/>
          </w:tcPr>
          <w:p w:rsidR="00FA2E94" w:rsidRPr="007C2D51" w:rsidRDefault="00FA2E94" w:rsidP="00FA2E94">
            <w:pPr>
              <w:jc w:val="right"/>
              <w:cnfStyle w:val="000000100000"/>
              <w:rPr>
                <w:rFonts w:cs="Calibri"/>
                <w:color w:val="000000"/>
              </w:rPr>
            </w:pPr>
            <w:r w:rsidRPr="007C2D51">
              <w:rPr>
                <w:rFonts w:cs="Calibri"/>
                <w:color w:val="000000"/>
              </w:rPr>
              <w:t>29%</w:t>
            </w:r>
          </w:p>
        </w:tc>
        <w:tc>
          <w:tcPr>
            <w:tcW w:w="1296" w:type="dxa"/>
            <w:tcBorders>
              <w:top w:val="none" w:sz="0" w:space="0" w:color="auto"/>
              <w:bottom w:val="none" w:sz="0" w:space="0" w:color="auto"/>
            </w:tcBorders>
            <w:noWrap/>
            <w:vAlign w:val="bottom"/>
          </w:tcPr>
          <w:p w:rsidR="00FA2E94" w:rsidRPr="007C2D51" w:rsidRDefault="00FA2E94" w:rsidP="00FA2E94">
            <w:pPr>
              <w:jc w:val="right"/>
              <w:cnfStyle w:val="000000100000"/>
              <w:rPr>
                <w:rFonts w:cs="Calibri"/>
                <w:color w:val="000000"/>
              </w:rPr>
            </w:pPr>
            <w:r w:rsidRPr="007C2D51">
              <w:rPr>
                <w:rFonts w:cs="Calibri"/>
                <w:color w:val="000000"/>
              </w:rPr>
              <w:t>71%</w:t>
            </w:r>
          </w:p>
        </w:tc>
        <w:tc>
          <w:tcPr>
            <w:tcW w:w="1296" w:type="dxa"/>
            <w:tcBorders>
              <w:top w:val="none" w:sz="0" w:space="0" w:color="auto"/>
              <w:bottom w:val="none" w:sz="0" w:space="0" w:color="auto"/>
              <w:right w:val="none" w:sz="0" w:space="0" w:color="auto"/>
            </w:tcBorders>
            <w:shd w:val="clear" w:color="auto" w:fill="D9D9D9" w:themeFill="background1" w:themeFillShade="D9"/>
            <w:noWrap/>
            <w:vAlign w:val="bottom"/>
          </w:tcPr>
          <w:p w:rsidR="00FA2E94" w:rsidRPr="007C2D51" w:rsidRDefault="00FA2E94" w:rsidP="00FA2E94">
            <w:pPr>
              <w:jc w:val="right"/>
              <w:cnfStyle w:val="000000100000"/>
              <w:rPr>
                <w:rFonts w:cs="Calibri"/>
                <w:color w:val="000000"/>
              </w:rPr>
            </w:pPr>
          </w:p>
        </w:tc>
      </w:tr>
      <w:tr w:rsidR="00FA2E94" w:rsidRPr="007C2D51" w:rsidTr="00F15767">
        <w:trPr>
          <w:trHeight w:val="300"/>
        </w:trPr>
        <w:tc>
          <w:tcPr>
            <w:cnfStyle w:val="001000000000"/>
            <w:tcW w:w="2880" w:type="dxa"/>
            <w:noWrap/>
            <w:vAlign w:val="bottom"/>
          </w:tcPr>
          <w:p w:rsidR="00FA2E94" w:rsidRPr="007C2D51" w:rsidRDefault="00FA2E94" w:rsidP="00526171">
            <w:pPr>
              <w:pStyle w:val="ListParagraph"/>
              <w:numPr>
                <w:ilvl w:val="0"/>
                <w:numId w:val="22"/>
              </w:numPr>
              <w:ind w:left="432"/>
            </w:pPr>
            <w:r w:rsidRPr="007C2D51">
              <w:t>User-side subsidy</w:t>
            </w:r>
          </w:p>
        </w:tc>
        <w:tc>
          <w:tcPr>
            <w:tcW w:w="1296" w:type="dxa"/>
            <w:noWrap/>
            <w:vAlign w:val="bottom"/>
          </w:tcPr>
          <w:p w:rsidR="00FA2E94" w:rsidRPr="007C2D51" w:rsidRDefault="00FA2E94" w:rsidP="00FA2E94">
            <w:pPr>
              <w:jc w:val="right"/>
              <w:cnfStyle w:val="000000000000"/>
              <w:rPr>
                <w:rFonts w:cs="Calibri"/>
                <w:color w:val="000000"/>
              </w:rPr>
            </w:pPr>
            <w:r w:rsidRPr="007C2D51">
              <w:rPr>
                <w:rFonts w:cs="Calibri"/>
                <w:color w:val="000000"/>
              </w:rPr>
              <w:t>5%</w:t>
            </w:r>
          </w:p>
        </w:tc>
        <w:tc>
          <w:tcPr>
            <w:tcW w:w="1296" w:type="dxa"/>
            <w:noWrap/>
            <w:vAlign w:val="bottom"/>
          </w:tcPr>
          <w:p w:rsidR="00FA2E94" w:rsidRPr="007C2D51" w:rsidRDefault="00FA2E94" w:rsidP="00FA2E94">
            <w:pPr>
              <w:jc w:val="right"/>
              <w:cnfStyle w:val="000000000000"/>
              <w:rPr>
                <w:rFonts w:cs="Calibri"/>
                <w:color w:val="000000"/>
              </w:rPr>
            </w:pPr>
            <w:r w:rsidRPr="007C2D51">
              <w:rPr>
                <w:rFonts w:cs="Calibri"/>
                <w:color w:val="000000"/>
              </w:rPr>
              <w:t>11%</w:t>
            </w:r>
          </w:p>
        </w:tc>
        <w:tc>
          <w:tcPr>
            <w:tcW w:w="1296" w:type="dxa"/>
            <w:noWrap/>
            <w:vAlign w:val="bottom"/>
          </w:tcPr>
          <w:p w:rsidR="00FA2E94" w:rsidRPr="007C2D51" w:rsidRDefault="00FA2E94" w:rsidP="00FA2E94">
            <w:pPr>
              <w:jc w:val="right"/>
              <w:cnfStyle w:val="000000000000"/>
              <w:rPr>
                <w:rFonts w:cs="Calibri"/>
                <w:color w:val="000000"/>
              </w:rPr>
            </w:pPr>
            <w:r w:rsidRPr="007C2D51">
              <w:rPr>
                <w:rFonts w:cs="Calibri"/>
                <w:color w:val="000000"/>
              </w:rPr>
              <w:t>13%</w:t>
            </w:r>
          </w:p>
        </w:tc>
        <w:tc>
          <w:tcPr>
            <w:tcW w:w="1296" w:type="dxa"/>
            <w:noWrap/>
            <w:vAlign w:val="bottom"/>
          </w:tcPr>
          <w:p w:rsidR="00FA2E94" w:rsidRPr="007C2D51" w:rsidRDefault="00FA2E94" w:rsidP="00FA2E94">
            <w:pPr>
              <w:jc w:val="right"/>
              <w:cnfStyle w:val="000000000000"/>
              <w:rPr>
                <w:rFonts w:cs="Calibri"/>
                <w:color w:val="000000"/>
              </w:rPr>
            </w:pPr>
            <w:r w:rsidRPr="007C2D51">
              <w:rPr>
                <w:rFonts w:cs="Calibri"/>
                <w:color w:val="000000"/>
              </w:rPr>
              <w:t>71%</w:t>
            </w:r>
          </w:p>
        </w:tc>
        <w:tc>
          <w:tcPr>
            <w:tcW w:w="1296" w:type="dxa"/>
            <w:shd w:val="clear" w:color="auto" w:fill="D9D9D9" w:themeFill="background1" w:themeFillShade="D9"/>
            <w:noWrap/>
            <w:vAlign w:val="bottom"/>
          </w:tcPr>
          <w:p w:rsidR="00FA2E94" w:rsidRPr="007C2D51" w:rsidRDefault="00FA2E94" w:rsidP="00FA2E94">
            <w:pPr>
              <w:jc w:val="right"/>
              <w:cnfStyle w:val="000000000000"/>
              <w:rPr>
                <w:rFonts w:cs="Calibri"/>
                <w:color w:val="000000"/>
              </w:rPr>
            </w:pPr>
          </w:p>
        </w:tc>
      </w:tr>
      <w:tr w:rsidR="00FA2E94" w:rsidRPr="007C2D51" w:rsidTr="00F15767">
        <w:trPr>
          <w:cnfStyle w:val="000000100000"/>
          <w:trHeight w:val="300"/>
        </w:trPr>
        <w:tc>
          <w:tcPr>
            <w:cnfStyle w:val="001000000000"/>
            <w:tcW w:w="2880" w:type="dxa"/>
            <w:tcBorders>
              <w:top w:val="none" w:sz="0" w:space="0" w:color="auto"/>
              <w:left w:val="none" w:sz="0" w:space="0" w:color="auto"/>
              <w:bottom w:val="none" w:sz="0" w:space="0" w:color="auto"/>
            </w:tcBorders>
            <w:shd w:val="clear" w:color="auto" w:fill="475A8D" w:themeFill="accent6"/>
            <w:noWrap/>
            <w:vAlign w:val="bottom"/>
          </w:tcPr>
          <w:p w:rsidR="00FA2E94" w:rsidRPr="007C2D51" w:rsidRDefault="00FA2E94" w:rsidP="00FA2E94">
            <w:pPr>
              <w:rPr>
                <w:color w:val="FFFFFF" w:themeColor="background1"/>
              </w:rPr>
            </w:pPr>
            <w:r w:rsidRPr="007C2D51">
              <w:rPr>
                <w:color w:val="FFFFFF" w:themeColor="background1"/>
              </w:rPr>
              <w:t xml:space="preserve">II.  Information-Based </w:t>
            </w:r>
          </w:p>
        </w:tc>
        <w:tc>
          <w:tcPr>
            <w:tcW w:w="1296" w:type="dxa"/>
            <w:tcBorders>
              <w:top w:val="none" w:sz="0" w:space="0" w:color="auto"/>
              <w:bottom w:val="none" w:sz="0" w:space="0" w:color="auto"/>
            </w:tcBorders>
            <w:shd w:val="clear" w:color="auto" w:fill="475A8D" w:themeFill="accent6"/>
            <w:noWrap/>
            <w:vAlign w:val="bottom"/>
          </w:tcPr>
          <w:p w:rsidR="00FA2E94" w:rsidRPr="007C2D51" w:rsidRDefault="00FA2E94" w:rsidP="00FA2E94">
            <w:pPr>
              <w:jc w:val="right"/>
              <w:cnfStyle w:val="000000100000"/>
              <w:rPr>
                <w:rFonts w:cs="Calibri"/>
                <w:b/>
                <w:bCs/>
                <w:color w:val="FFFFFF" w:themeColor="background1"/>
                <w:sz w:val="22"/>
                <w:szCs w:val="22"/>
              </w:rPr>
            </w:pPr>
            <w:r w:rsidRPr="007C2D51">
              <w:rPr>
                <w:rFonts w:cs="Calibri"/>
                <w:b/>
                <w:bCs/>
                <w:color w:val="FFFFFF" w:themeColor="background1"/>
                <w:sz w:val="22"/>
                <w:szCs w:val="22"/>
              </w:rPr>
              <w:t>0%</w:t>
            </w:r>
          </w:p>
        </w:tc>
        <w:tc>
          <w:tcPr>
            <w:tcW w:w="1296" w:type="dxa"/>
            <w:tcBorders>
              <w:top w:val="none" w:sz="0" w:space="0" w:color="auto"/>
              <w:bottom w:val="none" w:sz="0" w:space="0" w:color="auto"/>
            </w:tcBorders>
            <w:shd w:val="clear" w:color="auto" w:fill="475A8D" w:themeFill="accent6"/>
            <w:noWrap/>
            <w:vAlign w:val="bottom"/>
          </w:tcPr>
          <w:p w:rsidR="00FA2E94" w:rsidRPr="007C2D51" w:rsidRDefault="00FA2E94" w:rsidP="00FA2E94">
            <w:pPr>
              <w:jc w:val="right"/>
              <w:cnfStyle w:val="000000100000"/>
              <w:rPr>
                <w:rFonts w:cs="Calibri"/>
                <w:b/>
                <w:bCs/>
                <w:color w:val="FFFFFF" w:themeColor="background1"/>
                <w:sz w:val="22"/>
                <w:szCs w:val="22"/>
              </w:rPr>
            </w:pPr>
            <w:r w:rsidRPr="007C2D51">
              <w:rPr>
                <w:rFonts w:cs="Calibri"/>
                <w:b/>
                <w:bCs/>
                <w:color w:val="FFFFFF" w:themeColor="background1"/>
                <w:sz w:val="22"/>
                <w:szCs w:val="22"/>
              </w:rPr>
              <w:t>0%</w:t>
            </w:r>
          </w:p>
        </w:tc>
        <w:tc>
          <w:tcPr>
            <w:tcW w:w="1296" w:type="dxa"/>
            <w:tcBorders>
              <w:top w:val="none" w:sz="0" w:space="0" w:color="auto"/>
              <w:bottom w:val="none" w:sz="0" w:space="0" w:color="auto"/>
            </w:tcBorders>
            <w:shd w:val="clear" w:color="auto" w:fill="475A8D" w:themeFill="accent6"/>
            <w:noWrap/>
            <w:vAlign w:val="bottom"/>
          </w:tcPr>
          <w:p w:rsidR="00FA2E94" w:rsidRPr="007C2D51" w:rsidRDefault="00FA2E94" w:rsidP="00FA2E94">
            <w:pPr>
              <w:jc w:val="right"/>
              <w:cnfStyle w:val="000000100000"/>
              <w:rPr>
                <w:rFonts w:cs="Calibri"/>
                <w:b/>
                <w:bCs/>
                <w:color w:val="FFFFFF" w:themeColor="background1"/>
                <w:sz w:val="22"/>
                <w:szCs w:val="22"/>
              </w:rPr>
            </w:pPr>
            <w:r w:rsidRPr="007C2D51">
              <w:rPr>
                <w:rFonts w:cs="Calibri"/>
                <w:b/>
                <w:bCs/>
                <w:color w:val="FFFFFF" w:themeColor="background1"/>
                <w:sz w:val="22"/>
                <w:szCs w:val="22"/>
              </w:rPr>
              <w:t>0%</w:t>
            </w:r>
          </w:p>
        </w:tc>
        <w:tc>
          <w:tcPr>
            <w:tcW w:w="1296" w:type="dxa"/>
            <w:tcBorders>
              <w:top w:val="none" w:sz="0" w:space="0" w:color="auto"/>
              <w:bottom w:val="none" w:sz="0" w:space="0" w:color="auto"/>
            </w:tcBorders>
            <w:shd w:val="clear" w:color="auto" w:fill="475A8D" w:themeFill="accent6"/>
            <w:noWrap/>
            <w:vAlign w:val="bottom"/>
          </w:tcPr>
          <w:p w:rsidR="00FA2E94" w:rsidRPr="007C2D51" w:rsidRDefault="00FA2E94" w:rsidP="00FA2E94">
            <w:pPr>
              <w:jc w:val="right"/>
              <w:cnfStyle w:val="000000100000"/>
              <w:rPr>
                <w:rFonts w:cs="Calibri"/>
                <w:b/>
                <w:bCs/>
                <w:color w:val="FFFFFF" w:themeColor="background1"/>
                <w:sz w:val="22"/>
                <w:szCs w:val="22"/>
              </w:rPr>
            </w:pPr>
            <w:r w:rsidRPr="007C2D51">
              <w:rPr>
                <w:rFonts w:cs="Calibri"/>
                <w:b/>
                <w:bCs/>
                <w:color w:val="FFFFFF" w:themeColor="background1"/>
                <w:sz w:val="22"/>
                <w:szCs w:val="22"/>
              </w:rPr>
              <w:t>54%</w:t>
            </w:r>
          </w:p>
        </w:tc>
        <w:tc>
          <w:tcPr>
            <w:tcW w:w="1296" w:type="dxa"/>
            <w:tcBorders>
              <w:top w:val="none" w:sz="0" w:space="0" w:color="auto"/>
              <w:bottom w:val="none" w:sz="0" w:space="0" w:color="auto"/>
              <w:right w:val="none" w:sz="0" w:space="0" w:color="auto"/>
            </w:tcBorders>
            <w:shd w:val="clear" w:color="auto" w:fill="475A8D" w:themeFill="accent6"/>
            <w:noWrap/>
            <w:vAlign w:val="bottom"/>
          </w:tcPr>
          <w:p w:rsidR="00FA2E94" w:rsidRPr="007C2D51" w:rsidRDefault="00FA2E94" w:rsidP="00FA2E94">
            <w:pPr>
              <w:jc w:val="right"/>
              <w:cnfStyle w:val="000000100000"/>
              <w:rPr>
                <w:rFonts w:cs="Calibri"/>
                <w:b/>
                <w:bCs/>
                <w:color w:val="FFFFFF" w:themeColor="background1"/>
                <w:sz w:val="22"/>
                <w:szCs w:val="22"/>
              </w:rPr>
            </w:pPr>
            <w:r w:rsidRPr="007C2D51">
              <w:rPr>
                <w:rFonts w:cs="Calibri"/>
                <w:b/>
                <w:bCs/>
                <w:color w:val="FFFFFF" w:themeColor="background1"/>
                <w:sz w:val="22"/>
                <w:szCs w:val="22"/>
              </w:rPr>
              <w:t>46%</w:t>
            </w:r>
          </w:p>
        </w:tc>
      </w:tr>
      <w:tr w:rsidR="00FA2E94" w:rsidRPr="007C2D51" w:rsidTr="00F15767">
        <w:trPr>
          <w:trHeight w:val="300"/>
        </w:trPr>
        <w:tc>
          <w:tcPr>
            <w:cnfStyle w:val="001000000000"/>
            <w:tcW w:w="2880" w:type="dxa"/>
            <w:noWrap/>
            <w:vAlign w:val="bottom"/>
          </w:tcPr>
          <w:p w:rsidR="00FA2E94" w:rsidRPr="007C2D51" w:rsidRDefault="00FA2E94" w:rsidP="00526171">
            <w:pPr>
              <w:pStyle w:val="ListParagraph"/>
              <w:numPr>
                <w:ilvl w:val="0"/>
                <w:numId w:val="23"/>
              </w:numPr>
            </w:pPr>
            <w:r w:rsidRPr="007C2D51">
              <w:t>Mobility manager</w:t>
            </w:r>
          </w:p>
        </w:tc>
        <w:tc>
          <w:tcPr>
            <w:tcW w:w="1296" w:type="dxa"/>
            <w:shd w:val="clear" w:color="auto" w:fill="D9D9D9" w:themeFill="background1" w:themeFillShade="D9"/>
            <w:noWrap/>
            <w:vAlign w:val="bottom"/>
          </w:tcPr>
          <w:p w:rsidR="00FA2E94" w:rsidRPr="007C2D51" w:rsidRDefault="00FA2E94" w:rsidP="00FA2E94">
            <w:pPr>
              <w:jc w:val="right"/>
              <w:cnfStyle w:val="000000000000"/>
              <w:rPr>
                <w:rFonts w:cs="Calibri"/>
                <w:b/>
                <w:bCs/>
                <w:color w:val="000000"/>
              </w:rPr>
            </w:pPr>
          </w:p>
        </w:tc>
        <w:tc>
          <w:tcPr>
            <w:tcW w:w="1296" w:type="dxa"/>
            <w:shd w:val="clear" w:color="auto" w:fill="D9D9D9" w:themeFill="background1" w:themeFillShade="D9"/>
            <w:noWrap/>
            <w:vAlign w:val="bottom"/>
          </w:tcPr>
          <w:p w:rsidR="00FA2E94" w:rsidRPr="007C2D51" w:rsidRDefault="00FA2E94" w:rsidP="00FA2E94">
            <w:pPr>
              <w:jc w:val="right"/>
              <w:cnfStyle w:val="000000000000"/>
              <w:rPr>
                <w:rFonts w:cs="Calibri"/>
                <w:b/>
                <w:bCs/>
                <w:color w:val="000000"/>
              </w:rPr>
            </w:pPr>
          </w:p>
        </w:tc>
        <w:tc>
          <w:tcPr>
            <w:tcW w:w="1296" w:type="dxa"/>
            <w:shd w:val="clear" w:color="auto" w:fill="D9D9D9" w:themeFill="background1" w:themeFillShade="D9"/>
            <w:noWrap/>
            <w:vAlign w:val="bottom"/>
          </w:tcPr>
          <w:p w:rsidR="00FA2E94" w:rsidRPr="007C2D51" w:rsidRDefault="00FA2E94" w:rsidP="00FA2E94">
            <w:pPr>
              <w:jc w:val="right"/>
              <w:cnfStyle w:val="000000000000"/>
              <w:rPr>
                <w:rFonts w:cs="Calibri"/>
                <w:b/>
                <w:bCs/>
                <w:color w:val="000000"/>
              </w:rPr>
            </w:pPr>
          </w:p>
        </w:tc>
        <w:tc>
          <w:tcPr>
            <w:tcW w:w="1296" w:type="dxa"/>
            <w:noWrap/>
            <w:vAlign w:val="bottom"/>
          </w:tcPr>
          <w:p w:rsidR="00FA2E94" w:rsidRPr="007C2D51" w:rsidRDefault="00FA2E94" w:rsidP="00FA2E94">
            <w:pPr>
              <w:jc w:val="right"/>
              <w:cnfStyle w:val="000000000000"/>
              <w:rPr>
                <w:rFonts w:cs="Calibri"/>
                <w:b/>
                <w:bCs/>
                <w:color w:val="000000"/>
              </w:rPr>
            </w:pPr>
            <w:r w:rsidRPr="007C2D51">
              <w:rPr>
                <w:rFonts w:cs="Calibri"/>
                <w:b/>
                <w:bCs/>
                <w:color w:val="000000"/>
              </w:rPr>
              <w:t>54%</w:t>
            </w:r>
          </w:p>
        </w:tc>
        <w:tc>
          <w:tcPr>
            <w:tcW w:w="1296" w:type="dxa"/>
            <w:shd w:val="clear" w:color="auto" w:fill="D9D9D9" w:themeFill="background1" w:themeFillShade="D9"/>
            <w:noWrap/>
            <w:vAlign w:val="bottom"/>
          </w:tcPr>
          <w:p w:rsidR="00FA2E94" w:rsidRPr="007C2D51" w:rsidRDefault="00FA2E94" w:rsidP="00FA2E94">
            <w:pPr>
              <w:jc w:val="right"/>
              <w:cnfStyle w:val="000000000000"/>
              <w:rPr>
                <w:rFonts w:cs="Calibri"/>
                <w:b/>
                <w:bCs/>
                <w:color w:val="000000"/>
              </w:rPr>
            </w:pPr>
            <w:r w:rsidRPr="007C2D51">
              <w:rPr>
                <w:rFonts w:cs="Calibri"/>
                <w:b/>
                <w:bCs/>
                <w:color w:val="000000"/>
              </w:rPr>
              <w:t>46%</w:t>
            </w:r>
          </w:p>
        </w:tc>
      </w:tr>
      <w:tr w:rsidR="00FA2E94" w:rsidRPr="007C2D51" w:rsidTr="00F15767">
        <w:trPr>
          <w:cnfStyle w:val="000000100000"/>
          <w:trHeight w:val="300"/>
        </w:trPr>
        <w:tc>
          <w:tcPr>
            <w:cnfStyle w:val="001000000000"/>
            <w:tcW w:w="2880" w:type="dxa"/>
            <w:tcBorders>
              <w:top w:val="none" w:sz="0" w:space="0" w:color="auto"/>
              <w:left w:val="none" w:sz="0" w:space="0" w:color="auto"/>
              <w:bottom w:val="none" w:sz="0" w:space="0" w:color="auto"/>
            </w:tcBorders>
            <w:noWrap/>
            <w:vAlign w:val="bottom"/>
          </w:tcPr>
          <w:p w:rsidR="00FA2E94" w:rsidRPr="007C2D51" w:rsidRDefault="00FA2E94" w:rsidP="00526171">
            <w:pPr>
              <w:pStyle w:val="ListParagraph"/>
              <w:numPr>
                <w:ilvl w:val="0"/>
                <w:numId w:val="23"/>
              </w:numPr>
            </w:pPr>
            <w:r w:rsidRPr="007C2D51">
              <w:t>One-stop center</w:t>
            </w:r>
          </w:p>
        </w:tc>
        <w:tc>
          <w:tcPr>
            <w:tcW w:w="1296" w:type="dxa"/>
            <w:tcBorders>
              <w:top w:val="none" w:sz="0" w:space="0" w:color="auto"/>
              <w:bottom w:val="none" w:sz="0" w:space="0" w:color="auto"/>
            </w:tcBorders>
            <w:shd w:val="clear" w:color="auto" w:fill="D9D9D9" w:themeFill="background1" w:themeFillShade="D9"/>
            <w:noWrap/>
            <w:vAlign w:val="bottom"/>
          </w:tcPr>
          <w:p w:rsidR="00FA2E94" w:rsidRPr="007C2D51" w:rsidRDefault="00FA2E94" w:rsidP="00FA2E94">
            <w:pPr>
              <w:jc w:val="right"/>
              <w:cnfStyle w:val="000000100000"/>
              <w:rPr>
                <w:rFonts w:cs="Calibri"/>
                <w:color w:val="000000"/>
              </w:rPr>
            </w:pPr>
          </w:p>
        </w:tc>
        <w:tc>
          <w:tcPr>
            <w:tcW w:w="1296" w:type="dxa"/>
            <w:tcBorders>
              <w:top w:val="none" w:sz="0" w:space="0" w:color="auto"/>
              <w:bottom w:val="none" w:sz="0" w:space="0" w:color="auto"/>
            </w:tcBorders>
            <w:shd w:val="clear" w:color="auto" w:fill="D9D9D9" w:themeFill="background1" w:themeFillShade="D9"/>
            <w:noWrap/>
            <w:vAlign w:val="bottom"/>
          </w:tcPr>
          <w:p w:rsidR="00FA2E94" w:rsidRPr="007C2D51" w:rsidRDefault="00FA2E94" w:rsidP="00FA2E94">
            <w:pPr>
              <w:jc w:val="right"/>
              <w:cnfStyle w:val="000000100000"/>
              <w:rPr>
                <w:rFonts w:cs="Calibri"/>
                <w:color w:val="000000"/>
              </w:rPr>
            </w:pPr>
          </w:p>
        </w:tc>
        <w:tc>
          <w:tcPr>
            <w:tcW w:w="1296" w:type="dxa"/>
            <w:tcBorders>
              <w:top w:val="none" w:sz="0" w:space="0" w:color="auto"/>
              <w:bottom w:val="none" w:sz="0" w:space="0" w:color="auto"/>
            </w:tcBorders>
            <w:shd w:val="clear" w:color="auto" w:fill="D9D9D9" w:themeFill="background1" w:themeFillShade="D9"/>
            <w:noWrap/>
            <w:vAlign w:val="bottom"/>
          </w:tcPr>
          <w:p w:rsidR="00FA2E94" w:rsidRPr="007C2D51" w:rsidRDefault="00FA2E94" w:rsidP="00FA2E94">
            <w:pPr>
              <w:jc w:val="right"/>
              <w:cnfStyle w:val="000000100000"/>
              <w:rPr>
                <w:rFonts w:cs="Calibri"/>
                <w:color w:val="000000"/>
              </w:rPr>
            </w:pPr>
          </w:p>
        </w:tc>
        <w:tc>
          <w:tcPr>
            <w:tcW w:w="1296" w:type="dxa"/>
            <w:tcBorders>
              <w:top w:val="none" w:sz="0" w:space="0" w:color="auto"/>
              <w:bottom w:val="none" w:sz="0" w:space="0" w:color="auto"/>
            </w:tcBorders>
            <w:shd w:val="clear" w:color="auto" w:fill="D9D9D9" w:themeFill="background1" w:themeFillShade="D9"/>
            <w:noWrap/>
            <w:vAlign w:val="bottom"/>
          </w:tcPr>
          <w:p w:rsidR="00FA2E94" w:rsidRPr="007C2D51" w:rsidRDefault="00FA2E94" w:rsidP="00FA2E94">
            <w:pPr>
              <w:jc w:val="right"/>
              <w:cnfStyle w:val="000000100000"/>
              <w:rPr>
                <w:rFonts w:cs="Calibri"/>
                <w:color w:val="000000"/>
              </w:rPr>
            </w:pPr>
          </w:p>
        </w:tc>
        <w:tc>
          <w:tcPr>
            <w:tcW w:w="1296" w:type="dxa"/>
            <w:tcBorders>
              <w:top w:val="none" w:sz="0" w:space="0" w:color="auto"/>
              <w:bottom w:val="none" w:sz="0" w:space="0" w:color="auto"/>
              <w:right w:val="none" w:sz="0" w:space="0" w:color="auto"/>
            </w:tcBorders>
            <w:noWrap/>
            <w:vAlign w:val="bottom"/>
          </w:tcPr>
          <w:p w:rsidR="00FA2E94" w:rsidRPr="007C2D51" w:rsidRDefault="00FA2E94" w:rsidP="00FA2E94">
            <w:pPr>
              <w:jc w:val="right"/>
              <w:cnfStyle w:val="000000100000"/>
              <w:rPr>
                <w:rFonts w:cs="Calibri"/>
                <w:color w:val="000000"/>
              </w:rPr>
            </w:pPr>
            <w:r w:rsidRPr="007C2D51">
              <w:rPr>
                <w:rFonts w:cs="Calibri"/>
                <w:color w:val="000000"/>
              </w:rPr>
              <w:t>0%</w:t>
            </w:r>
          </w:p>
        </w:tc>
      </w:tr>
      <w:tr w:rsidR="00FA2E94" w:rsidRPr="007C2D51" w:rsidTr="00F15767">
        <w:trPr>
          <w:trHeight w:val="300"/>
        </w:trPr>
        <w:tc>
          <w:tcPr>
            <w:cnfStyle w:val="001000000000"/>
            <w:tcW w:w="2880" w:type="dxa"/>
            <w:noWrap/>
            <w:vAlign w:val="bottom"/>
          </w:tcPr>
          <w:p w:rsidR="00FA2E94" w:rsidRPr="007C2D51" w:rsidRDefault="00FA2E94" w:rsidP="00526171">
            <w:pPr>
              <w:pStyle w:val="ListParagraph"/>
              <w:numPr>
                <w:ilvl w:val="0"/>
                <w:numId w:val="23"/>
              </w:numPr>
            </w:pPr>
            <w:r w:rsidRPr="007C2D51">
              <w:t>Itinerary planning</w:t>
            </w:r>
          </w:p>
        </w:tc>
        <w:tc>
          <w:tcPr>
            <w:tcW w:w="1296" w:type="dxa"/>
            <w:shd w:val="clear" w:color="auto" w:fill="D9D9D9" w:themeFill="background1" w:themeFillShade="D9"/>
            <w:noWrap/>
            <w:vAlign w:val="bottom"/>
          </w:tcPr>
          <w:p w:rsidR="00FA2E94" w:rsidRPr="007C2D51" w:rsidRDefault="00FA2E94" w:rsidP="00FA2E94">
            <w:pPr>
              <w:jc w:val="right"/>
              <w:cnfStyle w:val="000000000000"/>
              <w:rPr>
                <w:rFonts w:cs="Calibri"/>
                <w:color w:val="000000"/>
              </w:rPr>
            </w:pPr>
          </w:p>
        </w:tc>
        <w:tc>
          <w:tcPr>
            <w:tcW w:w="1296" w:type="dxa"/>
            <w:shd w:val="clear" w:color="auto" w:fill="D9D9D9" w:themeFill="background1" w:themeFillShade="D9"/>
            <w:noWrap/>
            <w:vAlign w:val="bottom"/>
          </w:tcPr>
          <w:p w:rsidR="00FA2E94" w:rsidRPr="007C2D51" w:rsidRDefault="00FA2E94" w:rsidP="00FA2E94">
            <w:pPr>
              <w:jc w:val="right"/>
              <w:cnfStyle w:val="000000000000"/>
              <w:rPr>
                <w:rFonts w:cs="Calibri"/>
                <w:color w:val="000000"/>
              </w:rPr>
            </w:pPr>
          </w:p>
        </w:tc>
        <w:tc>
          <w:tcPr>
            <w:tcW w:w="1296" w:type="dxa"/>
            <w:shd w:val="clear" w:color="auto" w:fill="D9D9D9" w:themeFill="background1" w:themeFillShade="D9"/>
            <w:noWrap/>
            <w:vAlign w:val="bottom"/>
          </w:tcPr>
          <w:p w:rsidR="00FA2E94" w:rsidRPr="007C2D51" w:rsidRDefault="00FA2E94" w:rsidP="00FA2E94">
            <w:pPr>
              <w:jc w:val="right"/>
              <w:cnfStyle w:val="000000000000"/>
              <w:rPr>
                <w:rFonts w:cs="Calibri"/>
                <w:color w:val="000000"/>
              </w:rPr>
            </w:pPr>
          </w:p>
        </w:tc>
        <w:tc>
          <w:tcPr>
            <w:tcW w:w="1296" w:type="dxa"/>
            <w:shd w:val="clear" w:color="auto" w:fill="D9D9D9" w:themeFill="background1" w:themeFillShade="D9"/>
            <w:noWrap/>
            <w:vAlign w:val="bottom"/>
          </w:tcPr>
          <w:p w:rsidR="00FA2E94" w:rsidRPr="007C2D51" w:rsidRDefault="00FA2E94" w:rsidP="00FA2E94">
            <w:pPr>
              <w:jc w:val="right"/>
              <w:cnfStyle w:val="000000000000"/>
              <w:rPr>
                <w:rFonts w:cs="Calibri"/>
                <w:color w:val="000000"/>
              </w:rPr>
            </w:pPr>
          </w:p>
        </w:tc>
        <w:tc>
          <w:tcPr>
            <w:tcW w:w="1296" w:type="dxa"/>
            <w:noWrap/>
            <w:vAlign w:val="bottom"/>
          </w:tcPr>
          <w:p w:rsidR="00FA2E94" w:rsidRPr="007C2D51" w:rsidRDefault="00FA2E94" w:rsidP="00FA2E94">
            <w:pPr>
              <w:jc w:val="right"/>
              <w:cnfStyle w:val="000000000000"/>
              <w:rPr>
                <w:rFonts w:cs="Calibri"/>
                <w:color w:val="000000"/>
              </w:rPr>
            </w:pPr>
            <w:r w:rsidRPr="007C2D51">
              <w:rPr>
                <w:rFonts w:cs="Calibri"/>
                <w:color w:val="000000"/>
              </w:rPr>
              <w:t>100%</w:t>
            </w:r>
          </w:p>
        </w:tc>
      </w:tr>
      <w:tr w:rsidR="00FA2E94" w:rsidRPr="007C2D51" w:rsidTr="00F15767">
        <w:trPr>
          <w:cnfStyle w:val="000000100000"/>
          <w:trHeight w:val="300"/>
        </w:trPr>
        <w:tc>
          <w:tcPr>
            <w:cnfStyle w:val="001000000000"/>
            <w:tcW w:w="2880" w:type="dxa"/>
            <w:tcBorders>
              <w:top w:val="none" w:sz="0" w:space="0" w:color="auto"/>
              <w:left w:val="none" w:sz="0" w:space="0" w:color="auto"/>
              <w:bottom w:val="none" w:sz="0" w:space="0" w:color="auto"/>
            </w:tcBorders>
            <w:noWrap/>
            <w:vAlign w:val="bottom"/>
          </w:tcPr>
          <w:p w:rsidR="00FA2E94" w:rsidRPr="007C2D51" w:rsidRDefault="00FA2E94" w:rsidP="00526171">
            <w:pPr>
              <w:pStyle w:val="ListParagraph"/>
              <w:numPr>
                <w:ilvl w:val="0"/>
                <w:numId w:val="23"/>
              </w:numPr>
            </w:pPr>
            <w:r w:rsidRPr="007C2D51">
              <w:t>One-on-one transit training</w:t>
            </w:r>
          </w:p>
        </w:tc>
        <w:tc>
          <w:tcPr>
            <w:tcW w:w="1296" w:type="dxa"/>
            <w:tcBorders>
              <w:top w:val="none" w:sz="0" w:space="0" w:color="auto"/>
              <w:bottom w:val="none" w:sz="0" w:space="0" w:color="auto"/>
            </w:tcBorders>
            <w:shd w:val="clear" w:color="auto" w:fill="D9D9D9" w:themeFill="background1" w:themeFillShade="D9"/>
            <w:noWrap/>
            <w:vAlign w:val="bottom"/>
          </w:tcPr>
          <w:p w:rsidR="00FA2E94" w:rsidRPr="007C2D51" w:rsidRDefault="00FA2E94" w:rsidP="00FA2E94">
            <w:pPr>
              <w:jc w:val="right"/>
              <w:cnfStyle w:val="000000100000"/>
              <w:rPr>
                <w:rFonts w:cs="Calibri"/>
                <w:color w:val="000000"/>
              </w:rPr>
            </w:pPr>
          </w:p>
        </w:tc>
        <w:tc>
          <w:tcPr>
            <w:tcW w:w="1296" w:type="dxa"/>
            <w:tcBorders>
              <w:top w:val="none" w:sz="0" w:space="0" w:color="auto"/>
              <w:bottom w:val="none" w:sz="0" w:space="0" w:color="auto"/>
            </w:tcBorders>
            <w:shd w:val="clear" w:color="auto" w:fill="D9D9D9" w:themeFill="background1" w:themeFillShade="D9"/>
            <w:noWrap/>
            <w:vAlign w:val="bottom"/>
          </w:tcPr>
          <w:p w:rsidR="00FA2E94" w:rsidRPr="007C2D51" w:rsidRDefault="00FA2E94" w:rsidP="00FA2E94">
            <w:pPr>
              <w:jc w:val="right"/>
              <w:cnfStyle w:val="000000100000"/>
              <w:rPr>
                <w:rFonts w:cs="Calibri"/>
                <w:color w:val="000000"/>
              </w:rPr>
            </w:pPr>
          </w:p>
        </w:tc>
        <w:tc>
          <w:tcPr>
            <w:tcW w:w="1296" w:type="dxa"/>
            <w:tcBorders>
              <w:top w:val="none" w:sz="0" w:space="0" w:color="auto"/>
              <w:bottom w:val="none" w:sz="0" w:space="0" w:color="auto"/>
            </w:tcBorders>
            <w:shd w:val="clear" w:color="auto" w:fill="D9D9D9" w:themeFill="background1" w:themeFillShade="D9"/>
            <w:noWrap/>
            <w:vAlign w:val="bottom"/>
          </w:tcPr>
          <w:p w:rsidR="00FA2E94" w:rsidRPr="007C2D51" w:rsidRDefault="00FA2E94" w:rsidP="00FA2E94">
            <w:pPr>
              <w:jc w:val="right"/>
              <w:cnfStyle w:val="000000100000"/>
              <w:rPr>
                <w:rFonts w:cs="Calibri"/>
                <w:color w:val="000000"/>
              </w:rPr>
            </w:pPr>
          </w:p>
        </w:tc>
        <w:tc>
          <w:tcPr>
            <w:tcW w:w="1296" w:type="dxa"/>
            <w:tcBorders>
              <w:top w:val="none" w:sz="0" w:space="0" w:color="auto"/>
              <w:bottom w:val="none" w:sz="0" w:space="0" w:color="auto"/>
            </w:tcBorders>
            <w:shd w:val="clear" w:color="auto" w:fill="D9D9D9" w:themeFill="background1" w:themeFillShade="D9"/>
            <w:noWrap/>
            <w:vAlign w:val="bottom"/>
          </w:tcPr>
          <w:p w:rsidR="00FA2E94" w:rsidRPr="007C2D51" w:rsidRDefault="00FA2E94" w:rsidP="00FA2E94">
            <w:pPr>
              <w:jc w:val="right"/>
              <w:cnfStyle w:val="000000100000"/>
              <w:rPr>
                <w:rFonts w:cs="Calibri"/>
                <w:color w:val="000000"/>
              </w:rPr>
            </w:pPr>
          </w:p>
        </w:tc>
        <w:tc>
          <w:tcPr>
            <w:tcW w:w="1296" w:type="dxa"/>
            <w:tcBorders>
              <w:top w:val="none" w:sz="0" w:space="0" w:color="auto"/>
              <w:bottom w:val="none" w:sz="0" w:space="0" w:color="auto"/>
              <w:right w:val="none" w:sz="0" w:space="0" w:color="auto"/>
            </w:tcBorders>
            <w:noWrap/>
            <w:vAlign w:val="bottom"/>
          </w:tcPr>
          <w:p w:rsidR="00FA2E94" w:rsidRPr="007C2D51" w:rsidRDefault="00FA2E94" w:rsidP="00FA2E94">
            <w:pPr>
              <w:jc w:val="right"/>
              <w:cnfStyle w:val="000000100000"/>
              <w:rPr>
                <w:rFonts w:cs="Calibri"/>
                <w:color w:val="000000"/>
              </w:rPr>
            </w:pPr>
            <w:r w:rsidRPr="007C2D51">
              <w:rPr>
                <w:rFonts w:cs="Calibri"/>
                <w:color w:val="000000"/>
              </w:rPr>
              <w:t>100%</w:t>
            </w:r>
          </w:p>
        </w:tc>
      </w:tr>
      <w:tr w:rsidR="00FA2E94" w:rsidRPr="007C2D51" w:rsidTr="00F15767">
        <w:trPr>
          <w:trHeight w:val="300"/>
        </w:trPr>
        <w:tc>
          <w:tcPr>
            <w:cnfStyle w:val="001000000000"/>
            <w:tcW w:w="2880" w:type="dxa"/>
            <w:noWrap/>
            <w:vAlign w:val="bottom"/>
          </w:tcPr>
          <w:p w:rsidR="00FA2E94" w:rsidRPr="007C2D51" w:rsidRDefault="00FA2E94" w:rsidP="00526171">
            <w:pPr>
              <w:pStyle w:val="ListParagraph"/>
              <w:numPr>
                <w:ilvl w:val="0"/>
                <w:numId w:val="23"/>
              </w:numPr>
            </w:pPr>
            <w:r w:rsidRPr="007C2D51">
              <w:t>Internet-based info</w:t>
            </w:r>
          </w:p>
        </w:tc>
        <w:tc>
          <w:tcPr>
            <w:tcW w:w="1296" w:type="dxa"/>
            <w:shd w:val="clear" w:color="auto" w:fill="D9D9D9" w:themeFill="background1" w:themeFillShade="D9"/>
            <w:noWrap/>
            <w:vAlign w:val="bottom"/>
          </w:tcPr>
          <w:p w:rsidR="00FA2E94" w:rsidRPr="007C2D51" w:rsidRDefault="00FA2E94" w:rsidP="00FA2E94">
            <w:pPr>
              <w:jc w:val="right"/>
              <w:cnfStyle w:val="000000000000"/>
              <w:rPr>
                <w:rFonts w:cs="Calibri"/>
                <w:color w:val="000000"/>
              </w:rPr>
            </w:pPr>
          </w:p>
        </w:tc>
        <w:tc>
          <w:tcPr>
            <w:tcW w:w="1296" w:type="dxa"/>
            <w:shd w:val="clear" w:color="auto" w:fill="D9D9D9" w:themeFill="background1" w:themeFillShade="D9"/>
            <w:noWrap/>
            <w:vAlign w:val="bottom"/>
          </w:tcPr>
          <w:p w:rsidR="00FA2E94" w:rsidRPr="007C2D51" w:rsidRDefault="00FA2E94" w:rsidP="00FA2E94">
            <w:pPr>
              <w:jc w:val="right"/>
              <w:cnfStyle w:val="000000000000"/>
              <w:rPr>
                <w:rFonts w:cs="Calibri"/>
                <w:color w:val="000000"/>
              </w:rPr>
            </w:pPr>
          </w:p>
        </w:tc>
        <w:tc>
          <w:tcPr>
            <w:tcW w:w="1296" w:type="dxa"/>
            <w:shd w:val="clear" w:color="auto" w:fill="D9D9D9" w:themeFill="background1" w:themeFillShade="D9"/>
            <w:noWrap/>
            <w:vAlign w:val="bottom"/>
          </w:tcPr>
          <w:p w:rsidR="00FA2E94" w:rsidRPr="007C2D51" w:rsidRDefault="00FA2E94" w:rsidP="00FA2E94">
            <w:pPr>
              <w:jc w:val="right"/>
              <w:cnfStyle w:val="000000000000"/>
              <w:rPr>
                <w:rFonts w:cs="Calibri"/>
                <w:color w:val="000000"/>
              </w:rPr>
            </w:pPr>
          </w:p>
        </w:tc>
        <w:tc>
          <w:tcPr>
            <w:tcW w:w="1296" w:type="dxa"/>
            <w:shd w:val="clear" w:color="auto" w:fill="D9D9D9" w:themeFill="background1" w:themeFillShade="D9"/>
            <w:noWrap/>
            <w:vAlign w:val="bottom"/>
          </w:tcPr>
          <w:p w:rsidR="00FA2E94" w:rsidRPr="007C2D51" w:rsidRDefault="00FA2E94" w:rsidP="00FA2E94">
            <w:pPr>
              <w:jc w:val="right"/>
              <w:cnfStyle w:val="000000000000"/>
              <w:rPr>
                <w:rFonts w:cs="Calibri"/>
                <w:color w:val="000000"/>
              </w:rPr>
            </w:pPr>
          </w:p>
        </w:tc>
        <w:tc>
          <w:tcPr>
            <w:tcW w:w="1296" w:type="dxa"/>
            <w:noWrap/>
            <w:vAlign w:val="bottom"/>
          </w:tcPr>
          <w:p w:rsidR="00FA2E94" w:rsidRPr="007C2D51" w:rsidRDefault="00FA2E94" w:rsidP="00FA2E94">
            <w:pPr>
              <w:jc w:val="right"/>
              <w:cnfStyle w:val="000000000000"/>
              <w:rPr>
                <w:rFonts w:cs="Calibri"/>
                <w:color w:val="000000"/>
              </w:rPr>
            </w:pPr>
            <w:r w:rsidRPr="007C2D51">
              <w:rPr>
                <w:rFonts w:cs="Calibri"/>
                <w:color w:val="000000"/>
              </w:rPr>
              <w:t>100%</w:t>
            </w:r>
          </w:p>
        </w:tc>
      </w:tr>
      <w:tr w:rsidR="00FA2E94" w:rsidRPr="007C2D51" w:rsidTr="00F15767">
        <w:trPr>
          <w:cnfStyle w:val="000000100000"/>
          <w:trHeight w:val="300"/>
        </w:trPr>
        <w:tc>
          <w:tcPr>
            <w:cnfStyle w:val="001000000000"/>
            <w:tcW w:w="2880" w:type="dxa"/>
            <w:tcBorders>
              <w:top w:val="none" w:sz="0" w:space="0" w:color="auto"/>
              <w:left w:val="none" w:sz="0" w:space="0" w:color="auto"/>
              <w:bottom w:val="none" w:sz="0" w:space="0" w:color="auto"/>
            </w:tcBorders>
            <w:noWrap/>
            <w:vAlign w:val="bottom"/>
          </w:tcPr>
          <w:p w:rsidR="00FA2E94" w:rsidRPr="007C2D51" w:rsidRDefault="00FA2E94" w:rsidP="00526171">
            <w:pPr>
              <w:pStyle w:val="ListParagraph"/>
              <w:numPr>
                <w:ilvl w:val="0"/>
                <w:numId w:val="23"/>
              </w:numPr>
            </w:pPr>
            <w:r w:rsidRPr="007C2D51">
              <w:t>Materials and marketing</w:t>
            </w:r>
          </w:p>
        </w:tc>
        <w:tc>
          <w:tcPr>
            <w:tcW w:w="1296" w:type="dxa"/>
            <w:tcBorders>
              <w:top w:val="none" w:sz="0" w:space="0" w:color="auto"/>
              <w:bottom w:val="none" w:sz="0" w:space="0" w:color="auto"/>
            </w:tcBorders>
            <w:shd w:val="clear" w:color="auto" w:fill="D9D9D9" w:themeFill="background1" w:themeFillShade="D9"/>
            <w:noWrap/>
            <w:vAlign w:val="bottom"/>
          </w:tcPr>
          <w:p w:rsidR="00FA2E94" w:rsidRPr="007C2D51" w:rsidRDefault="00FA2E94" w:rsidP="00FA2E94">
            <w:pPr>
              <w:jc w:val="right"/>
              <w:cnfStyle w:val="000000100000"/>
              <w:rPr>
                <w:rFonts w:cs="Calibri"/>
                <w:color w:val="000000"/>
              </w:rPr>
            </w:pPr>
          </w:p>
        </w:tc>
        <w:tc>
          <w:tcPr>
            <w:tcW w:w="1296" w:type="dxa"/>
            <w:tcBorders>
              <w:top w:val="none" w:sz="0" w:space="0" w:color="auto"/>
              <w:bottom w:val="none" w:sz="0" w:space="0" w:color="auto"/>
            </w:tcBorders>
            <w:shd w:val="clear" w:color="auto" w:fill="D9D9D9" w:themeFill="background1" w:themeFillShade="D9"/>
            <w:noWrap/>
            <w:vAlign w:val="bottom"/>
          </w:tcPr>
          <w:p w:rsidR="00FA2E94" w:rsidRPr="007C2D51" w:rsidRDefault="00FA2E94" w:rsidP="00FA2E94">
            <w:pPr>
              <w:jc w:val="right"/>
              <w:cnfStyle w:val="000000100000"/>
              <w:rPr>
                <w:rFonts w:cs="Calibri"/>
                <w:color w:val="000000"/>
              </w:rPr>
            </w:pPr>
          </w:p>
        </w:tc>
        <w:tc>
          <w:tcPr>
            <w:tcW w:w="1296" w:type="dxa"/>
            <w:tcBorders>
              <w:top w:val="none" w:sz="0" w:space="0" w:color="auto"/>
              <w:bottom w:val="none" w:sz="0" w:space="0" w:color="auto"/>
            </w:tcBorders>
            <w:shd w:val="clear" w:color="auto" w:fill="D9D9D9" w:themeFill="background1" w:themeFillShade="D9"/>
            <w:noWrap/>
            <w:vAlign w:val="bottom"/>
          </w:tcPr>
          <w:p w:rsidR="00FA2E94" w:rsidRPr="007C2D51" w:rsidRDefault="00FA2E94" w:rsidP="00FA2E94">
            <w:pPr>
              <w:jc w:val="right"/>
              <w:cnfStyle w:val="000000100000"/>
              <w:rPr>
                <w:rFonts w:cs="Calibri"/>
                <w:color w:val="000000"/>
              </w:rPr>
            </w:pPr>
          </w:p>
        </w:tc>
        <w:tc>
          <w:tcPr>
            <w:tcW w:w="1296" w:type="dxa"/>
            <w:tcBorders>
              <w:top w:val="none" w:sz="0" w:space="0" w:color="auto"/>
              <w:bottom w:val="none" w:sz="0" w:space="0" w:color="auto"/>
            </w:tcBorders>
            <w:shd w:val="clear" w:color="auto" w:fill="D9D9D9" w:themeFill="background1" w:themeFillShade="D9"/>
            <w:noWrap/>
            <w:vAlign w:val="bottom"/>
          </w:tcPr>
          <w:p w:rsidR="00FA2E94" w:rsidRPr="007C2D51" w:rsidRDefault="00FA2E94" w:rsidP="00FA2E94">
            <w:pPr>
              <w:jc w:val="right"/>
              <w:cnfStyle w:val="000000100000"/>
              <w:rPr>
                <w:rFonts w:cs="Calibri"/>
                <w:color w:val="000000"/>
              </w:rPr>
            </w:pPr>
          </w:p>
        </w:tc>
        <w:tc>
          <w:tcPr>
            <w:tcW w:w="1296" w:type="dxa"/>
            <w:tcBorders>
              <w:top w:val="none" w:sz="0" w:space="0" w:color="auto"/>
              <w:bottom w:val="none" w:sz="0" w:space="0" w:color="auto"/>
              <w:right w:val="none" w:sz="0" w:space="0" w:color="auto"/>
            </w:tcBorders>
            <w:noWrap/>
            <w:vAlign w:val="bottom"/>
          </w:tcPr>
          <w:p w:rsidR="00FA2E94" w:rsidRPr="007C2D51" w:rsidRDefault="00FA2E94" w:rsidP="00FA2E94">
            <w:pPr>
              <w:jc w:val="right"/>
              <w:cnfStyle w:val="000000100000"/>
              <w:rPr>
                <w:rFonts w:cs="Calibri"/>
                <w:color w:val="000000"/>
              </w:rPr>
            </w:pPr>
            <w:r w:rsidRPr="007C2D51">
              <w:rPr>
                <w:rFonts w:cs="Calibri"/>
                <w:color w:val="000000"/>
              </w:rPr>
              <w:t>100%</w:t>
            </w:r>
          </w:p>
        </w:tc>
      </w:tr>
      <w:tr w:rsidR="00FA2E94" w:rsidRPr="007C2D51" w:rsidTr="00F15767">
        <w:trPr>
          <w:trHeight w:val="300"/>
        </w:trPr>
        <w:tc>
          <w:tcPr>
            <w:cnfStyle w:val="001000000000"/>
            <w:tcW w:w="2880" w:type="dxa"/>
            <w:noWrap/>
            <w:vAlign w:val="bottom"/>
          </w:tcPr>
          <w:p w:rsidR="00FA2E94" w:rsidRPr="007C2D51" w:rsidRDefault="00FA2E94" w:rsidP="00526171">
            <w:pPr>
              <w:pStyle w:val="ListParagraph"/>
              <w:numPr>
                <w:ilvl w:val="0"/>
                <w:numId w:val="23"/>
              </w:numPr>
            </w:pPr>
            <w:r w:rsidRPr="007C2D51">
              <w:t>Transportation resource training</w:t>
            </w:r>
          </w:p>
        </w:tc>
        <w:tc>
          <w:tcPr>
            <w:tcW w:w="1296" w:type="dxa"/>
            <w:shd w:val="clear" w:color="auto" w:fill="D9D9D9" w:themeFill="background1" w:themeFillShade="D9"/>
            <w:noWrap/>
            <w:vAlign w:val="bottom"/>
          </w:tcPr>
          <w:p w:rsidR="00FA2E94" w:rsidRPr="007C2D51" w:rsidRDefault="00FA2E94" w:rsidP="00FA2E94">
            <w:pPr>
              <w:jc w:val="right"/>
              <w:cnfStyle w:val="000000000000"/>
              <w:rPr>
                <w:rFonts w:cs="Calibri"/>
                <w:color w:val="000000"/>
              </w:rPr>
            </w:pPr>
          </w:p>
        </w:tc>
        <w:tc>
          <w:tcPr>
            <w:tcW w:w="1296" w:type="dxa"/>
            <w:shd w:val="clear" w:color="auto" w:fill="D9D9D9" w:themeFill="background1" w:themeFillShade="D9"/>
            <w:noWrap/>
            <w:vAlign w:val="bottom"/>
          </w:tcPr>
          <w:p w:rsidR="00FA2E94" w:rsidRPr="007C2D51" w:rsidRDefault="00FA2E94" w:rsidP="00FA2E94">
            <w:pPr>
              <w:jc w:val="right"/>
              <w:cnfStyle w:val="000000000000"/>
              <w:rPr>
                <w:rFonts w:cs="Calibri"/>
                <w:color w:val="000000"/>
              </w:rPr>
            </w:pPr>
          </w:p>
        </w:tc>
        <w:tc>
          <w:tcPr>
            <w:tcW w:w="1296" w:type="dxa"/>
            <w:shd w:val="clear" w:color="auto" w:fill="D9D9D9" w:themeFill="background1" w:themeFillShade="D9"/>
            <w:noWrap/>
            <w:vAlign w:val="bottom"/>
          </w:tcPr>
          <w:p w:rsidR="00FA2E94" w:rsidRPr="007C2D51" w:rsidRDefault="00FA2E94" w:rsidP="00FA2E94">
            <w:pPr>
              <w:jc w:val="right"/>
              <w:cnfStyle w:val="000000000000"/>
              <w:rPr>
                <w:rFonts w:cs="Calibri"/>
                <w:color w:val="000000"/>
              </w:rPr>
            </w:pPr>
          </w:p>
        </w:tc>
        <w:tc>
          <w:tcPr>
            <w:tcW w:w="1296" w:type="dxa"/>
            <w:shd w:val="clear" w:color="auto" w:fill="D9D9D9" w:themeFill="background1" w:themeFillShade="D9"/>
            <w:noWrap/>
            <w:vAlign w:val="bottom"/>
          </w:tcPr>
          <w:p w:rsidR="00FA2E94" w:rsidRPr="007C2D51" w:rsidRDefault="00FA2E94" w:rsidP="00FA2E94">
            <w:pPr>
              <w:jc w:val="right"/>
              <w:cnfStyle w:val="000000000000"/>
              <w:rPr>
                <w:rFonts w:cs="Calibri"/>
                <w:color w:val="000000"/>
              </w:rPr>
            </w:pPr>
          </w:p>
        </w:tc>
        <w:tc>
          <w:tcPr>
            <w:tcW w:w="1296" w:type="dxa"/>
            <w:noWrap/>
            <w:vAlign w:val="bottom"/>
          </w:tcPr>
          <w:p w:rsidR="00FA2E94" w:rsidRPr="007C2D51" w:rsidRDefault="00FA2E94" w:rsidP="00FA2E94">
            <w:pPr>
              <w:jc w:val="right"/>
              <w:cnfStyle w:val="000000000000"/>
              <w:rPr>
                <w:rFonts w:cs="Calibri"/>
                <w:color w:val="000000"/>
              </w:rPr>
            </w:pPr>
            <w:r w:rsidRPr="007C2D51">
              <w:rPr>
                <w:rFonts w:cs="Calibri"/>
                <w:color w:val="000000"/>
              </w:rPr>
              <w:t>100%</w:t>
            </w:r>
          </w:p>
        </w:tc>
      </w:tr>
      <w:tr w:rsidR="00FA2E94" w:rsidRPr="007C2D51" w:rsidTr="00F15767">
        <w:trPr>
          <w:cnfStyle w:val="000000100000"/>
          <w:trHeight w:val="300"/>
        </w:trPr>
        <w:tc>
          <w:tcPr>
            <w:cnfStyle w:val="001000000000"/>
            <w:tcW w:w="2880" w:type="dxa"/>
            <w:tcBorders>
              <w:top w:val="none" w:sz="0" w:space="0" w:color="auto"/>
              <w:left w:val="none" w:sz="0" w:space="0" w:color="auto"/>
              <w:bottom w:val="none" w:sz="0" w:space="0" w:color="auto"/>
            </w:tcBorders>
            <w:shd w:val="clear" w:color="auto" w:fill="475A8D" w:themeFill="accent6"/>
            <w:noWrap/>
            <w:vAlign w:val="bottom"/>
          </w:tcPr>
          <w:p w:rsidR="00FA2E94" w:rsidRPr="007C2D51" w:rsidRDefault="00FA2E94" w:rsidP="00FA2E94">
            <w:pPr>
              <w:rPr>
                <w:color w:val="FFFFFF" w:themeColor="background1"/>
              </w:rPr>
            </w:pPr>
            <w:r w:rsidRPr="007C2D51">
              <w:rPr>
                <w:color w:val="FFFFFF" w:themeColor="background1"/>
              </w:rPr>
              <w:t>III.  Capital Investment</w:t>
            </w:r>
          </w:p>
        </w:tc>
        <w:tc>
          <w:tcPr>
            <w:tcW w:w="1296" w:type="dxa"/>
            <w:tcBorders>
              <w:top w:val="none" w:sz="0" w:space="0" w:color="auto"/>
              <w:bottom w:val="none" w:sz="0" w:space="0" w:color="auto"/>
            </w:tcBorders>
            <w:shd w:val="clear" w:color="auto" w:fill="475A8D" w:themeFill="accent6"/>
            <w:noWrap/>
            <w:vAlign w:val="bottom"/>
          </w:tcPr>
          <w:p w:rsidR="00FA2E94" w:rsidRPr="007C2D51" w:rsidRDefault="00FA2E94" w:rsidP="00FA2E94">
            <w:pPr>
              <w:jc w:val="right"/>
              <w:cnfStyle w:val="000000100000"/>
              <w:rPr>
                <w:rFonts w:cs="Calibri"/>
                <w:b/>
                <w:bCs/>
                <w:color w:val="FFFFFF" w:themeColor="background1"/>
              </w:rPr>
            </w:pPr>
            <w:r w:rsidRPr="007C2D51">
              <w:rPr>
                <w:rFonts w:cs="Calibri"/>
                <w:b/>
                <w:bCs/>
                <w:color w:val="FFFFFF" w:themeColor="background1"/>
              </w:rPr>
              <w:t>14%</w:t>
            </w:r>
          </w:p>
        </w:tc>
        <w:tc>
          <w:tcPr>
            <w:tcW w:w="1296" w:type="dxa"/>
            <w:tcBorders>
              <w:top w:val="none" w:sz="0" w:space="0" w:color="auto"/>
              <w:bottom w:val="none" w:sz="0" w:space="0" w:color="auto"/>
            </w:tcBorders>
            <w:shd w:val="clear" w:color="auto" w:fill="475A8D" w:themeFill="accent6"/>
            <w:noWrap/>
            <w:vAlign w:val="bottom"/>
          </w:tcPr>
          <w:p w:rsidR="00FA2E94" w:rsidRPr="007C2D51" w:rsidRDefault="00FA2E94" w:rsidP="00FA2E94">
            <w:pPr>
              <w:jc w:val="right"/>
              <w:cnfStyle w:val="000000100000"/>
              <w:rPr>
                <w:rFonts w:cs="Calibri"/>
                <w:b/>
                <w:bCs/>
                <w:color w:val="FFFFFF" w:themeColor="background1"/>
              </w:rPr>
            </w:pPr>
            <w:r w:rsidRPr="007C2D51">
              <w:rPr>
                <w:rFonts w:cs="Calibri"/>
                <w:b/>
                <w:bCs/>
                <w:color w:val="FFFFFF" w:themeColor="background1"/>
              </w:rPr>
              <w:t>7%</w:t>
            </w:r>
          </w:p>
        </w:tc>
        <w:tc>
          <w:tcPr>
            <w:tcW w:w="1296" w:type="dxa"/>
            <w:tcBorders>
              <w:top w:val="none" w:sz="0" w:space="0" w:color="auto"/>
              <w:bottom w:val="none" w:sz="0" w:space="0" w:color="auto"/>
            </w:tcBorders>
            <w:shd w:val="clear" w:color="auto" w:fill="475A8D" w:themeFill="accent6"/>
            <w:noWrap/>
            <w:vAlign w:val="bottom"/>
          </w:tcPr>
          <w:p w:rsidR="00FA2E94" w:rsidRPr="007C2D51" w:rsidRDefault="00FA2E94" w:rsidP="00FA2E94">
            <w:pPr>
              <w:jc w:val="right"/>
              <w:cnfStyle w:val="000000100000"/>
              <w:rPr>
                <w:rFonts w:cs="Calibri"/>
                <w:b/>
                <w:bCs/>
                <w:color w:val="FFFFFF" w:themeColor="background1"/>
              </w:rPr>
            </w:pPr>
            <w:r w:rsidRPr="007C2D51">
              <w:rPr>
                <w:rFonts w:cs="Calibri"/>
                <w:b/>
                <w:bCs/>
                <w:color w:val="FFFFFF" w:themeColor="background1"/>
              </w:rPr>
              <w:t>28%</w:t>
            </w:r>
          </w:p>
        </w:tc>
        <w:tc>
          <w:tcPr>
            <w:tcW w:w="1296" w:type="dxa"/>
            <w:tcBorders>
              <w:top w:val="none" w:sz="0" w:space="0" w:color="auto"/>
              <w:bottom w:val="none" w:sz="0" w:space="0" w:color="auto"/>
            </w:tcBorders>
            <w:shd w:val="clear" w:color="auto" w:fill="475A8D" w:themeFill="accent6"/>
            <w:noWrap/>
            <w:vAlign w:val="bottom"/>
          </w:tcPr>
          <w:p w:rsidR="00FA2E94" w:rsidRPr="007C2D51" w:rsidRDefault="00FA2E94" w:rsidP="00FA2E94">
            <w:pPr>
              <w:jc w:val="right"/>
              <w:cnfStyle w:val="000000100000"/>
              <w:rPr>
                <w:rFonts w:cs="Calibri"/>
                <w:b/>
                <w:bCs/>
                <w:color w:val="FFFFFF" w:themeColor="background1"/>
              </w:rPr>
            </w:pPr>
            <w:r w:rsidRPr="007C2D51">
              <w:rPr>
                <w:rFonts w:cs="Calibri"/>
                <w:b/>
                <w:bCs/>
                <w:color w:val="FFFFFF" w:themeColor="background1"/>
              </w:rPr>
              <w:t>51%</w:t>
            </w:r>
          </w:p>
        </w:tc>
        <w:tc>
          <w:tcPr>
            <w:tcW w:w="1296" w:type="dxa"/>
            <w:tcBorders>
              <w:top w:val="none" w:sz="0" w:space="0" w:color="auto"/>
              <w:bottom w:val="none" w:sz="0" w:space="0" w:color="auto"/>
              <w:right w:val="none" w:sz="0" w:space="0" w:color="auto"/>
            </w:tcBorders>
            <w:shd w:val="clear" w:color="auto" w:fill="475A8D" w:themeFill="accent6"/>
            <w:noWrap/>
            <w:vAlign w:val="bottom"/>
          </w:tcPr>
          <w:p w:rsidR="00FA2E94" w:rsidRPr="007C2D51" w:rsidRDefault="00FA2E94" w:rsidP="00FA2E94">
            <w:pPr>
              <w:jc w:val="right"/>
              <w:cnfStyle w:val="000000100000"/>
              <w:rPr>
                <w:rFonts w:cs="Calibri"/>
                <w:b/>
                <w:bCs/>
                <w:color w:val="FFFFFF" w:themeColor="background1"/>
              </w:rPr>
            </w:pPr>
            <w:r w:rsidRPr="007C2D51">
              <w:rPr>
                <w:rFonts w:cs="Calibri"/>
                <w:b/>
                <w:bCs/>
                <w:color w:val="FFFFFF" w:themeColor="background1"/>
              </w:rPr>
              <w:t>0%</w:t>
            </w:r>
          </w:p>
        </w:tc>
      </w:tr>
      <w:tr w:rsidR="00FA2E94" w:rsidRPr="007C2D51" w:rsidTr="00F15767">
        <w:trPr>
          <w:trHeight w:val="300"/>
        </w:trPr>
        <w:tc>
          <w:tcPr>
            <w:cnfStyle w:val="001000000000"/>
            <w:tcW w:w="2880" w:type="dxa"/>
            <w:noWrap/>
            <w:vAlign w:val="bottom"/>
          </w:tcPr>
          <w:p w:rsidR="00FA2E94" w:rsidRPr="007C2D51" w:rsidRDefault="00FA2E94" w:rsidP="00526171">
            <w:pPr>
              <w:pStyle w:val="ListParagraph"/>
              <w:numPr>
                <w:ilvl w:val="0"/>
                <w:numId w:val="24"/>
              </w:numPr>
            </w:pPr>
            <w:r w:rsidRPr="007C2D51">
              <w:t>Vehicle for individual</w:t>
            </w:r>
          </w:p>
        </w:tc>
        <w:tc>
          <w:tcPr>
            <w:tcW w:w="1296" w:type="dxa"/>
            <w:shd w:val="clear" w:color="auto" w:fill="D9D9D9" w:themeFill="background1" w:themeFillShade="D9"/>
            <w:noWrap/>
            <w:vAlign w:val="bottom"/>
          </w:tcPr>
          <w:p w:rsidR="00FA2E94" w:rsidRPr="007C2D51" w:rsidRDefault="00FA2E94" w:rsidP="00FA2E94">
            <w:pPr>
              <w:jc w:val="right"/>
              <w:cnfStyle w:val="000000000000"/>
              <w:rPr>
                <w:rFonts w:cs="Calibri"/>
                <w:color w:val="000000"/>
              </w:rPr>
            </w:pPr>
          </w:p>
        </w:tc>
        <w:tc>
          <w:tcPr>
            <w:tcW w:w="1296" w:type="dxa"/>
            <w:shd w:val="clear" w:color="auto" w:fill="D9D9D9" w:themeFill="background1" w:themeFillShade="D9"/>
            <w:noWrap/>
            <w:vAlign w:val="bottom"/>
          </w:tcPr>
          <w:p w:rsidR="00FA2E94" w:rsidRPr="007C2D51" w:rsidRDefault="00FA2E94" w:rsidP="00FA2E94">
            <w:pPr>
              <w:jc w:val="right"/>
              <w:cnfStyle w:val="000000000000"/>
              <w:rPr>
                <w:rFonts w:cs="Calibri"/>
                <w:color w:val="000000"/>
              </w:rPr>
            </w:pPr>
          </w:p>
        </w:tc>
        <w:tc>
          <w:tcPr>
            <w:tcW w:w="1296" w:type="dxa"/>
            <w:shd w:val="clear" w:color="auto" w:fill="D9D9D9" w:themeFill="background1" w:themeFillShade="D9"/>
            <w:noWrap/>
            <w:vAlign w:val="bottom"/>
          </w:tcPr>
          <w:p w:rsidR="00FA2E94" w:rsidRPr="007C2D51" w:rsidRDefault="00FA2E94" w:rsidP="00FA2E94">
            <w:pPr>
              <w:jc w:val="right"/>
              <w:cnfStyle w:val="000000000000"/>
              <w:rPr>
                <w:rFonts w:cs="Calibri"/>
                <w:color w:val="000000"/>
              </w:rPr>
            </w:pPr>
          </w:p>
        </w:tc>
        <w:tc>
          <w:tcPr>
            <w:tcW w:w="1296" w:type="dxa"/>
            <w:shd w:val="clear" w:color="auto" w:fill="auto"/>
            <w:noWrap/>
            <w:vAlign w:val="bottom"/>
          </w:tcPr>
          <w:p w:rsidR="00FA2E94" w:rsidRPr="007C2D51" w:rsidRDefault="00FA2E94" w:rsidP="00FA2E94">
            <w:pPr>
              <w:jc w:val="right"/>
              <w:cnfStyle w:val="000000000000"/>
              <w:rPr>
                <w:rFonts w:cs="Calibri"/>
                <w:color w:val="000000"/>
              </w:rPr>
            </w:pPr>
            <w:r w:rsidRPr="007C2D51">
              <w:rPr>
                <w:rFonts w:cs="Calibri"/>
                <w:color w:val="000000"/>
              </w:rPr>
              <w:t>100%</w:t>
            </w:r>
          </w:p>
        </w:tc>
        <w:tc>
          <w:tcPr>
            <w:tcW w:w="1296" w:type="dxa"/>
            <w:shd w:val="clear" w:color="auto" w:fill="D9D9D9" w:themeFill="background1" w:themeFillShade="D9"/>
            <w:noWrap/>
            <w:vAlign w:val="bottom"/>
          </w:tcPr>
          <w:p w:rsidR="00FA2E94" w:rsidRPr="007C2D51" w:rsidRDefault="00FA2E94" w:rsidP="00FA2E94">
            <w:pPr>
              <w:jc w:val="right"/>
              <w:cnfStyle w:val="000000000000"/>
              <w:rPr>
                <w:rFonts w:cs="Calibri"/>
                <w:color w:val="000000"/>
              </w:rPr>
            </w:pPr>
          </w:p>
        </w:tc>
      </w:tr>
      <w:tr w:rsidR="00FA2E94" w:rsidRPr="007C2D51" w:rsidTr="00F15767">
        <w:trPr>
          <w:cnfStyle w:val="000000100000"/>
          <w:trHeight w:val="300"/>
        </w:trPr>
        <w:tc>
          <w:tcPr>
            <w:cnfStyle w:val="001000000000"/>
            <w:tcW w:w="2880" w:type="dxa"/>
            <w:tcBorders>
              <w:top w:val="none" w:sz="0" w:space="0" w:color="auto"/>
              <w:left w:val="none" w:sz="0" w:space="0" w:color="auto"/>
              <w:bottom w:val="none" w:sz="0" w:space="0" w:color="auto"/>
            </w:tcBorders>
            <w:noWrap/>
            <w:vAlign w:val="bottom"/>
          </w:tcPr>
          <w:p w:rsidR="00FA2E94" w:rsidRPr="007C2D51" w:rsidRDefault="00FA2E94" w:rsidP="00526171">
            <w:pPr>
              <w:pStyle w:val="ListParagraph"/>
              <w:numPr>
                <w:ilvl w:val="0"/>
                <w:numId w:val="24"/>
              </w:numPr>
            </w:pPr>
            <w:r w:rsidRPr="007C2D51">
              <w:t>Vehicle for agency</w:t>
            </w:r>
          </w:p>
        </w:tc>
        <w:tc>
          <w:tcPr>
            <w:tcW w:w="1296" w:type="dxa"/>
            <w:tcBorders>
              <w:top w:val="none" w:sz="0" w:space="0" w:color="auto"/>
              <w:bottom w:val="none" w:sz="0" w:space="0" w:color="auto"/>
            </w:tcBorders>
            <w:shd w:val="clear" w:color="auto" w:fill="auto"/>
            <w:noWrap/>
            <w:vAlign w:val="bottom"/>
          </w:tcPr>
          <w:p w:rsidR="00FA2E94" w:rsidRPr="007C2D51" w:rsidRDefault="00FA2E94" w:rsidP="00FA2E94">
            <w:pPr>
              <w:jc w:val="right"/>
              <w:cnfStyle w:val="000000100000"/>
              <w:rPr>
                <w:rFonts w:cs="Calibri"/>
                <w:color w:val="000000"/>
              </w:rPr>
            </w:pPr>
            <w:r w:rsidRPr="007C2D51">
              <w:rPr>
                <w:rFonts w:cs="Calibri"/>
                <w:color w:val="000000"/>
              </w:rPr>
              <w:t>31%</w:t>
            </w:r>
          </w:p>
        </w:tc>
        <w:tc>
          <w:tcPr>
            <w:tcW w:w="1296" w:type="dxa"/>
            <w:tcBorders>
              <w:top w:val="none" w:sz="0" w:space="0" w:color="auto"/>
              <w:bottom w:val="none" w:sz="0" w:space="0" w:color="auto"/>
            </w:tcBorders>
            <w:shd w:val="clear" w:color="auto" w:fill="auto"/>
            <w:noWrap/>
            <w:vAlign w:val="bottom"/>
          </w:tcPr>
          <w:p w:rsidR="00FA2E94" w:rsidRPr="007C2D51" w:rsidRDefault="00FA2E94" w:rsidP="00FA2E94">
            <w:pPr>
              <w:jc w:val="right"/>
              <w:cnfStyle w:val="000000100000"/>
              <w:rPr>
                <w:rFonts w:cs="Calibri"/>
                <w:color w:val="000000"/>
              </w:rPr>
            </w:pPr>
            <w:r w:rsidRPr="007C2D51">
              <w:rPr>
                <w:rFonts w:cs="Calibri"/>
                <w:color w:val="000000"/>
              </w:rPr>
              <w:t>19%</w:t>
            </w:r>
          </w:p>
        </w:tc>
        <w:tc>
          <w:tcPr>
            <w:tcW w:w="1296" w:type="dxa"/>
            <w:tcBorders>
              <w:top w:val="none" w:sz="0" w:space="0" w:color="auto"/>
              <w:bottom w:val="none" w:sz="0" w:space="0" w:color="auto"/>
            </w:tcBorders>
            <w:shd w:val="clear" w:color="auto" w:fill="auto"/>
            <w:noWrap/>
            <w:vAlign w:val="bottom"/>
          </w:tcPr>
          <w:p w:rsidR="00FA2E94" w:rsidRPr="007C2D51" w:rsidRDefault="00FA2E94" w:rsidP="00FA2E94">
            <w:pPr>
              <w:jc w:val="right"/>
              <w:cnfStyle w:val="000000100000"/>
              <w:rPr>
                <w:rFonts w:cs="Calibri"/>
                <w:color w:val="000000"/>
              </w:rPr>
            </w:pPr>
            <w:r w:rsidRPr="007C2D51">
              <w:rPr>
                <w:rFonts w:cs="Calibri"/>
                <w:color w:val="000000"/>
              </w:rPr>
              <w:t>50%</w:t>
            </w:r>
          </w:p>
        </w:tc>
        <w:tc>
          <w:tcPr>
            <w:tcW w:w="1296" w:type="dxa"/>
            <w:tcBorders>
              <w:top w:val="none" w:sz="0" w:space="0" w:color="auto"/>
              <w:bottom w:val="none" w:sz="0" w:space="0" w:color="auto"/>
            </w:tcBorders>
            <w:shd w:val="clear" w:color="auto" w:fill="D9D9D9" w:themeFill="background1" w:themeFillShade="D9"/>
            <w:noWrap/>
            <w:vAlign w:val="bottom"/>
          </w:tcPr>
          <w:p w:rsidR="00FA2E94" w:rsidRPr="007C2D51" w:rsidRDefault="00FA2E94" w:rsidP="00FA2E94">
            <w:pPr>
              <w:jc w:val="right"/>
              <w:cnfStyle w:val="000000100000"/>
              <w:rPr>
                <w:rFonts w:cs="Calibri"/>
                <w:color w:val="000000"/>
              </w:rPr>
            </w:pPr>
          </w:p>
        </w:tc>
        <w:tc>
          <w:tcPr>
            <w:tcW w:w="1296" w:type="dxa"/>
            <w:tcBorders>
              <w:top w:val="none" w:sz="0" w:space="0" w:color="auto"/>
              <w:bottom w:val="none" w:sz="0" w:space="0" w:color="auto"/>
              <w:right w:val="none" w:sz="0" w:space="0" w:color="auto"/>
            </w:tcBorders>
            <w:shd w:val="clear" w:color="auto" w:fill="D9D9D9" w:themeFill="background1" w:themeFillShade="D9"/>
            <w:noWrap/>
            <w:vAlign w:val="bottom"/>
          </w:tcPr>
          <w:p w:rsidR="00FA2E94" w:rsidRPr="007C2D51" w:rsidRDefault="00FA2E94" w:rsidP="00FA2E94">
            <w:pPr>
              <w:jc w:val="right"/>
              <w:cnfStyle w:val="000000100000"/>
              <w:rPr>
                <w:rFonts w:cs="Calibri"/>
                <w:color w:val="000000"/>
              </w:rPr>
            </w:pPr>
          </w:p>
        </w:tc>
      </w:tr>
      <w:tr w:rsidR="00FA2E94" w:rsidRPr="007C2D51" w:rsidTr="00F15767">
        <w:trPr>
          <w:trHeight w:val="300"/>
        </w:trPr>
        <w:tc>
          <w:tcPr>
            <w:cnfStyle w:val="001000000000"/>
            <w:tcW w:w="2880" w:type="dxa"/>
            <w:noWrap/>
            <w:vAlign w:val="bottom"/>
          </w:tcPr>
          <w:p w:rsidR="00FA2E94" w:rsidRPr="007C2D51" w:rsidRDefault="00FA2E94" w:rsidP="00526171">
            <w:pPr>
              <w:pStyle w:val="ListParagraph"/>
              <w:numPr>
                <w:ilvl w:val="0"/>
                <w:numId w:val="24"/>
              </w:numPr>
            </w:pPr>
            <w:r w:rsidRPr="007C2D51">
              <w:t>Vanpool vehicles</w:t>
            </w:r>
          </w:p>
        </w:tc>
        <w:tc>
          <w:tcPr>
            <w:tcW w:w="1296" w:type="dxa"/>
            <w:shd w:val="clear" w:color="auto" w:fill="D9D9D9" w:themeFill="background1" w:themeFillShade="D9"/>
            <w:noWrap/>
            <w:vAlign w:val="bottom"/>
          </w:tcPr>
          <w:p w:rsidR="00FA2E94" w:rsidRPr="007C2D51" w:rsidRDefault="00FA2E94" w:rsidP="00FA2E94">
            <w:pPr>
              <w:jc w:val="right"/>
              <w:cnfStyle w:val="000000000000"/>
              <w:rPr>
                <w:rFonts w:cs="Calibri"/>
                <w:color w:val="000000"/>
              </w:rPr>
            </w:pPr>
          </w:p>
        </w:tc>
        <w:tc>
          <w:tcPr>
            <w:tcW w:w="1296" w:type="dxa"/>
            <w:shd w:val="clear" w:color="auto" w:fill="D9D9D9" w:themeFill="background1" w:themeFillShade="D9"/>
            <w:noWrap/>
            <w:vAlign w:val="bottom"/>
          </w:tcPr>
          <w:p w:rsidR="00FA2E94" w:rsidRPr="007C2D51" w:rsidRDefault="00FA2E94" w:rsidP="00FA2E94">
            <w:pPr>
              <w:jc w:val="right"/>
              <w:cnfStyle w:val="000000000000"/>
              <w:rPr>
                <w:rFonts w:cs="Calibri"/>
                <w:color w:val="000000"/>
              </w:rPr>
            </w:pPr>
          </w:p>
        </w:tc>
        <w:tc>
          <w:tcPr>
            <w:tcW w:w="1296" w:type="dxa"/>
            <w:shd w:val="clear" w:color="auto" w:fill="auto"/>
            <w:noWrap/>
            <w:vAlign w:val="bottom"/>
          </w:tcPr>
          <w:p w:rsidR="00FA2E94" w:rsidRPr="007C2D51" w:rsidRDefault="00FA2E94" w:rsidP="00FA2E94">
            <w:pPr>
              <w:jc w:val="right"/>
              <w:cnfStyle w:val="000000000000"/>
              <w:rPr>
                <w:rFonts w:cs="Calibri"/>
                <w:color w:val="000000"/>
              </w:rPr>
            </w:pPr>
            <w:r w:rsidRPr="007C2D51">
              <w:rPr>
                <w:rFonts w:cs="Calibri"/>
                <w:color w:val="000000"/>
              </w:rPr>
              <w:t>25%</w:t>
            </w:r>
          </w:p>
        </w:tc>
        <w:tc>
          <w:tcPr>
            <w:tcW w:w="1296" w:type="dxa"/>
            <w:noWrap/>
            <w:vAlign w:val="bottom"/>
          </w:tcPr>
          <w:p w:rsidR="00FA2E94" w:rsidRPr="007C2D51" w:rsidRDefault="00FA2E94" w:rsidP="00FA2E94">
            <w:pPr>
              <w:jc w:val="right"/>
              <w:cnfStyle w:val="000000000000"/>
              <w:rPr>
                <w:rFonts w:cs="Calibri"/>
                <w:color w:val="000000"/>
              </w:rPr>
            </w:pPr>
            <w:r w:rsidRPr="007C2D51">
              <w:rPr>
                <w:rFonts w:cs="Calibri"/>
                <w:color w:val="000000"/>
              </w:rPr>
              <w:t>75%</w:t>
            </w:r>
          </w:p>
        </w:tc>
        <w:tc>
          <w:tcPr>
            <w:tcW w:w="1296" w:type="dxa"/>
            <w:shd w:val="clear" w:color="auto" w:fill="D9D9D9" w:themeFill="background1" w:themeFillShade="D9"/>
            <w:noWrap/>
            <w:vAlign w:val="bottom"/>
          </w:tcPr>
          <w:p w:rsidR="00FA2E94" w:rsidRPr="007C2D51" w:rsidRDefault="00FA2E94" w:rsidP="00FA2E94">
            <w:pPr>
              <w:jc w:val="right"/>
              <w:cnfStyle w:val="000000000000"/>
              <w:rPr>
                <w:rFonts w:cs="Calibri"/>
                <w:color w:val="000000"/>
              </w:rPr>
            </w:pPr>
          </w:p>
        </w:tc>
      </w:tr>
      <w:tr w:rsidR="00FA2E94" w:rsidRPr="007C2D51" w:rsidTr="00F15767">
        <w:trPr>
          <w:cnfStyle w:val="000000100000"/>
          <w:trHeight w:val="300"/>
        </w:trPr>
        <w:tc>
          <w:tcPr>
            <w:cnfStyle w:val="001000000000"/>
            <w:tcW w:w="2880" w:type="dxa"/>
            <w:tcBorders>
              <w:top w:val="none" w:sz="0" w:space="0" w:color="auto"/>
              <w:left w:val="none" w:sz="0" w:space="0" w:color="auto"/>
              <w:bottom w:val="none" w:sz="0" w:space="0" w:color="auto"/>
            </w:tcBorders>
            <w:noWrap/>
            <w:vAlign w:val="bottom"/>
          </w:tcPr>
          <w:p w:rsidR="00FA2E94" w:rsidRPr="007C2D51" w:rsidRDefault="00FA2E94" w:rsidP="00526171">
            <w:pPr>
              <w:pStyle w:val="ListParagraph"/>
              <w:numPr>
                <w:ilvl w:val="0"/>
                <w:numId w:val="24"/>
              </w:numPr>
            </w:pPr>
            <w:r w:rsidRPr="007C2D51">
              <w:t>Car-sharing</w:t>
            </w:r>
          </w:p>
        </w:tc>
        <w:tc>
          <w:tcPr>
            <w:tcW w:w="1296" w:type="dxa"/>
            <w:tcBorders>
              <w:top w:val="none" w:sz="0" w:space="0" w:color="auto"/>
              <w:bottom w:val="none" w:sz="0" w:space="0" w:color="auto"/>
            </w:tcBorders>
            <w:noWrap/>
            <w:vAlign w:val="bottom"/>
          </w:tcPr>
          <w:p w:rsidR="00FA2E94" w:rsidRPr="007C2D51" w:rsidRDefault="00FA2E94" w:rsidP="00FA2E94">
            <w:pPr>
              <w:jc w:val="right"/>
              <w:cnfStyle w:val="000000100000"/>
              <w:rPr>
                <w:rFonts w:cs="Calibri"/>
                <w:color w:val="000000"/>
              </w:rPr>
            </w:pPr>
            <w:r w:rsidRPr="007C2D51">
              <w:rPr>
                <w:rFonts w:cs="Calibri"/>
                <w:color w:val="000000"/>
              </w:rPr>
              <w:t>100%</w:t>
            </w:r>
          </w:p>
        </w:tc>
        <w:tc>
          <w:tcPr>
            <w:tcW w:w="1296" w:type="dxa"/>
            <w:tcBorders>
              <w:top w:val="none" w:sz="0" w:space="0" w:color="auto"/>
              <w:bottom w:val="none" w:sz="0" w:space="0" w:color="auto"/>
            </w:tcBorders>
            <w:shd w:val="clear" w:color="auto" w:fill="D9D9D9" w:themeFill="background1" w:themeFillShade="D9"/>
            <w:noWrap/>
            <w:vAlign w:val="bottom"/>
          </w:tcPr>
          <w:p w:rsidR="00FA2E94" w:rsidRPr="007C2D51" w:rsidRDefault="00FA2E94" w:rsidP="00FA2E94">
            <w:pPr>
              <w:jc w:val="right"/>
              <w:cnfStyle w:val="000000100000"/>
              <w:rPr>
                <w:rFonts w:cs="Calibri"/>
                <w:color w:val="000000"/>
              </w:rPr>
            </w:pPr>
          </w:p>
        </w:tc>
        <w:tc>
          <w:tcPr>
            <w:tcW w:w="1296" w:type="dxa"/>
            <w:tcBorders>
              <w:top w:val="none" w:sz="0" w:space="0" w:color="auto"/>
              <w:bottom w:val="none" w:sz="0" w:space="0" w:color="auto"/>
            </w:tcBorders>
            <w:noWrap/>
            <w:vAlign w:val="bottom"/>
          </w:tcPr>
          <w:p w:rsidR="00FA2E94" w:rsidRPr="007C2D51" w:rsidRDefault="00FA2E94" w:rsidP="00FA2E94">
            <w:pPr>
              <w:jc w:val="right"/>
              <w:cnfStyle w:val="000000100000"/>
              <w:rPr>
                <w:rFonts w:cs="Calibri"/>
                <w:color w:val="000000"/>
              </w:rPr>
            </w:pPr>
            <w:r w:rsidRPr="007C2D51">
              <w:rPr>
                <w:rFonts w:cs="Calibri"/>
                <w:color w:val="000000"/>
              </w:rPr>
              <w:t>0%</w:t>
            </w:r>
          </w:p>
        </w:tc>
        <w:tc>
          <w:tcPr>
            <w:tcW w:w="1296" w:type="dxa"/>
            <w:tcBorders>
              <w:top w:val="none" w:sz="0" w:space="0" w:color="auto"/>
              <w:bottom w:val="none" w:sz="0" w:space="0" w:color="auto"/>
            </w:tcBorders>
            <w:shd w:val="clear" w:color="auto" w:fill="D9D9D9" w:themeFill="background1" w:themeFillShade="D9"/>
            <w:noWrap/>
            <w:vAlign w:val="bottom"/>
          </w:tcPr>
          <w:p w:rsidR="00FA2E94" w:rsidRPr="007C2D51" w:rsidRDefault="00FA2E94" w:rsidP="00FA2E94">
            <w:pPr>
              <w:jc w:val="right"/>
              <w:cnfStyle w:val="000000100000"/>
              <w:rPr>
                <w:rFonts w:cs="Calibri"/>
                <w:color w:val="000000"/>
              </w:rPr>
            </w:pPr>
          </w:p>
        </w:tc>
        <w:tc>
          <w:tcPr>
            <w:tcW w:w="1296" w:type="dxa"/>
            <w:tcBorders>
              <w:top w:val="none" w:sz="0" w:space="0" w:color="auto"/>
              <w:bottom w:val="none" w:sz="0" w:space="0" w:color="auto"/>
              <w:right w:val="none" w:sz="0" w:space="0" w:color="auto"/>
            </w:tcBorders>
            <w:shd w:val="clear" w:color="auto" w:fill="D9D9D9" w:themeFill="background1" w:themeFillShade="D9"/>
            <w:noWrap/>
            <w:vAlign w:val="bottom"/>
          </w:tcPr>
          <w:p w:rsidR="00FA2E94" w:rsidRPr="007C2D51" w:rsidRDefault="00FA2E94" w:rsidP="00FA2E94">
            <w:pPr>
              <w:jc w:val="right"/>
              <w:cnfStyle w:val="000000100000"/>
              <w:rPr>
                <w:rFonts w:cs="Calibri"/>
                <w:color w:val="000000"/>
              </w:rPr>
            </w:pPr>
          </w:p>
        </w:tc>
      </w:tr>
      <w:tr w:rsidR="00FA2E94" w:rsidRPr="007C2D51" w:rsidTr="00F15767">
        <w:trPr>
          <w:trHeight w:val="300"/>
        </w:trPr>
        <w:tc>
          <w:tcPr>
            <w:cnfStyle w:val="001000000000"/>
            <w:tcW w:w="2880" w:type="dxa"/>
            <w:noWrap/>
            <w:vAlign w:val="bottom"/>
          </w:tcPr>
          <w:p w:rsidR="00FA2E94" w:rsidRPr="007C2D51" w:rsidRDefault="00FA2E94" w:rsidP="00526171">
            <w:pPr>
              <w:pStyle w:val="ListParagraph"/>
              <w:numPr>
                <w:ilvl w:val="0"/>
                <w:numId w:val="24"/>
              </w:numPr>
            </w:pPr>
            <w:r w:rsidRPr="007C2D51">
              <w:t>ITS investments</w:t>
            </w:r>
          </w:p>
        </w:tc>
        <w:tc>
          <w:tcPr>
            <w:tcW w:w="1296" w:type="dxa"/>
            <w:shd w:val="clear" w:color="auto" w:fill="D9D9D9" w:themeFill="background1" w:themeFillShade="D9"/>
            <w:noWrap/>
            <w:vAlign w:val="bottom"/>
          </w:tcPr>
          <w:p w:rsidR="00FA2E94" w:rsidRPr="007C2D51" w:rsidRDefault="00FA2E94" w:rsidP="00FA2E94">
            <w:pPr>
              <w:jc w:val="right"/>
              <w:cnfStyle w:val="000000000000"/>
              <w:rPr>
                <w:rFonts w:cs="Calibri"/>
                <w:color w:val="000000"/>
              </w:rPr>
            </w:pPr>
          </w:p>
        </w:tc>
        <w:tc>
          <w:tcPr>
            <w:tcW w:w="1296" w:type="dxa"/>
            <w:shd w:val="clear" w:color="auto" w:fill="D9D9D9" w:themeFill="background1" w:themeFillShade="D9"/>
            <w:noWrap/>
            <w:vAlign w:val="bottom"/>
          </w:tcPr>
          <w:p w:rsidR="00FA2E94" w:rsidRPr="007C2D51" w:rsidRDefault="00FA2E94" w:rsidP="00FA2E94">
            <w:pPr>
              <w:jc w:val="right"/>
              <w:cnfStyle w:val="000000000000"/>
              <w:rPr>
                <w:rFonts w:cs="Calibri"/>
                <w:color w:val="000000"/>
              </w:rPr>
            </w:pPr>
          </w:p>
        </w:tc>
        <w:tc>
          <w:tcPr>
            <w:tcW w:w="1296" w:type="dxa"/>
            <w:noWrap/>
            <w:vAlign w:val="bottom"/>
          </w:tcPr>
          <w:p w:rsidR="00FA2E94" w:rsidRPr="007C2D51" w:rsidRDefault="00FA2E94" w:rsidP="00FA2E94">
            <w:pPr>
              <w:jc w:val="right"/>
              <w:cnfStyle w:val="000000000000"/>
              <w:rPr>
                <w:rFonts w:cs="Calibri"/>
                <w:color w:val="000000"/>
              </w:rPr>
            </w:pPr>
            <w:r w:rsidRPr="007C2D51">
              <w:rPr>
                <w:rFonts w:cs="Calibri"/>
                <w:color w:val="000000"/>
              </w:rPr>
              <w:t>50%</w:t>
            </w:r>
          </w:p>
        </w:tc>
        <w:tc>
          <w:tcPr>
            <w:tcW w:w="1296" w:type="dxa"/>
            <w:noWrap/>
            <w:vAlign w:val="bottom"/>
          </w:tcPr>
          <w:p w:rsidR="00FA2E94" w:rsidRPr="007C2D51" w:rsidRDefault="00FA2E94" w:rsidP="00FA2E94">
            <w:pPr>
              <w:jc w:val="right"/>
              <w:cnfStyle w:val="000000000000"/>
              <w:rPr>
                <w:rFonts w:cs="Calibri"/>
                <w:color w:val="000000"/>
              </w:rPr>
            </w:pPr>
            <w:r w:rsidRPr="007C2D51">
              <w:rPr>
                <w:rFonts w:cs="Calibri"/>
                <w:color w:val="000000"/>
              </w:rPr>
              <w:t>50%</w:t>
            </w:r>
          </w:p>
        </w:tc>
        <w:tc>
          <w:tcPr>
            <w:tcW w:w="1296" w:type="dxa"/>
            <w:noWrap/>
            <w:vAlign w:val="bottom"/>
          </w:tcPr>
          <w:p w:rsidR="00FA2E94" w:rsidRPr="007C2D51" w:rsidRDefault="00FA2E94" w:rsidP="00FA2E94">
            <w:pPr>
              <w:jc w:val="right"/>
              <w:cnfStyle w:val="000000000000"/>
              <w:rPr>
                <w:rFonts w:cs="Calibri"/>
                <w:color w:val="000000"/>
              </w:rPr>
            </w:pPr>
            <w:r w:rsidRPr="007C2D51">
              <w:rPr>
                <w:rFonts w:cs="Calibri"/>
                <w:color w:val="000000"/>
              </w:rPr>
              <w:t>0%</w:t>
            </w:r>
          </w:p>
        </w:tc>
      </w:tr>
      <w:tr w:rsidR="00FA2E94" w:rsidRPr="007C2D51" w:rsidTr="00F15767">
        <w:trPr>
          <w:cnfStyle w:val="000000100000"/>
          <w:trHeight w:val="300"/>
        </w:trPr>
        <w:tc>
          <w:tcPr>
            <w:cnfStyle w:val="001000000000"/>
            <w:tcW w:w="2880" w:type="dxa"/>
            <w:tcBorders>
              <w:top w:val="none" w:sz="0" w:space="0" w:color="auto"/>
              <w:left w:val="none" w:sz="0" w:space="0" w:color="auto"/>
              <w:bottom w:val="none" w:sz="0" w:space="0" w:color="auto"/>
            </w:tcBorders>
            <w:noWrap/>
            <w:vAlign w:val="bottom"/>
          </w:tcPr>
          <w:p w:rsidR="00FA2E94" w:rsidRPr="007C2D51" w:rsidRDefault="00FA2E94" w:rsidP="00526171">
            <w:pPr>
              <w:pStyle w:val="ListParagraph"/>
              <w:numPr>
                <w:ilvl w:val="0"/>
                <w:numId w:val="24"/>
              </w:numPr>
            </w:pPr>
            <w:r w:rsidRPr="007C2D51">
              <w:t>Other capital projects</w:t>
            </w:r>
          </w:p>
        </w:tc>
        <w:tc>
          <w:tcPr>
            <w:tcW w:w="1296" w:type="dxa"/>
            <w:tcBorders>
              <w:top w:val="none" w:sz="0" w:space="0" w:color="auto"/>
              <w:bottom w:val="none" w:sz="0" w:space="0" w:color="auto"/>
            </w:tcBorders>
            <w:noWrap/>
            <w:vAlign w:val="bottom"/>
          </w:tcPr>
          <w:p w:rsidR="00FA2E94" w:rsidRPr="007C2D51" w:rsidRDefault="00FA2E94" w:rsidP="00FA2E94">
            <w:pPr>
              <w:jc w:val="right"/>
              <w:cnfStyle w:val="000000100000"/>
              <w:rPr>
                <w:rFonts w:cs="Calibri"/>
                <w:color w:val="000000"/>
              </w:rPr>
            </w:pPr>
            <w:r w:rsidRPr="007C2D51">
              <w:rPr>
                <w:rFonts w:cs="Calibri"/>
                <w:color w:val="000000"/>
              </w:rPr>
              <w:t>33%</w:t>
            </w:r>
          </w:p>
        </w:tc>
        <w:tc>
          <w:tcPr>
            <w:tcW w:w="1296" w:type="dxa"/>
            <w:tcBorders>
              <w:top w:val="none" w:sz="0" w:space="0" w:color="auto"/>
              <w:bottom w:val="none" w:sz="0" w:space="0" w:color="auto"/>
            </w:tcBorders>
            <w:noWrap/>
            <w:vAlign w:val="bottom"/>
          </w:tcPr>
          <w:p w:rsidR="00FA2E94" w:rsidRPr="007C2D51" w:rsidRDefault="00FA2E94" w:rsidP="00FA2E94">
            <w:pPr>
              <w:jc w:val="right"/>
              <w:cnfStyle w:val="000000100000"/>
              <w:rPr>
                <w:rFonts w:cs="Calibri"/>
                <w:color w:val="000000"/>
              </w:rPr>
            </w:pPr>
            <w:r w:rsidRPr="007C2D51">
              <w:rPr>
                <w:rFonts w:cs="Calibri"/>
                <w:color w:val="000000"/>
              </w:rPr>
              <w:t>0%</w:t>
            </w:r>
          </w:p>
        </w:tc>
        <w:tc>
          <w:tcPr>
            <w:tcW w:w="1296" w:type="dxa"/>
            <w:tcBorders>
              <w:top w:val="none" w:sz="0" w:space="0" w:color="auto"/>
              <w:bottom w:val="none" w:sz="0" w:space="0" w:color="auto"/>
            </w:tcBorders>
            <w:noWrap/>
            <w:vAlign w:val="bottom"/>
          </w:tcPr>
          <w:p w:rsidR="00FA2E94" w:rsidRPr="007C2D51" w:rsidRDefault="00FA2E94" w:rsidP="00FA2E94">
            <w:pPr>
              <w:jc w:val="right"/>
              <w:cnfStyle w:val="000000100000"/>
              <w:rPr>
                <w:rFonts w:cs="Calibri"/>
                <w:color w:val="000000"/>
              </w:rPr>
            </w:pPr>
            <w:r w:rsidRPr="007C2D51">
              <w:rPr>
                <w:rFonts w:cs="Calibri"/>
                <w:color w:val="000000"/>
              </w:rPr>
              <w:t>0%</w:t>
            </w:r>
          </w:p>
        </w:tc>
        <w:tc>
          <w:tcPr>
            <w:tcW w:w="1296" w:type="dxa"/>
            <w:tcBorders>
              <w:top w:val="none" w:sz="0" w:space="0" w:color="auto"/>
              <w:bottom w:val="none" w:sz="0" w:space="0" w:color="auto"/>
            </w:tcBorders>
            <w:noWrap/>
            <w:vAlign w:val="bottom"/>
          </w:tcPr>
          <w:p w:rsidR="00FA2E94" w:rsidRPr="007C2D51" w:rsidRDefault="00FA2E94" w:rsidP="00FA2E94">
            <w:pPr>
              <w:jc w:val="right"/>
              <w:cnfStyle w:val="000000100000"/>
              <w:rPr>
                <w:rFonts w:cs="Calibri"/>
                <w:color w:val="000000"/>
              </w:rPr>
            </w:pPr>
            <w:r w:rsidRPr="007C2D51">
              <w:rPr>
                <w:rFonts w:cs="Calibri"/>
                <w:color w:val="000000"/>
              </w:rPr>
              <w:t>67%</w:t>
            </w:r>
          </w:p>
        </w:tc>
        <w:tc>
          <w:tcPr>
            <w:tcW w:w="1296" w:type="dxa"/>
            <w:tcBorders>
              <w:top w:val="none" w:sz="0" w:space="0" w:color="auto"/>
              <w:bottom w:val="none" w:sz="0" w:space="0" w:color="auto"/>
              <w:right w:val="none" w:sz="0" w:space="0" w:color="auto"/>
            </w:tcBorders>
            <w:noWrap/>
            <w:vAlign w:val="bottom"/>
          </w:tcPr>
          <w:p w:rsidR="00FA2E94" w:rsidRPr="007C2D51" w:rsidRDefault="00FA2E94" w:rsidP="00FA2E94">
            <w:pPr>
              <w:jc w:val="right"/>
              <w:cnfStyle w:val="000000100000"/>
              <w:rPr>
                <w:rFonts w:cs="Calibri"/>
                <w:color w:val="000000"/>
              </w:rPr>
            </w:pPr>
            <w:r w:rsidRPr="007C2D51">
              <w:rPr>
                <w:rFonts w:cs="Calibri"/>
                <w:color w:val="000000"/>
              </w:rPr>
              <w:t>0%</w:t>
            </w:r>
          </w:p>
        </w:tc>
      </w:tr>
      <w:tr w:rsidR="00FA2E94" w:rsidRPr="007C2D51" w:rsidTr="00F15767">
        <w:trPr>
          <w:trHeight w:val="300"/>
        </w:trPr>
        <w:tc>
          <w:tcPr>
            <w:cnfStyle w:val="001000000000"/>
            <w:tcW w:w="2880" w:type="dxa"/>
            <w:shd w:val="clear" w:color="auto" w:fill="475A8D" w:themeFill="accent6"/>
            <w:noWrap/>
            <w:vAlign w:val="bottom"/>
          </w:tcPr>
          <w:p w:rsidR="00FA2E94" w:rsidRPr="007C2D51" w:rsidRDefault="00FA2E94" w:rsidP="00FA2E94">
            <w:pPr>
              <w:ind w:left="72"/>
              <w:rPr>
                <w:color w:val="FFFFFF" w:themeColor="background1"/>
              </w:rPr>
            </w:pPr>
            <w:r w:rsidRPr="007C2D51">
              <w:rPr>
                <w:color w:val="FFFFFF" w:themeColor="background1"/>
              </w:rPr>
              <w:t>IV. Planning Studies</w:t>
            </w:r>
          </w:p>
        </w:tc>
        <w:tc>
          <w:tcPr>
            <w:tcW w:w="1296" w:type="dxa"/>
            <w:shd w:val="clear" w:color="auto" w:fill="475A8D" w:themeFill="accent6"/>
            <w:noWrap/>
            <w:vAlign w:val="bottom"/>
          </w:tcPr>
          <w:p w:rsidR="00FA2E94" w:rsidRPr="007C2D51" w:rsidRDefault="00FA2E94" w:rsidP="00FA2E94">
            <w:pPr>
              <w:jc w:val="right"/>
              <w:cnfStyle w:val="000000000000"/>
              <w:rPr>
                <w:rFonts w:cs="Calibri"/>
                <w:b/>
                <w:bCs/>
                <w:color w:val="FFFFFF" w:themeColor="background1"/>
              </w:rPr>
            </w:pPr>
            <w:r w:rsidRPr="007C2D51">
              <w:rPr>
                <w:rFonts w:cs="Calibri"/>
                <w:b/>
                <w:bCs/>
                <w:color w:val="FFFFFF" w:themeColor="background1"/>
              </w:rPr>
              <w:t>27%</w:t>
            </w:r>
          </w:p>
        </w:tc>
        <w:tc>
          <w:tcPr>
            <w:tcW w:w="1296" w:type="dxa"/>
            <w:shd w:val="clear" w:color="auto" w:fill="475A8D" w:themeFill="accent6"/>
            <w:noWrap/>
            <w:vAlign w:val="bottom"/>
          </w:tcPr>
          <w:p w:rsidR="00FA2E94" w:rsidRPr="007C2D51" w:rsidRDefault="00FA2E94" w:rsidP="00FA2E94">
            <w:pPr>
              <w:jc w:val="right"/>
              <w:cnfStyle w:val="000000000000"/>
              <w:rPr>
                <w:rFonts w:cs="Calibri"/>
                <w:b/>
                <w:bCs/>
                <w:color w:val="FFFFFF" w:themeColor="background1"/>
              </w:rPr>
            </w:pPr>
            <w:r w:rsidRPr="007C2D51">
              <w:rPr>
                <w:rFonts w:cs="Calibri"/>
                <w:b/>
                <w:bCs/>
                <w:color w:val="FFFFFF" w:themeColor="background1"/>
              </w:rPr>
              <w:t>9%</w:t>
            </w:r>
          </w:p>
        </w:tc>
        <w:tc>
          <w:tcPr>
            <w:tcW w:w="1296" w:type="dxa"/>
            <w:shd w:val="clear" w:color="auto" w:fill="475A8D" w:themeFill="accent6"/>
            <w:noWrap/>
            <w:vAlign w:val="bottom"/>
          </w:tcPr>
          <w:p w:rsidR="00FA2E94" w:rsidRPr="007C2D51" w:rsidRDefault="00FA2E94" w:rsidP="00FA2E94">
            <w:pPr>
              <w:jc w:val="right"/>
              <w:cnfStyle w:val="000000000000"/>
              <w:rPr>
                <w:rFonts w:cs="Calibri"/>
                <w:b/>
                <w:bCs/>
                <w:color w:val="FFFFFF" w:themeColor="background1"/>
              </w:rPr>
            </w:pPr>
            <w:r w:rsidRPr="007C2D51">
              <w:rPr>
                <w:rFonts w:cs="Calibri"/>
                <w:b/>
                <w:bCs/>
                <w:color w:val="FFFFFF" w:themeColor="background1"/>
              </w:rPr>
              <w:t>0%</w:t>
            </w:r>
          </w:p>
        </w:tc>
        <w:tc>
          <w:tcPr>
            <w:tcW w:w="1296" w:type="dxa"/>
            <w:shd w:val="clear" w:color="auto" w:fill="475A8D" w:themeFill="accent6"/>
            <w:noWrap/>
            <w:vAlign w:val="bottom"/>
          </w:tcPr>
          <w:p w:rsidR="00FA2E94" w:rsidRPr="007C2D51" w:rsidRDefault="00FA2E94" w:rsidP="00FA2E94">
            <w:pPr>
              <w:jc w:val="right"/>
              <w:cnfStyle w:val="000000000000"/>
              <w:rPr>
                <w:rFonts w:cs="Calibri"/>
                <w:b/>
                <w:bCs/>
                <w:color w:val="FFFFFF" w:themeColor="background1"/>
              </w:rPr>
            </w:pPr>
            <w:r w:rsidRPr="007C2D51">
              <w:rPr>
                <w:rFonts w:cs="Calibri"/>
                <w:b/>
                <w:bCs/>
                <w:color w:val="FFFFFF" w:themeColor="background1"/>
              </w:rPr>
              <w:t>36%</w:t>
            </w:r>
          </w:p>
        </w:tc>
        <w:tc>
          <w:tcPr>
            <w:tcW w:w="1296" w:type="dxa"/>
            <w:shd w:val="clear" w:color="auto" w:fill="475A8D" w:themeFill="accent6"/>
            <w:noWrap/>
            <w:vAlign w:val="bottom"/>
          </w:tcPr>
          <w:p w:rsidR="00FA2E94" w:rsidRPr="007C2D51" w:rsidRDefault="00FA2E94" w:rsidP="00FA2E94">
            <w:pPr>
              <w:jc w:val="right"/>
              <w:cnfStyle w:val="000000000000"/>
              <w:rPr>
                <w:rFonts w:cs="Calibri"/>
                <w:b/>
                <w:bCs/>
                <w:color w:val="FFFFFF" w:themeColor="background1"/>
              </w:rPr>
            </w:pPr>
            <w:r w:rsidRPr="007C2D51">
              <w:rPr>
                <w:rFonts w:cs="Calibri"/>
                <w:b/>
                <w:bCs/>
                <w:color w:val="FFFFFF" w:themeColor="background1"/>
              </w:rPr>
              <w:t>27%</w:t>
            </w:r>
          </w:p>
        </w:tc>
      </w:tr>
      <w:tr w:rsidR="00FA2E94" w:rsidRPr="007C2D51" w:rsidTr="00F15767">
        <w:trPr>
          <w:cnfStyle w:val="000000100000"/>
          <w:trHeight w:val="300"/>
        </w:trPr>
        <w:tc>
          <w:tcPr>
            <w:cnfStyle w:val="001000000000"/>
            <w:tcW w:w="2880" w:type="dxa"/>
            <w:tcBorders>
              <w:top w:val="none" w:sz="0" w:space="0" w:color="auto"/>
              <w:left w:val="none" w:sz="0" w:space="0" w:color="auto"/>
              <w:bottom w:val="none" w:sz="0" w:space="0" w:color="auto"/>
            </w:tcBorders>
            <w:noWrap/>
            <w:vAlign w:val="bottom"/>
          </w:tcPr>
          <w:p w:rsidR="00FA2E94" w:rsidRPr="007C2D51" w:rsidRDefault="00FA2E94" w:rsidP="00526171">
            <w:pPr>
              <w:pStyle w:val="ListParagraph"/>
              <w:numPr>
                <w:ilvl w:val="0"/>
                <w:numId w:val="25"/>
              </w:numPr>
            </w:pPr>
            <w:r w:rsidRPr="007C2D51">
              <w:t>Feasibility study</w:t>
            </w:r>
          </w:p>
        </w:tc>
        <w:tc>
          <w:tcPr>
            <w:tcW w:w="1296" w:type="dxa"/>
            <w:tcBorders>
              <w:top w:val="none" w:sz="0" w:space="0" w:color="auto"/>
              <w:bottom w:val="none" w:sz="0" w:space="0" w:color="auto"/>
            </w:tcBorders>
            <w:noWrap/>
            <w:vAlign w:val="bottom"/>
          </w:tcPr>
          <w:p w:rsidR="00FA2E94" w:rsidRPr="007C2D51" w:rsidRDefault="00FA2E94" w:rsidP="00FA2E94">
            <w:pPr>
              <w:jc w:val="right"/>
              <w:cnfStyle w:val="000000100000"/>
              <w:rPr>
                <w:rFonts w:cs="Calibri"/>
                <w:color w:val="000000"/>
              </w:rPr>
            </w:pPr>
            <w:r w:rsidRPr="007C2D51">
              <w:rPr>
                <w:rFonts w:cs="Calibri"/>
                <w:color w:val="000000"/>
              </w:rPr>
              <w:t>27%</w:t>
            </w:r>
          </w:p>
        </w:tc>
        <w:tc>
          <w:tcPr>
            <w:tcW w:w="1296" w:type="dxa"/>
            <w:tcBorders>
              <w:top w:val="none" w:sz="0" w:space="0" w:color="auto"/>
              <w:bottom w:val="none" w:sz="0" w:space="0" w:color="auto"/>
            </w:tcBorders>
            <w:noWrap/>
            <w:vAlign w:val="bottom"/>
          </w:tcPr>
          <w:p w:rsidR="00FA2E94" w:rsidRPr="007C2D51" w:rsidRDefault="00FA2E94" w:rsidP="00FA2E94">
            <w:pPr>
              <w:jc w:val="right"/>
              <w:cnfStyle w:val="000000100000"/>
              <w:rPr>
                <w:rFonts w:cs="Calibri"/>
                <w:color w:val="000000"/>
              </w:rPr>
            </w:pPr>
            <w:r w:rsidRPr="007C2D51">
              <w:rPr>
                <w:rFonts w:cs="Calibri"/>
                <w:color w:val="000000"/>
              </w:rPr>
              <w:t>9%</w:t>
            </w:r>
          </w:p>
        </w:tc>
        <w:tc>
          <w:tcPr>
            <w:tcW w:w="1296" w:type="dxa"/>
            <w:tcBorders>
              <w:top w:val="none" w:sz="0" w:space="0" w:color="auto"/>
              <w:bottom w:val="none" w:sz="0" w:space="0" w:color="auto"/>
            </w:tcBorders>
            <w:noWrap/>
            <w:vAlign w:val="bottom"/>
          </w:tcPr>
          <w:p w:rsidR="00FA2E94" w:rsidRPr="007C2D51" w:rsidRDefault="00FA2E94" w:rsidP="00FA2E94">
            <w:pPr>
              <w:jc w:val="right"/>
              <w:cnfStyle w:val="000000100000"/>
              <w:rPr>
                <w:rFonts w:cs="Calibri"/>
                <w:color w:val="000000"/>
              </w:rPr>
            </w:pPr>
            <w:r w:rsidRPr="007C2D51">
              <w:rPr>
                <w:rFonts w:cs="Calibri"/>
                <w:color w:val="000000"/>
              </w:rPr>
              <w:t>0%</w:t>
            </w:r>
          </w:p>
        </w:tc>
        <w:tc>
          <w:tcPr>
            <w:tcW w:w="1296" w:type="dxa"/>
            <w:tcBorders>
              <w:top w:val="none" w:sz="0" w:space="0" w:color="auto"/>
              <w:bottom w:val="none" w:sz="0" w:space="0" w:color="auto"/>
            </w:tcBorders>
            <w:noWrap/>
            <w:vAlign w:val="bottom"/>
          </w:tcPr>
          <w:p w:rsidR="00FA2E94" w:rsidRPr="007C2D51" w:rsidRDefault="00FA2E94" w:rsidP="00FA2E94">
            <w:pPr>
              <w:jc w:val="right"/>
              <w:cnfStyle w:val="000000100000"/>
              <w:rPr>
                <w:rFonts w:cs="Calibri"/>
                <w:color w:val="000000"/>
              </w:rPr>
            </w:pPr>
            <w:r w:rsidRPr="007C2D51">
              <w:rPr>
                <w:rFonts w:cs="Calibri"/>
                <w:color w:val="000000"/>
              </w:rPr>
              <w:t>36%</w:t>
            </w:r>
          </w:p>
        </w:tc>
        <w:tc>
          <w:tcPr>
            <w:tcW w:w="1296" w:type="dxa"/>
            <w:tcBorders>
              <w:top w:val="none" w:sz="0" w:space="0" w:color="auto"/>
              <w:bottom w:val="none" w:sz="0" w:space="0" w:color="auto"/>
              <w:right w:val="none" w:sz="0" w:space="0" w:color="auto"/>
            </w:tcBorders>
            <w:noWrap/>
            <w:vAlign w:val="bottom"/>
          </w:tcPr>
          <w:p w:rsidR="00FA2E94" w:rsidRPr="007C2D51" w:rsidRDefault="00FA2E94" w:rsidP="00FA2E94">
            <w:pPr>
              <w:jc w:val="right"/>
              <w:cnfStyle w:val="000000100000"/>
              <w:rPr>
                <w:rFonts w:cs="Calibri"/>
                <w:color w:val="000000"/>
              </w:rPr>
            </w:pPr>
            <w:r w:rsidRPr="007C2D51">
              <w:rPr>
                <w:rFonts w:cs="Calibri"/>
                <w:color w:val="000000"/>
              </w:rPr>
              <w:t>27%</w:t>
            </w:r>
          </w:p>
        </w:tc>
      </w:tr>
      <w:tr w:rsidR="00FA2E94" w:rsidRPr="007C2D51" w:rsidTr="00F15767">
        <w:trPr>
          <w:trHeight w:val="300"/>
        </w:trPr>
        <w:tc>
          <w:tcPr>
            <w:cnfStyle w:val="001000000000"/>
            <w:tcW w:w="2880" w:type="dxa"/>
            <w:shd w:val="clear" w:color="auto" w:fill="475A8D" w:themeFill="accent6"/>
            <w:noWrap/>
            <w:vAlign w:val="bottom"/>
          </w:tcPr>
          <w:p w:rsidR="00FA2E94" w:rsidRPr="007C2D51" w:rsidRDefault="00FA2E94" w:rsidP="00FA2E94">
            <w:pPr>
              <w:rPr>
                <w:color w:val="FFFFFF" w:themeColor="background1"/>
              </w:rPr>
            </w:pPr>
            <w:r w:rsidRPr="007C2D51">
              <w:rPr>
                <w:color w:val="FFFFFF" w:themeColor="background1"/>
              </w:rPr>
              <w:t>Total</w:t>
            </w:r>
          </w:p>
        </w:tc>
        <w:tc>
          <w:tcPr>
            <w:tcW w:w="1296" w:type="dxa"/>
            <w:shd w:val="clear" w:color="auto" w:fill="475A8D" w:themeFill="accent6"/>
            <w:noWrap/>
            <w:vAlign w:val="bottom"/>
          </w:tcPr>
          <w:p w:rsidR="00FA2E94" w:rsidRPr="007C2D51" w:rsidRDefault="00FA2E94" w:rsidP="00FA2E94">
            <w:pPr>
              <w:jc w:val="right"/>
              <w:cnfStyle w:val="000000000000"/>
              <w:rPr>
                <w:rFonts w:cs="Calibri"/>
                <w:b/>
                <w:bCs/>
                <w:color w:val="FFFFFF" w:themeColor="background1"/>
              </w:rPr>
            </w:pPr>
            <w:r w:rsidRPr="007C2D51">
              <w:rPr>
                <w:rFonts w:cs="Calibri"/>
                <w:b/>
                <w:bCs/>
                <w:color w:val="FFFFFF" w:themeColor="background1"/>
              </w:rPr>
              <w:t>30%</w:t>
            </w:r>
          </w:p>
        </w:tc>
        <w:tc>
          <w:tcPr>
            <w:tcW w:w="1296" w:type="dxa"/>
            <w:shd w:val="clear" w:color="auto" w:fill="475A8D" w:themeFill="accent6"/>
            <w:noWrap/>
            <w:vAlign w:val="bottom"/>
          </w:tcPr>
          <w:p w:rsidR="00FA2E94" w:rsidRPr="007C2D51" w:rsidRDefault="00FA2E94" w:rsidP="00FA2E94">
            <w:pPr>
              <w:jc w:val="right"/>
              <w:cnfStyle w:val="000000000000"/>
              <w:rPr>
                <w:rFonts w:cs="Calibri"/>
                <w:b/>
                <w:bCs/>
                <w:color w:val="FFFFFF" w:themeColor="background1"/>
              </w:rPr>
            </w:pPr>
            <w:r w:rsidRPr="007C2D51">
              <w:rPr>
                <w:rFonts w:cs="Calibri"/>
                <w:b/>
                <w:bCs/>
                <w:color w:val="FFFFFF" w:themeColor="background1"/>
              </w:rPr>
              <w:t>21%</w:t>
            </w:r>
          </w:p>
        </w:tc>
        <w:tc>
          <w:tcPr>
            <w:tcW w:w="1296" w:type="dxa"/>
            <w:shd w:val="clear" w:color="auto" w:fill="475A8D" w:themeFill="accent6"/>
            <w:noWrap/>
            <w:vAlign w:val="bottom"/>
          </w:tcPr>
          <w:p w:rsidR="00FA2E94" w:rsidRPr="007C2D51" w:rsidRDefault="00FA2E94" w:rsidP="00FA2E94">
            <w:pPr>
              <w:jc w:val="right"/>
              <w:cnfStyle w:val="000000000000"/>
              <w:rPr>
                <w:rFonts w:cs="Calibri"/>
                <w:b/>
                <w:bCs/>
                <w:color w:val="FFFFFF" w:themeColor="background1"/>
              </w:rPr>
            </w:pPr>
            <w:r w:rsidRPr="007C2D51">
              <w:rPr>
                <w:rFonts w:cs="Calibri"/>
                <w:b/>
                <w:bCs/>
                <w:color w:val="FFFFFF" w:themeColor="background1"/>
              </w:rPr>
              <w:t>13%</w:t>
            </w:r>
          </w:p>
        </w:tc>
        <w:tc>
          <w:tcPr>
            <w:tcW w:w="1296" w:type="dxa"/>
            <w:shd w:val="clear" w:color="auto" w:fill="475A8D" w:themeFill="accent6"/>
            <w:noWrap/>
            <w:vAlign w:val="bottom"/>
          </w:tcPr>
          <w:p w:rsidR="00FA2E94" w:rsidRPr="007C2D51" w:rsidRDefault="00FA2E94" w:rsidP="00FA2E94">
            <w:pPr>
              <w:jc w:val="right"/>
              <w:cnfStyle w:val="000000000000"/>
              <w:rPr>
                <w:rFonts w:cs="Calibri"/>
                <w:b/>
                <w:bCs/>
                <w:color w:val="FFFFFF" w:themeColor="background1"/>
              </w:rPr>
            </w:pPr>
            <w:r w:rsidRPr="007C2D51">
              <w:rPr>
                <w:rFonts w:cs="Calibri"/>
                <w:b/>
                <w:bCs/>
                <w:color w:val="FFFFFF" w:themeColor="background1"/>
              </w:rPr>
              <w:t>30%</w:t>
            </w:r>
          </w:p>
        </w:tc>
        <w:tc>
          <w:tcPr>
            <w:tcW w:w="1296" w:type="dxa"/>
            <w:shd w:val="clear" w:color="auto" w:fill="475A8D" w:themeFill="accent6"/>
            <w:noWrap/>
            <w:vAlign w:val="bottom"/>
          </w:tcPr>
          <w:p w:rsidR="00FA2E94" w:rsidRPr="007C2D51" w:rsidRDefault="00FA2E94" w:rsidP="00FA2E94">
            <w:pPr>
              <w:jc w:val="right"/>
              <w:cnfStyle w:val="000000000000"/>
              <w:rPr>
                <w:rFonts w:cs="Calibri"/>
                <w:b/>
                <w:bCs/>
                <w:color w:val="FFFFFF" w:themeColor="background1"/>
              </w:rPr>
            </w:pPr>
            <w:r w:rsidRPr="007C2D51">
              <w:rPr>
                <w:rFonts w:cs="Calibri"/>
                <w:b/>
                <w:bCs/>
                <w:color w:val="FFFFFF" w:themeColor="background1"/>
              </w:rPr>
              <w:t>6%</w:t>
            </w:r>
          </w:p>
        </w:tc>
      </w:tr>
    </w:tbl>
    <w:p w:rsidR="00D03A9F" w:rsidRPr="007C2D51" w:rsidRDefault="00D03A9F" w:rsidP="00A35C90">
      <w:pPr>
        <w:pStyle w:val="Caption"/>
        <w:rPr>
          <w:b w:val="0"/>
          <w:bCs w:val="0"/>
        </w:rPr>
      </w:pPr>
    </w:p>
    <w:p w:rsidR="00D03A9F" w:rsidRPr="007C2D51" w:rsidRDefault="00D03A9F" w:rsidP="00D03A9F">
      <w:r w:rsidRPr="007C2D51">
        <w:t>Note that grayed-out cells were not available for data entry.</w:t>
      </w:r>
    </w:p>
    <w:p w:rsidR="00D03A9F" w:rsidRPr="007C2D51" w:rsidRDefault="00D03A9F" w:rsidP="00D03A9F">
      <w:r w:rsidRPr="007C2D51">
        <w:t>Rows add up to 100%.</w:t>
      </w:r>
    </w:p>
    <w:p w:rsidR="00D03A9F" w:rsidRPr="007C2D51" w:rsidRDefault="00BF6F7B">
      <w:pPr>
        <w:rPr>
          <w:b/>
          <w:bCs/>
        </w:rPr>
      </w:pPr>
      <w:r w:rsidRPr="007C2D51">
        <w:rPr>
          <w:b/>
          <w:bCs/>
        </w:rPr>
        <w:br w:type="page"/>
      </w:r>
    </w:p>
    <w:p w:rsidR="00D03A9F" w:rsidRPr="007C2D51" w:rsidRDefault="00D03A9F" w:rsidP="00D03A9F">
      <w:pPr>
        <w:pStyle w:val="Caption"/>
      </w:pPr>
      <w:bookmarkStart w:id="145" w:name="_Toc304967480"/>
      <w:r w:rsidRPr="007C2D51">
        <w:lastRenderedPageBreak/>
        <w:t xml:space="preserve">Table </w:t>
      </w:r>
      <w:r w:rsidR="00022E2F" w:rsidRPr="007C2D51">
        <w:fldChar w:fldCharType="begin"/>
      </w:r>
      <w:r w:rsidR="00FB3E36" w:rsidRPr="007C2D51">
        <w:instrText xml:space="preserve"> STYLEREF 1 \s </w:instrText>
      </w:r>
      <w:r w:rsidR="00022E2F" w:rsidRPr="007C2D51">
        <w:fldChar w:fldCharType="separate"/>
      </w:r>
      <w:r w:rsidR="00F35ACC">
        <w:rPr>
          <w:noProof/>
        </w:rPr>
        <w:t>6</w:t>
      </w:r>
      <w:r w:rsidR="00022E2F" w:rsidRPr="007C2D51">
        <w:fldChar w:fldCharType="end"/>
      </w:r>
      <w:r w:rsidR="00FB3E36" w:rsidRPr="007C2D51">
        <w:noBreakHyphen/>
      </w:r>
      <w:r w:rsidR="00022E2F" w:rsidRPr="007C2D51">
        <w:fldChar w:fldCharType="begin"/>
      </w:r>
      <w:r w:rsidR="00FB3E36" w:rsidRPr="007C2D51">
        <w:instrText xml:space="preserve"> SEQ Table \* ARABIC \s 1 </w:instrText>
      </w:r>
      <w:r w:rsidR="00022E2F" w:rsidRPr="007C2D51">
        <w:fldChar w:fldCharType="separate"/>
      </w:r>
      <w:r w:rsidR="00F35ACC">
        <w:rPr>
          <w:noProof/>
        </w:rPr>
        <w:t>3</w:t>
      </w:r>
      <w:r w:rsidR="00022E2F" w:rsidRPr="007C2D51">
        <w:fldChar w:fldCharType="end"/>
      </w:r>
      <w:r w:rsidRPr="007C2D51">
        <w:rPr>
          <w:b w:val="0"/>
          <w:bCs w:val="0"/>
        </w:rPr>
        <w:br/>
      </w:r>
      <w:r w:rsidRPr="007C2D51">
        <w:t xml:space="preserve">JARC Service Matrix – Distribution of Services by Primary </w:t>
      </w:r>
      <w:r w:rsidR="008844B6" w:rsidRPr="007C2D51">
        <w:t xml:space="preserve">Goal </w:t>
      </w:r>
      <w:r w:rsidRPr="007C2D51">
        <w:br/>
        <w:t>(Percentage by column)</w:t>
      </w:r>
      <w:bookmarkEnd w:id="145"/>
    </w:p>
    <w:tbl>
      <w:tblPr>
        <w:tblStyle w:val="LightList-Accent6"/>
        <w:tblpPr w:leftFromText="180" w:rightFromText="180" w:vertAnchor="page" w:horzAnchor="margin" w:tblpY="2248"/>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80"/>
        <w:gridCol w:w="1296"/>
        <w:gridCol w:w="1296"/>
        <w:gridCol w:w="1296"/>
        <w:gridCol w:w="1296"/>
        <w:gridCol w:w="1296"/>
      </w:tblGrid>
      <w:tr w:rsidR="00F4711D" w:rsidRPr="007C2D51" w:rsidTr="00F15767">
        <w:trPr>
          <w:cnfStyle w:val="100000000000"/>
          <w:trHeight w:val="300"/>
        </w:trPr>
        <w:tc>
          <w:tcPr>
            <w:cnfStyle w:val="001000000000"/>
            <w:tcW w:w="2880" w:type="dxa"/>
            <w:noWrap/>
            <w:vAlign w:val="bottom"/>
          </w:tcPr>
          <w:p w:rsidR="00F4711D" w:rsidRPr="007C2D51" w:rsidRDefault="00F4711D" w:rsidP="004A7F1F">
            <w:pPr>
              <w:jc w:val="right"/>
            </w:pPr>
          </w:p>
        </w:tc>
        <w:tc>
          <w:tcPr>
            <w:tcW w:w="6480" w:type="dxa"/>
            <w:gridSpan w:val="5"/>
            <w:noWrap/>
            <w:vAlign w:val="bottom"/>
          </w:tcPr>
          <w:p w:rsidR="00F4711D" w:rsidRPr="007C2D51" w:rsidRDefault="00F4711D" w:rsidP="004A7F1F">
            <w:pPr>
              <w:jc w:val="center"/>
              <w:cnfStyle w:val="100000000000"/>
            </w:pPr>
            <w:r w:rsidRPr="007C2D51">
              <w:t>Primary Goal</w:t>
            </w:r>
          </w:p>
        </w:tc>
      </w:tr>
      <w:tr w:rsidR="00F4711D" w:rsidRPr="007C2D51" w:rsidTr="00F15767">
        <w:trPr>
          <w:cnfStyle w:val="000000100000"/>
          <w:trHeight w:val="300"/>
        </w:trPr>
        <w:tc>
          <w:tcPr>
            <w:cnfStyle w:val="001000000000"/>
            <w:tcW w:w="2880" w:type="dxa"/>
            <w:tcBorders>
              <w:top w:val="none" w:sz="0" w:space="0" w:color="auto"/>
              <w:left w:val="none" w:sz="0" w:space="0" w:color="auto"/>
              <w:bottom w:val="none" w:sz="0" w:space="0" w:color="auto"/>
            </w:tcBorders>
            <w:noWrap/>
            <w:vAlign w:val="bottom"/>
          </w:tcPr>
          <w:p w:rsidR="00F4711D" w:rsidRPr="007C2D51" w:rsidRDefault="00F4711D" w:rsidP="004A7F1F">
            <w:r w:rsidRPr="007C2D51">
              <w:t>Service Type</w:t>
            </w:r>
          </w:p>
        </w:tc>
        <w:tc>
          <w:tcPr>
            <w:tcW w:w="1296" w:type="dxa"/>
            <w:tcBorders>
              <w:top w:val="none" w:sz="0" w:space="0" w:color="auto"/>
              <w:bottom w:val="none" w:sz="0" w:space="0" w:color="auto"/>
            </w:tcBorders>
            <w:noWrap/>
            <w:vAlign w:val="bottom"/>
          </w:tcPr>
          <w:p w:rsidR="00F4711D" w:rsidRPr="007C2D51" w:rsidRDefault="00F4711D" w:rsidP="004A7F1F">
            <w:pPr>
              <w:jc w:val="center"/>
              <w:cnfStyle w:val="000000100000"/>
            </w:pPr>
            <w:r w:rsidRPr="007C2D51">
              <w:t>(A)</w:t>
            </w:r>
            <w:r w:rsidRPr="007C2D51">
              <w:br/>
              <w:t>Expanded geographic coverage</w:t>
            </w:r>
          </w:p>
        </w:tc>
        <w:tc>
          <w:tcPr>
            <w:tcW w:w="1296" w:type="dxa"/>
            <w:tcBorders>
              <w:top w:val="none" w:sz="0" w:space="0" w:color="auto"/>
              <w:bottom w:val="none" w:sz="0" w:space="0" w:color="auto"/>
            </w:tcBorders>
            <w:noWrap/>
            <w:vAlign w:val="bottom"/>
          </w:tcPr>
          <w:p w:rsidR="00F4711D" w:rsidRPr="007C2D51" w:rsidRDefault="00F4711D" w:rsidP="004A7F1F">
            <w:pPr>
              <w:jc w:val="center"/>
              <w:cnfStyle w:val="000000100000"/>
            </w:pPr>
            <w:r w:rsidRPr="007C2D51">
              <w:t>(B)</w:t>
            </w:r>
            <w:r w:rsidRPr="007C2D51">
              <w:br/>
              <w:t>Extended hours/days of service</w:t>
            </w:r>
          </w:p>
        </w:tc>
        <w:tc>
          <w:tcPr>
            <w:tcW w:w="1296" w:type="dxa"/>
            <w:tcBorders>
              <w:top w:val="none" w:sz="0" w:space="0" w:color="auto"/>
              <w:bottom w:val="none" w:sz="0" w:space="0" w:color="auto"/>
            </w:tcBorders>
            <w:noWrap/>
            <w:vAlign w:val="bottom"/>
          </w:tcPr>
          <w:p w:rsidR="00F4711D" w:rsidRPr="007C2D51" w:rsidRDefault="00F4711D" w:rsidP="004A7F1F">
            <w:pPr>
              <w:jc w:val="center"/>
              <w:cnfStyle w:val="000000100000"/>
            </w:pPr>
            <w:r w:rsidRPr="007C2D51">
              <w:t>(C)</w:t>
            </w:r>
            <w:r w:rsidRPr="007C2D51">
              <w:br/>
              <w:t>Improved system capacity</w:t>
            </w:r>
          </w:p>
        </w:tc>
        <w:tc>
          <w:tcPr>
            <w:tcW w:w="1296" w:type="dxa"/>
            <w:tcBorders>
              <w:top w:val="none" w:sz="0" w:space="0" w:color="auto"/>
              <w:bottom w:val="none" w:sz="0" w:space="0" w:color="auto"/>
            </w:tcBorders>
            <w:noWrap/>
            <w:vAlign w:val="bottom"/>
          </w:tcPr>
          <w:p w:rsidR="00F4711D" w:rsidRPr="007C2D51" w:rsidRDefault="00F4711D" w:rsidP="004A7F1F">
            <w:pPr>
              <w:jc w:val="center"/>
              <w:cnfStyle w:val="000000100000"/>
            </w:pPr>
            <w:r w:rsidRPr="007C2D51">
              <w:t>(D)</w:t>
            </w:r>
            <w:r w:rsidRPr="007C2D51">
              <w:br/>
              <w:t>Improved access/</w:t>
            </w:r>
          </w:p>
          <w:p w:rsidR="00F4711D" w:rsidRPr="007C2D51" w:rsidRDefault="00F4711D" w:rsidP="004A7F1F">
            <w:pPr>
              <w:jc w:val="center"/>
              <w:cnfStyle w:val="000000100000"/>
            </w:pPr>
            <w:r w:rsidRPr="007C2D51">
              <w:t>connections</w:t>
            </w:r>
          </w:p>
        </w:tc>
        <w:tc>
          <w:tcPr>
            <w:tcW w:w="1296" w:type="dxa"/>
            <w:tcBorders>
              <w:top w:val="none" w:sz="0" w:space="0" w:color="auto"/>
              <w:bottom w:val="none" w:sz="0" w:space="0" w:color="auto"/>
              <w:right w:val="none" w:sz="0" w:space="0" w:color="auto"/>
            </w:tcBorders>
            <w:noWrap/>
            <w:vAlign w:val="bottom"/>
          </w:tcPr>
          <w:p w:rsidR="00F4711D" w:rsidRPr="007C2D51" w:rsidRDefault="00F4711D" w:rsidP="004A7F1F">
            <w:pPr>
              <w:jc w:val="center"/>
              <w:cnfStyle w:val="000000100000"/>
            </w:pPr>
            <w:r w:rsidRPr="007C2D51">
              <w:t>(E)</w:t>
            </w:r>
            <w:r w:rsidRPr="007C2D51">
              <w:br/>
              <w:t>Improved customer knowledge</w:t>
            </w:r>
          </w:p>
        </w:tc>
      </w:tr>
      <w:tr w:rsidR="00F4711D" w:rsidRPr="007C2D51" w:rsidTr="00F15767">
        <w:trPr>
          <w:trHeight w:val="300"/>
        </w:trPr>
        <w:tc>
          <w:tcPr>
            <w:cnfStyle w:val="001000000000"/>
            <w:tcW w:w="2880" w:type="dxa"/>
            <w:shd w:val="clear" w:color="auto" w:fill="475A8D" w:themeFill="accent6"/>
            <w:noWrap/>
            <w:vAlign w:val="bottom"/>
          </w:tcPr>
          <w:p w:rsidR="00F4711D" w:rsidRPr="007C2D51" w:rsidRDefault="00F4711D" w:rsidP="004A7F1F">
            <w:pPr>
              <w:rPr>
                <w:color w:val="FFFFFF" w:themeColor="background1"/>
              </w:rPr>
            </w:pPr>
            <w:r w:rsidRPr="007C2D51">
              <w:rPr>
                <w:color w:val="FFFFFF" w:themeColor="background1"/>
              </w:rPr>
              <w:t>I.  Trip-Based</w:t>
            </w:r>
          </w:p>
        </w:tc>
        <w:tc>
          <w:tcPr>
            <w:tcW w:w="1296" w:type="dxa"/>
            <w:shd w:val="clear" w:color="auto" w:fill="475A8D" w:themeFill="accent6"/>
            <w:noWrap/>
            <w:vAlign w:val="bottom"/>
          </w:tcPr>
          <w:p w:rsidR="00F4711D" w:rsidRPr="007C2D51" w:rsidRDefault="00F4711D">
            <w:pPr>
              <w:jc w:val="right"/>
              <w:cnfStyle w:val="000000000000"/>
              <w:rPr>
                <w:rFonts w:cs="Calibri"/>
                <w:b/>
                <w:bCs/>
                <w:color w:val="FFFFFF" w:themeColor="background1"/>
              </w:rPr>
            </w:pPr>
            <w:r w:rsidRPr="007C2D51">
              <w:rPr>
                <w:rFonts w:cs="Calibri"/>
                <w:b/>
                <w:bCs/>
                <w:color w:val="FFFFFF" w:themeColor="background1"/>
              </w:rPr>
              <w:t>95%</w:t>
            </w:r>
          </w:p>
        </w:tc>
        <w:tc>
          <w:tcPr>
            <w:tcW w:w="1296" w:type="dxa"/>
            <w:shd w:val="clear" w:color="auto" w:fill="475A8D" w:themeFill="accent6"/>
            <w:noWrap/>
            <w:vAlign w:val="bottom"/>
          </w:tcPr>
          <w:p w:rsidR="00F4711D" w:rsidRPr="007C2D51" w:rsidRDefault="00F4711D">
            <w:pPr>
              <w:jc w:val="right"/>
              <w:cnfStyle w:val="000000000000"/>
              <w:rPr>
                <w:rFonts w:cs="Calibri"/>
                <w:b/>
                <w:bCs/>
                <w:color w:val="FFFFFF" w:themeColor="background1"/>
              </w:rPr>
            </w:pPr>
            <w:r w:rsidRPr="007C2D51">
              <w:rPr>
                <w:rFonts w:cs="Calibri"/>
                <w:b/>
                <w:bCs/>
                <w:color w:val="FFFFFF" w:themeColor="background1"/>
              </w:rPr>
              <w:t>97%</w:t>
            </w:r>
          </w:p>
        </w:tc>
        <w:tc>
          <w:tcPr>
            <w:tcW w:w="1296" w:type="dxa"/>
            <w:shd w:val="clear" w:color="auto" w:fill="475A8D" w:themeFill="accent6"/>
            <w:noWrap/>
            <w:vAlign w:val="bottom"/>
          </w:tcPr>
          <w:p w:rsidR="00F4711D" w:rsidRPr="007C2D51" w:rsidRDefault="00F4711D">
            <w:pPr>
              <w:jc w:val="right"/>
              <w:cnfStyle w:val="000000000000"/>
              <w:rPr>
                <w:rFonts w:cs="Calibri"/>
                <w:b/>
                <w:bCs/>
                <w:color w:val="FFFFFF" w:themeColor="background1"/>
              </w:rPr>
            </w:pPr>
            <w:r w:rsidRPr="007C2D51">
              <w:rPr>
                <w:rFonts w:cs="Calibri"/>
                <w:b/>
                <w:bCs/>
                <w:color w:val="FFFFFF" w:themeColor="background1"/>
              </w:rPr>
              <w:t>83%</w:t>
            </w:r>
          </w:p>
        </w:tc>
        <w:tc>
          <w:tcPr>
            <w:tcW w:w="1296" w:type="dxa"/>
            <w:shd w:val="clear" w:color="auto" w:fill="475A8D" w:themeFill="accent6"/>
            <w:noWrap/>
            <w:vAlign w:val="bottom"/>
          </w:tcPr>
          <w:p w:rsidR="00F4711D" w:rsidRPr="007C2D51" w:rsidRDefault="00F4711D">
            <w:pPr>
              <w:jc w:val="right"/>
              <w:cnfStyle w:val="000000000000"/>
              <w:rPr>
                <w:rFonts w:cs="Calibri"/>
                <w:b/>
                <w:bCs/>
                <w:color w:val="FFFFFF" w:themeColor="background1"/>
              </w:rPr>
            </w:pPr>
            <w:r w:rsidRPr="007C2D51">
              <w:rPr>
                <w:rFonts w:cs="Calibri"/>
                <w:b/>
                <w:bCs/>
                <w:color w:val="FFFFFF" w:themeColor="background1"/>
              </w:rPr>
              <w:t>64%</w:t>
            </w:r>
          </w:p>
        </w:tc>
        <w:tc>
          <w:tcPr>
            <w:tcW w:w="1296" w:type="dxa"/>
            <w:shd w:val="clear" w:color="auto" w:fill="475A8D" w:themeFill="accent6"/>
            <w:noWrap/>
            <w:vAlign w:val="bottom"/>
          </w:tcPr>
          <w:p w:rsidR="00F4711D" w:rsidRPr="007C2D51" w:rsidRDefault="00F4711D">
            <w:pPr>
              <w:jc w:val="right"/>
              <w:cnfStyle w:val="000000000000"/>
              <w:rPr>
                <w:rFonts w:cs="Calibri"/>
                <w:b/>
                <w:bCs/>
                <w:color w:val="FFFFFF" w:themeColor="background1"/>
              </w:rPr>
            </w:pPr>
            <w:r w:rsidRPr="007C2D51">
              <w:rPr>
                <w:rFonts w:cs="Calibri"/>
                <w:b/>
                <w:bCs/>
                <w:color w:val="FFFFFF" w:themeColor="background1"/>
              </w:rPr>
              <w:t>0%</w:t>
            </w:r>
          </w:p>
        </w:tc>
      </w:tr>
      <w:tr w:rsidR="00F4711D" w:rsidRPr="007C2D51" w:rsidTr="00F15767">
        <w:trPr>
          <w:cnfStyle w:val="000000100000"/>
          <w:trHeight w:val="300"/>
        </w:trPr>
        <w:tc>
          <w:tcPr>
            <w:cnfStyle w:val="001000000000"/>
            <w:tcW w:w="2880" w:type="dxa"/>
            <w:tcBorders>
              <w:top w:val="none" w:sz="0" w:space="0" w:color="auto"/>
              <w:left w:val="none" w:sz="0" w:space="0" w:color="auto"/>
              <w:bottom w:val="none" w:sz="0" w:space="0" w:color="auto"/>
            </w:tcBorders>
            <w:noWrap/>
            <w:vAlign w:val="bottom"/>
          </w:tcPr>
          <w:p w:rsidR="00F4711D" w:rsidRPr="007C2D51" w:rsidRDefault="00F4711D" w:rsidP="00526171">
            <w:pPr>
              <w:pStyle w:val="ListParagraph"/>
              <w:numPr>
                <w:ilvl w:val="0"/>
                <w:numId w:val="26"/>
              </w:numPr>
            </w:pPr>
            <w:r w:rsidRPr="007C2D51">
              <w:t>Fixed route</w:t>
            </w:r>
          </w:p>
        </w:tc>
        <w:tc>
          <w:tcPr>
            <w:tcW w:w="1296" w:type="dxa"/>
            <w:tcBorders>
              <w:top w:val="none" w:sz="0" w:space="0" w:color="auto"/>
              <w:bottom w:val="none" w:sz="0" w:space="0" w:color="auto"/>
            </w:tcBorders>
            <w:noWrap/>
            <w:vAlign w:val="bottom"/>
          </w:tcPr>
          <w:p w:rsidR="00F4711D" w:rsidRPr="007C2D51" w:rsidRDefault="00F4711D">
            <w:pPr>
              <w:jc w:val="right"/>
              <w:cnfStyle w:val="000000100000"/>
              <w:rPr>
                <w:rFonts w:cs="Calibri"/>
                <w:color w:val="000000"/>
              </w:rPr>
            </w:pPr>
            <w:r w:rsidRPr="007C2D51">
              <w:rPr>
                <w:rFonts w:cs="Calibri"/>
                <w:color w:val="000000"/>
              </w:rPr>
              <w:t>54%</w:t>
            </w:r>
          </w:p>
        </w:tc>
        <w:tc>
          <w:tcPr>
            <w:tcW w:w="1296" w:type="dxa"/>
            <w:tcBorders>
              <w:top w:val="none" w:sz="0" w:space="0" w:color="auto"/>
              <w:bottom w:val="none" w:sz="0" w:space="0" w:color="auto"/>
            </w:tcBorders>
            <w:noWrap/>
            <w:vAlign w:val="bottom"/>
          </w:tcPr>
          <w:p w:rsidR="00F4711D" w:rsidRPr="007C2D51" w:rsidRDefault="00F4711D">
            <w:pPr>
              <w:jc w:val="right"/>
              <w:cnfStyle w:val="000000100000"/>
              <w:rPr>
                <w:rFonts w:cs="Calibri"/>
                <w:color w:val="000000"/>
              </w:rPr>
            </w:pPr>
            <w:r w:rsidRPr="007C2D51">
              <w:rPr>
                <w:rFonts w:cs="Calibri"/>
                <w:color w:val="000000"/>
              </w:rPr>
              <w:t>57%</w:t>
            </w:r>
          </w:p>
        </w:tc>
        <w:tc>
          <w:tcPr>
            <w:tcW w:w="1296" w:type="dxa"/>
            <w:tcBorders>
              <w:top w:val="none" w:sz="0" w:space="0" w:color="auto"/>
              <w:bottom w:val="none" w:sz="0" w:space="0" w:color="auto"/>
            </w:tcBorders>
            <w:noWrap/>
            <w:vAlign w:val="bottom"/>
          </w:tcPr>
          <w:p w:rsidR="00F4711D" w:rsidRPr="007C2D51" w:rsidRDefault="00F4711D">
            <w:pPr>
              <w:jc w:val="right"/>
              <w:cnfStyle w:val="000000100000"/>
              <w:rPr>
                <w:rFonts w:cs="Calibri"/>
                <w:color w:val="000000"/>
              </w:rPr>
            </w:pPr>
            <w:r w:rsidRPr="007C2D51">
              <w:rPr>
                <w:rFonts w:cs="Calibri"/>
                <w:color w:val="000000"/>
              </w:rPr>
              <w:t>27%</w:t>
            </w:r>
          </w:p>
        </w:tc>
        <w:tc>
          <w:tcPr>
            <w:tcW w:w="1296" w:type="dxa"/>
            <w:tcBorders>
              <w:top w:val="none" w:sz="0" w:space="0" w:color="auto"/>
              <w:bottom w:val="none" w:sz="0" w:space="0" w:color="auto"/>
            </w:tcBorders>
            <w:noWrap/>
            <w:vAlign w:val="bottom"/>
          </w:tcPr>
          <w:p w:rsidR="00F4711D" w:rsidRPr="007C2D51" w:rsidRDefault="00F4711D">
            <w:pPr>
              <w:jc w:val="right"/>
              <w:cnfStyle w:val="000000100000"/>
              <w:rPr>
                <w:rFonts w:cs="Calibri"/>
                <w:color w:val="000000"/>
              </w:rPr>
            </w:pPr>
            <w:r w:rsidRPr="007C2D51">
              <w:rPr>
                <w:rFonts w:cs="Calibri"/>
                <w:color w:val="000000"/>
              </w:rPr>
              <w:t>23%</w:t>
            </w:r>
          </w:p>
        </w:tc>
        <w:tc>
          <w:tcPr>
            <w:tcW w:w="1296" w:type="dxa"/>
            <w:tcBorders>
              <w:top w:val="none" w:sz="0" w:space="0" w:color="auto"/>
              <w:bottom w:val="none" w:sz="0" w:space="0" w:color="auto"/>
              <w:right w:val="none" w:sz="0" w:space="0" w:color="auto"/>
            </w:tcBorders>
            <w:shd w:val="clear" w:color="auto" w:fill="D9D9D9" w:themeFill="background1" w:themeFillShade="D9"/>
            <w:noWrap/>
            <w:vAlign w:val="bottom"/>
          </w:tcPr>
          <w:p w:rsidR="00F4711D" w:rsidRPr="007C2D51" w:rsidRDefault="00F4711D">
            <w:pPr>
              <w:jc w:val="right"/>
              <w:cnfStyle w:val="000000100000"/>
              <w:rPr>
                <w:rFonts w:cs="Calibri"/>
                <w:color w:val="000000"/>
              </w:rPr>
            </w:pPr>
          </w:p>
        </w:tc>
      </w:tr>
      <w:tr w:rsidR="00F4711D" w:rsidRPr="007C2D51" w:rsidTr="00F15767">
        <w:trPr>
          <w:trHeight w:val="300"/>
        </w:trPr>
        <w:tc>
          <w:tcPr>
            <w:cnfStyle w:val="001000000000"/>
            <w:tcW w:w="2880" w:type="dxa"/>
            <w:noWrap/>
            <w:vAlign w:val="bottom"/>
          </w:tcPr>
          <w:p w:rsidR="00F4711D" w:rsidRPr="007C2D51" w:rsidRDefault="00F4711D" w:rsidP="00526171">
            <w:pPr>
              <w:pStyle w:val="ListParagraph"/>
              <w:numPr>
                <w:ilvl w:val="0"/>
                <w:numId w:val="26"/>
              </w:numPr>
            </w:pPr>
            <w:r w:rsidRPr="007C2D51">
              <w:t>Flexible routing</w:t>
            </w:r>
          </w:p>
        </w:tc>
        <w:tc>
          <w:tcPr>
            <w:tcW w:w="1296" w:type="dxa"/>
            <w:noWrap/>
            <w:vAlign w:val="bottom"/>
          </w:tcPr>
          <w:p w:rsidR="00F4711D" w:rsidRPr="007C2D51" w:rsidRDefault="00F4711D">
            <w:pPr>
              <w:jc w:val="right"/>
              <w:cnfStyle w:val="000000000000"/>
              <w:rPr>
                <w:rFonts w:cs="Calibri"/>
                <w:color w:val="000000"/>
              </w:rPr>
            </w:pPr>
            <w:r w:rsidRPr="007C2D51">
              <w:rPr>
                <w:rFonts w:cs="Calibri"/>
                <w:color w:val="000000"/>
              </w:rPr>
              <w:t>8%</w:t>
            </w:r>
          </w:p>
        </w:tc>
        <w:tc>
          <w:tcPr>
            <w:tcW w:w="1296" w:type="dxa"/>
            <w:noWrap/>
            <w:vAlign w:val="bottom"/>
          </w:tcPr>
          <w:p w:rsidR="00F4711D" w:rsidRPr="007C2D51" w:rsidRDefault="00F4711D">
            <w:pPr>
              <w:jc w:val="right"/>
              <w:cnfStyle w:val="000000000000"/>
              <w:rPr>
                <w:rFonts w:cs="Calibri"/>
                <w:color w:val="000000"/>
              </w:rPr>
            </w:pPr>
            <w:r w:rsidRPr="007C2D51">
              <w:rPr>
                <w:rFonts w:cs="Calibri"/>
                <w:color w:val="000000"/>
              </w:rPr>
              <w:t>9%</w:t>
            </w:r>
          </w:p>
        </w:tc>
        <w:tc>
          <w:tcPr>
            <w:tcW w:w="1296" w:type="dxa"/>
            <w:noWrap/>
            <w:vAlign w:val="bottom"/>
          </w:tcPr>
          <w:p w:rsidR="00F4711D" w:rsidRPr="007C2D51" w:rsidRDefault="00F4711D">
            <w:pPr>
              <w:jc w:val="right"/>
              <w:cnfStyle w:val="000000000000"/>
              <w:rPr>
                <w:rFonts w:cs="Calibri"/>
                <w:color w:val="000000"/>
              </w:rPr>
            </w:pPr>
            <w:r w:rsidRPr="007C2D51">
              <w:rPr>
                <w:rFonts w:cs="Calibri"/>
                <w:color w:val="000000"/>
              </w:rPr>
              <w:t>6%</w:t>
            </w:r>
          </w:p>
        </w:tc>
        <w:tc>
          <w:tcPr>
            <w:tcW w:w="1296" w:type="dxa"/>
            <w:noWrap/>
            <w:vAlign w:val="bottom"/>
          </w:tcPr>
          <w:p w:rsidR="00F4711D" w:rsidRPr="007C2D51" w:rsidRDefault="00F4711D">
            <w:pPr>
              <w:jc w:val="right"/>
              <w:cnfStyle w:val="000000000000"/>
              <w:rPr>
                <w:rFonts w:cs="Calibri"/>
                <w:color w:val="000000"/>
              </w:rPr>
            </w:pPr>
            <w:r w:rsidRPr="007C2D51">
              <w:rPr>
                <w:rFonts w:cs="Calibri"/>
                <w:color w:val="000000"/>
              </w:rPr>
              <w:t>3%</w:t>
            </w:r>
          </w:p>
        </w:tc>
        <w:tc>
          <w:tcPr>
            <w:tcW w:w="1296" w:type="dxa"/>
            <w:shd w:val="clear" w:color="auto" w:fill="D9D9D9" w:themeFill="background1" w:themeFillShade="D9"/>
            <w:noWrap/>
            <w:vAlign w:val="bottom"/>
          </w:tcPr>
          <w:p w:rsidR="00F4711D" w:rsidRPr="007C2D51" w:rsidRDefault="00F4711D">
            <w:pPr>
              <w:jc w:val="right"/>
              <w:cnfStyle w:val="000000000000"/>
              <w:rPr>
                <w:rFonts w:cs="Calibri"/>
                <w:color w:val="000000"/>
              </w:rPr>
            </w:pPr>
          </w:p>
        </w:tc>
      </w:tr>
      <w:tr w:rsidR="00F4711D" w:rsidRPr="007C2D51" w:rsidTr="00F15767">
        <w:trPr>
          <w:cnfStyle w:val="000000100000"/>
          <w:trHeight w:val="300"/>
        </w:trPr>
        <w:tc>
          <w:tcPr>
            <w:cnfStyle w:val="001000000000"/>
            <w:tcW w:w="2880" w:type="dxa"/>
            <w:tcBorders>
              <w:top w:val="none" w:sz="0" w:space="0" w:color="auto"/>
              <w:left w:val="none" w:sz="0" w:space="0" w:color="auto"/>
              <w:bottom w:val="none" w:sz="0" w:space="0" w:color="auto"/>
            </w:tcBorders>
            <w:noWrap/>
            <w:vAlign w:val="bottom"/>
          </w:tcPr>
          <w:p w:rsidR="00F4711D" w:rsidRPr="007C2D51" w:rsidRDefault="00F4711D" w:rsidP="00526171">
            <w:pPr>
              <w:pStyle w:val="ListParagraph"/>
              <w:numPr>
                <w:ilvl w:val="0"/>
                <w:numId w:val="26"/>
              </w:numPr>
            </w:pPr>
            <w:r w:rsidRPr="007C2D51">
              <w:t>Shuttle/Feeders</w:t>
            </w:r>
          </w:p>
        </w:tc>
        <w:tc>
          <w:tcPr>
            <w:tcW w:w="1296" w:type="dxa"/>
            <w:tcBorders>
              <w:top w:val="none" w:sz="0" w:space="0" w:color="auto"/>
              <w:bottom w:val="none" w:sz="0" w:space="0" w:color="auto"/>
            </w:tcBorders>
            <w:noWrap/>
            <w:vAlign w:val="bottom"/>
          </w:tcPr>
          <w:p w:rsidR="00F4711D" w:rsidRPr="007C2D51" w:rsidRDefault="00F4711D">
            <w:pPr>
              <w:jc w:val="right"/>
              <w:cnfStyle w:val="000000100000"/>
              <w:rPr>
                <w:rFonts w:cs="Calibri"/>
                <w:color w:val="000000"/>
              </w:rPr>
            </w:pPr>
            <w:r w:rsidRPr="007C2D51">
              <w:rPr>
                <w:rFonts w:cs="Calibri"/>
                <w:color w:val="000000"/>
              </w:rPr>
              <w:t>9%</w:t>
            </w:r>
          </w:p>
        </w:tc>
        <w:tc>
          <w:tcPr>
            <w:tcW w:w="1296" w:type="dxa"/>
            <w:tcBorders>
              <w:top w:val="none" w:sz="0" w:space="0" w:color="auto"/>
              <w:bottom w:val="none" w:sz="0" w:space="0" w:color="auto"/>
            </w:tcBorders>
            <w:noWrap/>
            <w:vAlign w:val="bottom"/>
          </w:tcPr>
          <w:p w:rsidR="00F4711D" w:rsidRPr="007C2D51" w:rsidRDefault="00F4711D">
            <w:pPr>
              <w:jc w:val="right"/>
              <w:cnfStyle w:val="000000100000"/>
              <w:rPr>
                <w:rFonts w:cs="Calibri"/>
                <w:color w:val="000000"/>
              </w:rPr>
            </w:pPr>
            <w:r w:rsidRPr="007C2D51">
              <w:rPr>
                <w:rFonts w:cs="Calibri"/>
                <w:color w:val="000000"/>
              </w:rPr>
              <w:t>1%</w:t>
            </w:r>
          </w:p>
        </w:tc>
        <w:tc>
          <w:tcPr>
            <w:tcW w:w="1296" w:type="dxa"/>
            <w:tcBorders>
              <w:top w:val="none" w:sz="0" w:space="0" w:color="auto"/>
              <w:bottom w:val="none" w:sz="0" w:space="0" w:color="auto"/>
            </w:tcBorders>
            <w:noWrap/>
            <w:vAlign w:val="bottom"/>
          </w:tcPr>
          <w:p w:rsidR="00F4711D" w:rsidRPr="007C2D51" w:rsidRDefault="00F4711D">
            <w:pPr>
              <w:jc w:val="right"/>
              <w:cnfStyle w:val="000000100000"/>
              <w:rPr>
                <w:rFonts w:cs="Calibri"/>
                <w:color w:val="000000"/>
              </w:rPr>
            </w:pPr>
            <w:r w:rsidRPr="007C2D51">
              <w:rPr>
                <w:rFonts w:cs="Calibri"/>
                <w:color w:val="000000"/>
              </w:rPr>
              <w:t>5%</w:t>
            </w:r>
          </w:p>
        </w:tc>
        <w:tc>
          <w:tcPr>
            <w:tcW w:w="1296" w:type="dxa"/>
            <w:tcBorders>
              <w:top w:val="none" w:sz="0" w:space="0" w:color="auto"/>
              <w:bottom w:val="none" w:sz="0" w:space="0" w:color="auto"/>
            </w:tcBorders>
            <w:noWrap/>
            <w:vAlign w:val="bottom"/>
          </w:tcPr>
          <w:p w:rsidR="00F4711D" w:rsidRPr="007C2D51" w:rsidRDefault="00F4711D">
            <w:pPr>
              <w:jc w:val="right"/>
              <w:cnfStyle w:val="000000100000"/>
              <w:rPr>
                <w:rFonts w:cs="Calibri"/>
                <w:color w:val="000000"/>
              </w:rPr>
            </w:pPr>
            <w:r w:rsidRPr="007C2D51">
              <w:rPr>
                <w:rFonts w:cs="Calibri"/>
                <w:color w:val="000000"/>
              </w:rPr>
              <w:t>5%</w:t>
            </w:r>
          </w:p>
        </w:tc>
        <w:tc>
          <w:tcPr>
            <w:tcW w:w="1296" w:type="dxa"/>
            <w:tcBorders>
              <w:top w:val="none" w:sz="0" w:space="0" w:color="auto"/>
              <w:bottom w:val="none" w:sz="0" w:space="0" w:color="auto"/>
              <w:right w:val="none" w:sz="0" w:space="0" w:color="auto"/>
            </w:tcBorders>
            <w:shd w:val="clear" w:color="auto" w:fill="D9D9D9" w:themeFill="background1" w:themeFillShade="D9"/>
            <w:noWrap/>
            <w:vAlign w:val="bottom"/>
          </w:tcPr>
          <w:p w:rsidR="00F4711D" w:rsidRPr="007C2D51" w:rsidRDefault="00F4711D">
            <w:pPr>
              <w:jc w:val="right"/>
              <w:cnfStyle w:val="000000100000"/>
              <w:rPr>
                <w:rFonts w:cs="Calibri"/>
                <w:color w:val="000000"/>
              </w:rPr>
            </w:pPr>
          </w:p>
        </w:tc>
      </w:tr>
      <w:tr w:rsidR="00F4711D" w:rsidRPr="007C2D51" w:rsidTr="00F15767">
        <w:trPr>
          <w:trHeight w:val="300"/>
        </w:trPr>
        <w:tc>
          <w:tcPr>
            <w:cnfStyle w:val="001000000000"/>
            <w:tcW w:w="2880" w:type="dxa"/>
            <w:noWrap/>
            <w:vAlign w:val="bottom"/>
          </w:tcPr>
          <w:p w:rsidR="00F4711D" w:rsidRPr="007C2D51" w:rsidRDefault="00F4711D" w:rsidP="00526171">
            <w:pPr>
              <w:pStyle w:val="ListParagraph"/>
              <w:numPr>
                <w:ilvl w:val="0"/>
                <w:numId w:val="26"/>
              </w:numPr>
            </w:pPr>
            <w:r w:rsidRPr="007C2D51">
              <w:t>Demand response</w:t>
            </w:r>
          </w:p>
        </w:tc>
        <w:tc>
          <w:tcPr>
            <w:tcW w:w="1296" w:type="dxa"/>
            <w:noWrap/>
            <w:vAlign w:val="bottom"/>
          </w:tcPr>
          <w:p w:rsidR="00F4711D" w:rsidRPr="007C2D51" w:rsidRDefault="00F4711D">
            <w:pPr>
              <w:jc w:val="right"/>
              <w:cnfStyle w:val="000000000000"/>
              <w:rPr>
                <w:rFonts w:cs="Calibri"/>
                <w:color w:val="000000"/>
              </w:rPr>
            </w:pPr>
            <w:r w:rsidRPr="007C2D51">
              <w:rPr>
                <w:rFonts w:cs="Calibri"/>
                <w:color w:val="000000"/>
              </w:rPr>
              <w:t>23%</w:t>
            </w:r>
          </w:p>
        </w:tc>
        <w:tc>
          <w:tcPr>
            <w:tcW w:w="1296" w:type="dxa"/>
            <w:noWrap/>
            <w:vAlign w:val="bottom"/>
          </w:tcPr>
          <w:p w:rsidR="00F4711D" w:rsidRPr="007C2D51" w:rsidRDefault="00F4711D">
            <w:pPr>
              <w:jc w:val="right"/>
              <w:cnfStyle w:val="000000000000"/>
              <w:rPr>
                <w:rFonts w:cs="Calibri"/>
                <w:color w:val="000000"/>
              </w:rPr>
            </w:pPr>
            <w:r w:rsidRPr="007C2D51">
              <w:rPr>
                <w:rFonts w:cs="Calibri"/>
                <w:color w:val="000000"/>
              </w:rPr>
              <w:t>29%</w:t>
            </w:r>
          </w:p>
        </w:tc>
        <w:tc>
          <w:tcPr>
            <w:tcW w:w="1296" w:type="dxa"/>
            <w:noWrap/>
            <w:vAlign w:val="bottom"/>
          </w:tcPr>
          <w:p w:rsidR="00F4711D" w:rsidRPr="007C2D51" w:rsidRDefault="00F4711D">
            <w:pPr>
              <w:jc w:val="right"/>
              <w:cnfStyle w:val="000000000000"/>
              <w:rPr>
                <w:rFonts w:cs="Calibri"/>
                <w:color w:val="000000"/>
              </w:rPr>
            </w:pPr>
            <w:r w:rsidRPr="007C2D51">
              <w:rPr>
                <w:rFonts w:cs="Calibri"/>
                <w:color w:val="000000"/>
              </w:rPr>
              <w:t>35%</w:t>
            </w:r>
          </w:p>
        </w:tc>
        <w:tc>
          <w:tcPr>
            <w:tcW w:w="1296" w:type="dxa"/>
            <w:noWrap/>
            <w:vAlign w:val="bottom"/>
          </w:tcPr>
          <w:p w:rsidR="00F4711D" w:rsidRPr="007C2D51" w:rsidRDefault="00F4711D">
            <w:pPr>
              <w:jc w:val="right"/>
              <w:cnfStyle w:val="000000000000"/>
              <w:rPr>
                <w:rFonts w:cs="Calibri"/>
                <w:color w:val="000000"/>
              </w:rPr>
            </w:pPr>
            <w:r w:rsidRPr="007C2D51">
              <w:rPr>
                <w:rFonts w:cs="Calibri"/>
                <w:color w:val="000000"/>
              </w:rPr>
              <w:t>18%</w:t>
            </w:r>
          </w:p>
        </w:tc>
        <w:tc>
          <w:tcPr>
            <w:tcW w:w="1296" w:type="dxa"/>
            <w:shd w:val="clear" w:color="auto" w:fill="D9D9D9" w:themeFill="background1" w:themeFillShade="D9"/>
            <w:noWrap/>
            <w:vAlign w:val="bottom"/>
          </w:tcPr>
          <w:p w:rsidR="00F4711D" w:rsidRPr="007C2D51" w:rsidRDefault="00F4711D">
            <w:pPr>
              <w:jc w:val="right"/>
              <w:cnfStyle w:val="000000000000"/>
              <w:rPr>
                <w:rFonts w:cs="Calibri"/>
                <w:color w:val="000000"/>
              </w:rPr>
            </w:pPr>
          </w:p>
        </w:tc>
      </w:tr>
      <w:tr w:rsidR="00F4711D" w:rsidRPr="007C2D51" w:rsidTr="00F15767">
        <w:trPr>
          <w:cnfStyle w:val="000000100000"/>
          <w:trHeight w:val="300"/>
        </w:trPr>
        <w:tc>
          <w:tcPr>
            <w:cnfStyle w:val="001000000000"/>
            <w:tcW w:w="2880" w:type="dxa"/>
            <w:tcBorders>
              <w:top w:val="none" w:sz="0" w:space="0" w:color="auto"/>
              <w:left w:val="none" w:sz="0" w:space="0" w:color="auto"/>
              <w:bottom w:val="none" w:sz="0" w:space="0" w:color="auto"/>
            </w:tcBorders>
            <w:noWrap/>
            <w:vAlign w:val="bottom"/>
          </w:tcPr>
          <w:p w:rsidR="00F4711D" w:rsidRPr="007C2D51" w:rsidRDefault="00F4711D" w:rsidP="00526171">
            <w:pPr>
              <w:pStyle w:val="ListParagraph"/>
              <w:numPr>
                <w:ilvl w:val="0"/>
                <w:numId w:val="26"/>
              </w:numPr>
            </w:pPr>
            <w:r w:rsidRPr="007C2D51">
              <w:t>Vanpool service</w:t>
            </w:r>
          </w:p>
        </w:tc>
        <w:tc>
          <w:tcPr>
            <w:tcW w:w="1296" w:type="dxa"/>
            <w:tcBorders>
              <w:top w:val="none" w:sz="0" w:space="0" w:color="auto"/>
              <w:bottom w:val="none" w:sz="0" w:space="0" w:color="auto"/>
            </w:tcBorders>
            <w:shd w:val="clear" w:color="auto" w:fill="D9D9D9" w:themeFill="background1" w:themeFillShade="D9"/>
            <w:noWrap/>
            <w:vAlign w:val="bottom"/>
          </w:tcPr>
          <w:p w:rsidR="00F4711D" w:rsidRPr="007C2D51" w:rsidRDefault="00F4711D">
            <w:pPr>
              <w:jc w:val="right"/>
              <w:cnfStyle w:val="000000100000"/>
              <w:rPr>
                <w:rFonts w:cs="Calibri"/>
                <w:color w:val="000000"/>
              </w:rPr>
            </w:pPr>
          </w:p>
        </w:tc>
        <w:tc>
          <w:tcPr>
            <w:tcW w:w="1296" w:type="dxa"/>
            <w:tcBorders>
              <w:top w:val="none" w:sz="0" w:space="0" w:color="auto"/>
              <w:bottom w:val="none" w:sz="0" w:space="0" w:color="auto"/>
            </w:tcBorders>
            <w:shd w:val="clear" w:color="auto" w:fill="D9D9D9" w:themeFill="background1" w:themeFillShade="D9"/>
            <w:noWrap/>
            <w:vAlign w:val="bottom"/>
          </w:tcPr>
          <w:p w:rsidR="00F4711D" w:rsidRPr="007C2D51" w:rsidRDefault="00F4711D">
            <w:pPr>
              <w:jc w:val="right"/>
              <w:cnfStyle w:val="000000100000"/>
              <w:rPr>
                <w:rFonts w:cs="Calibri"/>
                <w:color w:val="000000"/>
              </w:rPr>
            </w:pPr>
          </w:p>
        </w:tc>
        <w:tc>
          <w:tcPr>
            <w:tcW w:w="1296" w:type="dxa"/>
            <w:tcBorders>
              <w:top w:val="none" w:sz="0" w:space="0" w:color="auto"/>
              <w:bottom w:val="none" w:sz="0" w:space="0" w:color="auto"/>
            </w:tcBorders>
            <w:noWrap/>
            <w:vAlign w:val="bottom"/>
          </w:tcPr>
          <w:p w:rsidR="00F4711D" w:rsidRPr="007C2D51" w:rsidRDefault="00F4711D">
            <w:pPr>
              <w:jc w:val="right"/>
              <w:cnfStyle w:val="000000100000"/>
              <w:rPr>
                <w:rFonts w:cs="Calibri"/>
                <w:color w:val="000000"/>
              </w:rPr>
            </w:pPr>
            <w:r w:rsidRPr="007C2D51">
              <w:rPr>
                <w:rFonts w:cs="Calibri"/>
                <w:color w:val="000000"/>
              </w:rPr>
              <w:t>6%</w:t>
            </w:r>
          </w:p>
        </w:tc>
        <w:tc>
          <w:tcPr>
            <w:tcW w:w="1296" w:type="dxa"/>
            <w:tcBorders>
              <w:top w:val="none" w:sz="0" w:space="0" w:color="auto"/>
              <w:bottom w:val="none" w:sz="0" w:space="0" w:color="auto"/>
            </w:tcBorders>
            <w:noWrap/>
            <w:vAlign w:val="bottom"/>
          </w:tcPr>
          <w:p w:rsidR="00F4711D" w:rsidRPr="007C2D51" w:rsidRDefault="00F4711D">
            <w:pPr>
              <w:jc w:val="right"/>
              <w:cnfStyle w:val="000000100000"/>
              <w:rPr>
                <w:rFonts w:cs="Calibri"/>
                <w:color w:val="000000"/>
              </w:rPr>
            </w:pPr>
            <w:r w:rsidRPr="007C2D51">
              <w:rPr>
                <w:rFonts w:cs="Calibri"/>
                <w:color w:val="000000"/>
              </w:rPr>
              <w:t>6%</w:t>
            </w:r>
          </w:p>
        </w:tc>
        <w:tc>
          <w:tcPr>
            <w:tcW w:w="1296" w:type="dxa"/>
            <w:tcBorders>
              <w:top w:val="none" w:sz="0" w:space="0" w:color="auto"/>
              <w:bottom w:val="none" w:sz="0" w:space="0" w:color="auto"/>
              <w:right w:val="none" w:sz="0" w:space="0" w:color="auto"/>
            </w:tcBorders>
            <w:shd w:val="clear" w:color="auto" w:fill="D9D9D9" w:themeFill="background1" w:themeFillShade="D9"/>
            <w:noWrap/>
            <w:vAlign w:val="bottom"/>
          </w:tcPr>
          <w:p w:rsidR="00F4711D" w:rsidRPr="007C2D51" w:rsidRDefault="00F4711D">
            <w:pPr>
              <w:jc w:val="right"/>
              <w:cnfStyle w:val="000000100000"/>
              <w:rPr>
                <w:rFonts w:cs="Calibri"/>
                <w:color w:val="000000"/>
              </w:rPr>
            </w:pPr>
          </w:p>
        </w:tc>
      </w:tr>
      <w:tr w:rsidR="00F4711D" w:rsidRPr="007C2D51" w:rsidTr="00F15767">
        <w:trPr>
          <w:trHeight w:val="300"/>
        </w:trPr>
        <w:tc>
          <w:tcPr>
            <w:cnfStyle w:val="001000000000"/>
            <w:tcW w:w="2880" w:type="dxa"/>
            <w:noWrap/>
            <w:vAlign w:val="bottom"/>
          </w:tcPr>
          <w:p w:rsidR="00F4711D" w:rsidRPr="007C2D51" w:rsidRDefault="00F4711D" w:rsidP="00526171">
            <w:pPr>
              <w:pStyle w:val="ListParagraph"/>
              <w:numPr>
                <w:ilvl w:val="0"/>
                <w:numId w:val="26"/>
              </w:numPr>
            </w:pPr>
            <w:r w:rsidRPr="007C2D51">
              <w:t>User-side subsidy</w:t>
            </w:r>
          </w:p>
        </w:tc>
        <w:tc>
          <w:tcPr>
            <w:tcW w:w="1296" w:type="dxa"/>
            <w:noWrap/>
            <w:vAlign w:val="bottom"/>
          </w:tcPr>
          <w:p w:rsidR="00F4711D" w:rsidRPr="007C2D51" w:rsidRDefault="00F4711D">
            <w:pPr>
              <w:jc w:val="right"/>
              <w:cnfStyle w:val="000000000000"/>
              <w:rPr>
                <w:rFonts w:cs="Calibri"/>
                <w:color w:val="000000"/>
              </w:rPr>
            </w:pPr>
            <w:r w:rsidRPr="007C2D51">
              <w:rPr>
                <w:rFonts w:cs="Calibri"/>
                <w:color w:val="000000"/>
              </w:rPr>
              <w:t>1%</w:t>
            </w:r>
          </w:p>
        </w:tc>
        <w:tc>
          <w:tcPr>
            <w:tcW w:w="1296" w:type="dxa"/>
            <w:noWrap/>
            <w:vAlign w:val="bottom"/>
          </w:tcPr>
          <w:p w:rsidR="00F4711D" w:rsidRPr="007C2D51" w:rsidRDefault="00F4711D">
            <w:pPr>
              <w:jc w:val="right"/>
              <w:cnfStyle w:val="000000000000"/>
              <w:rPr>
                <w:rFonts w:cs="Calibri"/>
                <w:color w:val="000000"/>
              </w:rPr>
            </w:pPr>
            <w:r w:rsidRPr="007C2D51">
              <w:rPr>
                <w:rFonts w:cs="Calibri"/>
                <w:color w:val="000000"/>
              </w:rPr>
              <w:t>2%</w:t>
            </w:r>
          </w:p>
        </w:tc>
        <w:tc>
          <w:tcPr>
            <w:tcW w:w="1296" w:type="dxa"/>
            <w:noWrap/>
            <w:vAlign w:val="bottom"/>
          </w:tcPr>
          <w:p w:rsidR="00F4711D" w:rsidRPr="007C2D51" w:rsidRDefault="00F4711D">
            <w:pPr>
              <w:jc w:val="right"/>
              <w:cnfStyle w:val="000000000000"/>
              <w:rPr>
                <w:rFonts w:cs="Calibri"/>
                <w:color w:val="000000"/>
              </w:rPr>
            </w:pPr>
            <w:r w:rsidRPr="007C2D51">
              <w:rPr>
                <w:rFonts w:cs="Calibri"/>
                <w:color w:val="000000"/>
              </w:rPr>
              <w:t>4%</w:t>
            </w:r>
          </w:p>
        </w:tc>
        <w:tc>
          <w:tcPr>
            <w:tcW w:w="1296" w:type="dxa"/>
            <w:noWrap/>
            <w:vAlign w:val="bottom"/>
          </w:tcPr>
          <w:p w:rsidR="00F4711D" w:rsidRPr="007C2D51" w:rsidRDefault="00F4711D">
            <w:pPr>
              <w:jc w:val="right"/>
              <w:cnfStyle w:val="000000000000"/>
              <w:rPr>
                <w:rFonts w:cs="Calibri"/>
                <w:color w:val="000000"/>
              </w:rPr>
            </w:pPr>
            <w:r w:rsidRPr="007C2D51">
              <w:rPr>
                <w:rFonts w:cs="Calibri"/>
                <w:color w:val="000000"/>
              </w:rPr>
              <w:t>9%</w:t>
            </w:r>
          </w:p>
        </w:tc>
        <w:tc>
          <w:tcPr>
            <w:tcW w:w="1296" w:type="dxa"/>
            <w:shd w:val="clear" w:color="auto" w:fill="D9D9D9" w:themeFill="background1" w:themeFillShade="D9"/>
            <w:noWrap/>
            <w:vAlign w:val="bottom"/>
          </w:tcPr>
          <w:p w:rsidR="00F4711D" w:rsidRPr="007C2D51" w:rsidRDefault="00F4711D">
            <w:pPr>
              <w:jc w:val="right"/>
              <w:cnfStyle w:val="000000000000"/>
              <w:rPr>
                <w:rFonts w:cs="Calibri"/>
                <w:color w:val="000000"/>
              </w:rPr>
            </w:pPr>
          </w:p>
        </w:tc>
      </w:tr>
      <w:tr w:rsidR="00F4711D" w:rsidRPr="007C2D51" w:rsidTr="00F15767">
        <w:trPr>
          <w:cnfStyle w:val="000000100000"/>
          <w:trHeight w:val="300"/>
        </w:trPr>
        <w:tc>
          <w:tcPr>
            <w:cnfStyle w:val="001000000000"/>
            <w:tcW w:w="2880" w:type="dxa"/>
            <w:tcBorders>
              <w:top w:val="none" w:sz="0" w:space="0" w:color="auto"/>
              <w:left w:val="none" w:sz="0" w:space="0" w:color="auto"/>
              <w:bottom w:val="none" w:sz="0" w:space="0" w:color="auto"/>
            </w:tcBorders>
            <w:shd w:val="clear" w:color="auto" w:fill="475A8D" w:themeFill="accent6"/>
            <w:noWrap/>
            <w:vAlign w:val="bottom"/>
          </w:tcPr>
          <w:p w:rsidR="00F4711D" w:rsidRPr="007C2D51" w:rsidRDefault="00F4711D" w:rsidP="004A7F1F">
            <w:pPr>
              <w:rPr>
                <w:color w:val="FFFFFF" w:themeColor="background1"/>
              </w:rPr>
            </w:pPr>
            <w:r w:rsidRPr="007C2D51">
              <w:rPr>
                <w:color w:val="FFFFFF" w:themeColor="background1"/>
              </w:rPr>
              <w:t xml:space="preserve">II.  Information-Based </w:t>
            </w:r>
          </w:p>
        </w:tc>
        <w:tc>
          <w:tcPr>
            <w:tcW w:w="1296" w:type="dxa"/>
            <w:tcBorders>
              <w:top w:val="none" w:sz="0" w:space="0" w:color="auto"/>
              <w:bottom w:val="none" w:sz="0" w:space="0" w:color="auto"/>
            </w:tcBorders>
            <w:shd w:val="clear" w:color="auto" w:fill="475A8D" w:themeFill="accent6"/>
            <w:noWrap/>
            <w:vAlign w:val="bottom"/>
          </w:tcPr>
          <w:p w:rsidR="00F4711D" w:rsidRPr="007C2D51" w:rsidRDefault="00F4711D">
            <w:pPr>
              <w:jc w:val="right"/>
              <w:cnfStyle w:val="000000100000"/>
              <w:rPr>
                <w:rFonts w:cs="Calibri"/>
                <w:b/>
                <w:bCs/>
                <w:color w:val="FFFFFF" w:themeColor="background1"/>
              </w:rPr>
            </w:pPr>
            <w:r w:rsidRPr="007C2D51">
              <w:rPr>
                <w:rFonts w:cs="Calibri"/>
                <w:b/>
                <w:bCs/>
                <w:color w:val="FFFFFF" w:themeColor="background1"/>
              </w:rPr>
              <w:t>0%</w:t>
            </w:r>
          </w:p>
        </w:tc>
        <w:tc>
          <w:tcPr>
            <w:tcW w:w="1296" w:type="dxa"/>
            <w:tcBorders>
              <w:top w:val="none" w:sz="0" w:space="0" w:color="auto"/>
              <w:bottom w:val="none" w:sz="0" w:space="0" w:color="auto"/>
            </w:tcBorders>
            <w:shd w:val="clear" w:color="auto" w:fill="475A8D" w:themeFill="accent6"/>
            <w:noWrap/>
            <w:vAlign w:val="bottom"/>
          </w:tcPr>
          <w:p w:rsidR="00F4711D" w:rsidRPr="007C2D51" w:rsidRDefault="00F4711D">
            <w:pPr>
              <w:jc w:val="right"/>
              <w:cnfStyle w:val="000000100000"/>
              <w:rPr>
                <w:rFonts w:cs="Calibri"/>
                <w:b/>
                <w:bCs/>
                <w:color w:val="FFFFFF" w:themeColor="background1"/>
              </w:rPr>
            </w:pPr>
            <w:r w:rsidRPr="007C2D51">
              <w:rPr>
                <w:rFonts w:cs="Calibri"/>
                <w:b/>
                <w:bCs/>
                <w:color w:val="FFFFFF" w:themeColor="background1"/>
              </w:rPr>
              <w:t>0%</w:t>
            </w:r>
          </w:p>
        </w:tc>
        <w:tc>
          <w:tcPr>
            <w:tcW w:w="1296" w:type="dxa"/>
            <w:tcBorders>
              <w:top w:val="none" w:sz="0" w:space="0" w:color="auto"/>
              <w:bottom w:val="none" w:sz="0" w:space="0" w:color="auto"/>
            </w:tcBorders>
            <w:shd w:val="clear" w:color="auto" w:fill="475A8D" w:themeFill="accent6"/>
            <w:noWrap/>
            <w:vAlign w:val="bottom"/>
          </w:tcPr>
          <w:p w:rsidR="00F4711D" w:rsidRPr="007C2D51" w:rsidRDefault="00F4711D">
            <w:pPr>
              <w:jc w:val="right"/>
              <w:cnfStyle w:val="000000100000"/>
              <w:rPr>
                <w:rFonts w:cs="Calibri"/>
                <w:b/>
                <w:bCs/>
                <w:color w:val="FFFFFF" w:themeColor="background1"/>
              </w:rPr>
            </w:pPr>
            <w:r w:rsidRPr="007C2D51">
              <w:rPr>
                <w:rFonts w:cs="Calibri"/>
                <w:b/>
                <w:bCs/>
                <w:color w:val="FFFFFF" w:themeColor="background1"/>
              </w:rPr>
              <w:t>0%</w:t>
            </w:r>
          </w:p>
        </w:tc>
        <w:tc>
          <w:tcPr>
            <w:tcW w:w="1296" w:type="dxa"/>
            <w:tcBorders>
              <w:top w:val="none" w:sz="0" w:space="0" w:color="auto"/>
              <w:bottom w:val="none" w:sz="0" w:space="0" w:color="auto"/>
            </w:tcBorders>
            <w:shd w:val="clear" w:color="auto" w:fill="475A8D" w:themeFill="accent6"/>
            <w:noWrap/>
            <w:vAlign w:val="bottom"/>
          </w:tcPr>
          <w:p w:rsidR="00F4711D" w:rsidRPr="007C2D51" w:rsidRDefault="00F4711D">
            <w:pPr>
              <w:jc w:val="right"/>
              <w:cnfStyle w:val="000000100000"/>
              <w:rPr>
                <w:rFonts w:cs="Calibri"/>
                <w:b/>
                <w:bCs/>
                <w:color w:val="FFFFFF" w:themeColor="background1"/>
              </w:rPr>
            </w:pPr>
            <w:r w:rsidRPr="007C2D51">
              <w:rPr>
                <w:rFonts w:cs="Calibri"/>
                <w:b/>
                <w:bCs/>
                <w:color w:val="FFFFFF" w:themeColor="background1"/>
              </w:rPr>
              <w:t>21%</w:t>
            </w:r>
          </w:p>
        </w:tc>
        <w:tc>
          <w:tcPr>
            <w:tcW w:w="1296" w:type="dxa"/>
            <w:tcBorders>
              <w:top w:val="none" w:sz="0" w:space="0" w:color="auto"/>
              <w:bottom w:val="none" w:sz="0" w:space="0" w:color="auto"/>
              <w:right w:val="none" w:sz="0" w:space="0" w:color="auto"/>
            </w:tcBorders>
            <w:shd w:val="clear" w:color="auto" w:fill="475A8D" w:themeFill="accent6"/>
            <w:noWrap/>
            <w:vAlign w:val="bottom"/>
          </w:tcPr>
          <w:p w:rsidR="00F4711D" w:rsidRPr="007C2D51" w:rsidRDefault="00F4711D">
            <w:pPr>
              <w:jc w:val="right"/>
              <w:cnfStyle w:val="000000100000"/>
              <w:rPr>
                <w:rFonts w:cs="Calibri"/>
                <w:b/>
                <w:bCs/>
                <w:color w:val="FFFFFF" w:themeColor="background1"/>
              </w:rPr>
            </w:pPr>
            <w:r w:rsidRPr="007C2D51">
              <w:rPr>
                <w:rFonts w:cs="Calibri"/>
                <w:b/>
                <w:bCs/>
                <w:color w:val="FFFFFF" w:themeColor="background1"/>
              </w:rPr>
              <w:t>95%</w:t>
            </w:r>
          </w:p>
        </w:tc>
      </w:tr>
      <w:tr w:rsidR="00F4711D" w:rsidRPr="007C2D51" w:rsidTr="00F15767">
        <w:trPr>
          <w:trHeight w:val="300"/>
        </w:trPr>
        <w:tc>
          <w:tcPr>
            <w:cnfStyle w:val="001000000000"/>
            <w:tcW w:w="2880" w:type="dxa"/>
            <w:noWrap/>
            <w:vAlign w:val="bottom"/>
          </w:tcPr>
          <w:p w:rsidR="00F4711D" w:rsidRPr="007C2D51" w:rsidRDefault="00F4711D" w:rsidP="00526171">
            <w:pPr>
              <w:pStyle w:val="ListParagraph"/>
              <w:numPr>
                <w:ilvl w:val="0"/>
                <w:numId w:val="27"/>
              </w:numPr>
            </w:pPr>
            <w:r w:rsidRPr="007C2D51">
              <w:t>Mobility manager</w:t>
            </w:r>
          </w:p>
        </w:tc>
        <w:tc>
          <w:tcPr>
            <w:tcW w:w="1296" w:type="dxa"/>
            <w:shd w:val="clear" w:color="auto" w:fill="D9D9D9" w:themeFill="background1" w:themeFillShade="D9"/>
            <w:noWrap/>
            <w:vAlign w:val="bottom"/>
          </w:tcPr>
          <w:p w:rsidR="00F4711D" w:rsidRPr="007C2D51" w:rsidRDefault="00F4711D">
            <w:pPr>
              <w:jc w:val="right"/>
              <w:cnfStyle w:val="000000000000"/>
              <w:rPr>
                <w:rFonts w:cs="Calibri"/>
                <w:color w:val="000000"/>
              </w:rPr>
            </w:pPr>
          </w:p>
        </w:tc>
        <w:tc>
          <w:tcPr>
            <w:tcW w:w="1296" w:type="dxa"/>
            <w:shd w:val="clear" w:color="auto" w:fill="D9D9D9" w:themeFill="background1" w:themeFillShade="D9"/>
            <w:noWrap/>
            <w:vAlign w:val="bottom"/>
          </w:tcPr>
          <w:p w:rsidR="00F4711D" w:rsidRPr="007C2D51" w:rsidRDefault="00F4711D">
            <w:pPr>
              <w:jc w:val="right"/>
              <w:cnfStyle w:val="000000000000"/>
              <w:rPr>
                <w:rFonts w:cs="Calibri"/>
                <w:color w:val="000000"/>
              </w:rPr>
            </w:pPr>
          </w:p>
        </w:tc>
        <w:tc>
          <w:tcPr>
            <w:tcW w:w="1296" w:type="dxa"/>
            <w:shd w:val="clear" w:color="auto" w:fill="D9D9D9" w:themeFill="background1" w:themeFillShade="D9"/>
            <w:noWrap/>
            <w:vAlign w:val="bottom"/>
          </w:tcPr>
          <w:p w:rsidR="00F4711D" w:rsidRPr="007C2D51" w:rsidRDefault="00F4711D">
            <w:pPr>
              <w:jc w:val="right"/>
              <w:cnfStyle w:val="000000000000"/>
              <w:rPr>
                <w:rFonts w:cs="Calibri"/>
                <w:color w:val="000000"/>
              </w:rPr>
            </w:pPr>
          </w:p>
        </w:tc>
        <w:tc>
          <w:tcPr>
            <w:tcW w:w="1296" w:type="dxa"/>
            <w:noWrap/>
            <w:vAlign w:val="bottom"/>
          </w:tcPr>
          <w:p w:rsidR="00F4711D" w:rsidRPr="007C2D51" w:rsidRDefault="00F4711D">
            <w:pPr>
              <w:jc w:val="right"/>
              <w:cnfStyle w:val="000000000000"/>
              <w:rPr>
                <w:rFonts w:cs="Calibri"/>
                <w:color w:val="000000"/>
              </w:rPr>
            </w:pPr>
            <w:r w:rsidRPr="007C2D51">
              <w:rPr>
                <w:rFonts w:cs="Calibri"/>
                <w:color w:val="000000"/>
              </w:rPr>
              <w:t>21%</w:t>
            </w:r>
          </w:p>
        </w:tc>
        <w:tc>
          <w:tcPr>
            <w:tcW w:w="1296" w:type="dxa"/>
            <w:shd w:val="clear" w:color="auto" w:fill="D9D9D9" w:themeFill="background1" w:themeFillShade="D9"/>
            <w:noWrap/>
            <w:vAlign w:val="bottom"/>
          </w:tcPr>
          <w:p w:rsidR="00F4711D" w:rsidRPr="007C2D51" w:rsidRDefault="00F4711D">
            <w:pPr>
              <w:jc w:val="right"/>
              <w:cnfStyle w:val="000000000000"/>
              <w:rPr>
                <w:rFonts w:cs="Calibri"/>
                <w:color w:val="000000"/>
              </w:rPr>
            </w:pPr>
          </w:p>
        </w:tc>
      </w:tr>
      <w:tr w:rsidR="00F4711D" w:rsidRPr="007C2D51" w:rsidTr="00F15767">
        <w:trPr>
          <w:cnfStyle w:val="000000100000"/>
          <w:trHeight w:val="300"/>
        </w:trPr>
        <w:tc>
          <w:tcPr>
            <w:cnfStyle w:val="001000000000"/>
            <w:tcW w:w="2880" w:type="dxa"/>
            <w:tcBorders>
              <w:top w:val="none" w:sz="0" w:space="0" w:color="auto"/>
              <w:left w:val="none" w:sz="0" w:space="0" w:color="auto"/>
              <w:bottom w:val="none" w:sz="0" w:space="0" w:color="auto"/>
            </w:tcBorders>
            <w:noWrap/>
            <w:vAlign w:val="bottom"/>
          </w:tcPr>
          <w:p w:rsidR="00F4711D" w:rsidRPr="007C2D51" w:rsidRDefault="00F4711D" w:rsidP="00526171">
            <w:pPr>
              <w:pStyle w:val="ListParagraph"/>
              <w:numPr>
                <w:ilvl w:val="0"/>
                <w:numId w:val="27"/>
              </w:numPr>
            </w:pPr>
            <w:r w:rsidRPr="007C2D51">
              <w:t>One-stop center</w:t>
            </w:r>
          </w:p>
        </w:tc>
        <w:tc>
          <w:tcPr>
            <w:tcW w:w="1296" w:type="dxa"/>
            <w:tcBorders>
              <w:top w:val="none" w:sz="0" w:space="0" w:color="auto"/>
              <w:bottom w:val="none" w:sz="0" w:space="0" w:color="auto"/>
            </w:tcBorders>
            <w:shd w:val="clear" w:color="auto" w:fill="D9D9D9" w:themeFill="background1" w:themeFillShade="D9"/>
            <w:noWrap/>
            <w:vAlign w:val="bottom"/>
          </w:tcPr>
          <w:p w:rsidR="00F4711D" w:rsidRPr="007C2D51" w:rsidRDefault="00F4711D">
            <w:pPr>
              <w:jc w:val="right"/>
              <w:cnfStyle w:val="000000100000"/>
              <w:rPr>
                <w:rFonts w:cs="Calibri"/>
                <w:color w:val="000000"/>
              </w:rPr>
            </w:pPr>
          </w:p>
        </w:tc>
        <w:tc>
          <w:tcPr>
            <w:tcW w:w="1296" w:type="dxa"/>
            <w:tcBorders>
              <w:top w:val="none" w:sz="0" w:space="0" w:color="auto"/>
              <w:bottom w:val="none" w:sz="0" w:space="0" w:color="auto"/>
            </w:tcBorders>
            <w:shd w:val="clear" w:color="auto" w:fill="D9D9D9" w:themeFill="background1" w:themeFillShade="D9"/>
            <w:noWrap/>
            <w:vAlign w:val="bottom"/>
          </w:tcPr>
          <w:p w:rsidR="00F4711D" w:rsidRPr="007C2D51" w:rsidRDefault="00F4711D">
            <w:pPr>
              <w:jc w:val="right"/>
              <w:cnfStyle w:val="000000100000"/>
              <w:rPr>
                <w:rFonts w:cs="Calibri"/>
                <w:color w:val="000000"/>
              </w:rPr>
            </w:pPr>
          </w:p>
        </w:tc>
        <w:tc>
          <w:tcPr>
            <w:tcW w:w="1296" w:type="dxa"/>
            <w:tcBorders>
              <w:top w:val="none" w:sz="0" w:space="0" w:color="auto"/>
              <w:bottom w:val="none" w:sz="0" w:space="0" w:color="auto"/>
            </w:tcBorders>
            <w:shd w:val="clear" w:color="auto" w:fill="D9D9D9" w:themeFill="background1" w:themeFillShade="D9"/>
            <w:noWrap/>
            <w:vAlign w:val="bottom"/>
          </w:tcPr>
          <w:p w:rsidR="00F4711D" w:rsidRPr="007C2D51" w:rsidRDefault="00F4711D">
            <w:pPr>
              <w:jc w:val="right"/>
              <w:cnfStyle w:val="000000100000"/>
              <w:rPr>
                <w:rFonts w:cs="Calibri"/>
                <w:color w:val="000000"/>
              </w:rPr>
            </w:pPr>
          </w:p>
        </w:tc>
        <w:tc>
          <w:tcPr>
            <w:tcW w:w="1296" w:type="dxa"/>
            <w:tcBorders>
              <w:top w:val="none" w:sz="0" w:space="0" w:color="auto"/>
              <w:bottom w:val="none" w:sz="0" w:space="0" w:color="auto"/>
            </w:tcBorders>
            <w:shd w:val="clear" w:color="auto" w:fill="D9D9D9" w:themeFill="background1" w:themeFillShade="D9"/>
            <w:noWrap/>
            <w:vAlign w:val="bottom"/>
          </w:tcPr>
          <w:p w:rsidR="00F4711D" w:rsidRPr="007C2D51" w:rsidRDefault="00F4711D">
            <w:pPr>
              <w:jc w:val="right"/>
              <w:cnfStyle w:val="000000100000"/>
              <w:rPr>
                <w:rFonts w:cs="Calibri"/>
                <w:color w:val="000000"/>
              </w:rPr>
            </w:pPr>
          </w:p>
        </w:tc>
        <w:tc>
          <w:tcPr>
            <w:tcW w:w="1296" w:type="dxa"/>
            <w:tcBorders>
              <w:top w:val="none" w:sz="0" w:space="0" w:color="auto"/>
              <w:bottom w:val="none" w:sz="0" w:space="0" w:color="auto"/>
              <w:right w:val="none" w:sz="0" w:space="0" w:color="auto"/>
            </w:tcBorders>
            <w:noWrap/>
            <w:vAlign w:val="bottom"/>
          </w:tcPr>
          <w:p w:rsidR="00F4711D" w:rsidRPr="007C2D51" w:rsidRDefault="00F4711D">
            <w:pPr>
              <w:jc w:val="right"/>
              <w:cnfStyle w:val="000000100000"/>
              <w:rPr>
                <w:rFonts w:cs="Calibri"/>
                <w:color w:val="000000"/>
              </w:rPr>
            </w:pPr>
            <w:r w:rsidRPr="007C2D51">
              <w:rPr>
                <w:rFonts w:cs="Calibri"/>
                <w:color w:val="000000"/>
              </w:rPr>
              <w:t>16%</w:t>
            </w:r>
          </w:p>
        </w:tc>
      </w:tr>
      <w:tr w:rsidR="00F4711D" w:rsidRPr="007C2D51" w:rsidTr="00F15767">
        <w:trPr>
          <w:trHeight w:val="300"/>
        </w:trPr>
        <w:tc>
          <w:tcPr>
            <w:cnfStyle w:val="001000000000"/>
            <w:tcW w:w="2880" w:type="dxa"/>
            <w:noWrap/>
            <w:vAlign w:val="bottom"/>
          </w:tcPr>
          <w:p w:rsidR="00F4711D" w:rsidRPr="007C2D51" w:rsidRDefault="00F4711D" w:rsidP="00526171">
            <w:pPr>
              <w:pStyle w:val="ListParagraph"/>
              <w:numPr>
                <w:ilvl w:val="0"/>
                <w:numId w:val="27"/>
              </w:numPr>
            </w:pPr>
            <w:r w:rsidRPr="007C2D51">
              <w:t>Itinerary planning</w:t>
            </w:r>
          </w:p>
        </w:tc>
        <w:tc>
          <w:tcPr>
            <w:tcW w:w="1296" w:type="dxa"/>
            <w:shd w:val="clear" w:color="auto" w:fill="D9D9D9" w:themeFill="background1" w:themeFillShade="D9"/>
            <w:noWrap/>
            <w:vAlign w:val="bottom"/>
          </w:tcPr>
          <w:p w:rsidR="00F4711D" w:rsidRPr="007C2D51" w:rsidRDefault="00F4711D">
            <w:pPr>
              <w:jc w:val="right"/>
              <w:cnfStyle w:val="000000000000"/>
              <w:rPr>
                <w:rFonts w:cs="Calibri"/>
                <w:color w:val="000000"/>
              </w:rPr>
            </w:pPr>
          </w:p>
        </w:tc>
        <w:tc>
          <w:tcPr>
            <w:tcW w:w="1296" w:type="dxa"/>
            <w:shd w:val="clear" w:color="auto" w:fill="D9D9D9" w:themeFill="background1" w:themeFillShade="D9"/>
            <w:noWrap/>
            <w:vAlign w:val="bottom"/>
          </w:tcPr>
          <w:p w:rsidR="00F4711D" w:rsidRPr="007C2D51" w:rsidRDefault="00F4711D">
            <w:pPr>
              <w:jc w:val="right"/>
              <w:cnfStyle w:val="000000000000"/>
              <w:rPr>
                <w:rFonts w:cs="Calibri"/>
                <w:color w:val="000000"/>
              </w:rPr>
            </w:pPr>
          </w:p>
        </w:tc>
        <w:tc>
          <w:tcPr>
            <w:tcW w:w="1296" w:type="dxa"/>
            <w:shd w:val="clear" w:color="auto" w:fill="D9D9D9" w:themeFill="background1" w:themeFillShade="D9"/>
            <w:noWrap/>
            <w:vAlign w:val="bottom"/>
          </w:tcPr>
          <w:p w:rsidR="00F4711D" w:rsidRPr="007C2D51" w:rsidRDefault="00F4711D">
            <w:pPr>
              <w:jc w:val="right"/>
              <w:cnfStyle w:val="000000000000"/>
              <w:rPr>
                <w:rFonts w:cs="Calibri"/>
                <w:color w:val="000000"/>
              </w:rPr>
            </w:pPr>
          </w:p>
        </w:tc>
        <w:tc>
          <w:tcPr>
            <w:tcW w:w="1296" w:type="dxa"/>
            <w:shd w:val="clear" w:color="auto" w:fill="D9D9D9" w:themeFill="background1" w:themeFillShade="D9"/>
            <w:noWrap/>
            <w:vAlign w:val="bottom"/>
          </w:tcPr>
          <w:p w:rsidR="00F4711D" w:rsidRPr="007C2D51" w:rsidRDefault="00F4711D">
            <w:pPr>
              <w:jc w:val="right"/>
              <w:cnfStyle w:val="000000000000"/>
              <w:rPr>
                <w:rFonts w:cs="Calibri"/>
                <w:color w:val="000000"/>
              </w:rPr>
            </w:pPr>
          </w:p>
        </w:tc>
        <w:tc>
          <w:tcPr>
            <w:tcW w:w="1296" w:type="dxa"/>
            <w:noWrap/>
            <w:vAlign w:val="bottom"/>
          </w:tcPr>
          <w:p w:rsidR="00F4711D" w:rsidRPr="007C2D51" w:rsidRDefault="00F4711D">
            <w:pPr>
              <w:jc w:val="right"/>
              <w:cnfStyle w:val="000000000000"/>
              <w:rPr>
                <w:rFonts w:cs="Calibri"/>
                <w:color w:val="000000"/>
              </w:rPr>
            </w:pPr>
            <w:r w:rsidRPr="007C2D51">
              <w:rPr>
                <w:rFonts w:cs="Calibri"/>
                <w:color w:val="000000"/>
              </w:rPr>
              <w:t>9%</w:t>
            </w:r>
          </w:p>
        </w:tc>
      </w:tr>
      <w:tr w:rsidR="00F4711D" w:rsidRPr="007C2D51" w:rsidTr="00F15767">
        <w:trPr>
          <w:cnfStyle w:val="000000100000"/>
          <w:trHeight w:val="300"/>
        </w:trPr>
        <w:tc>
          <w:tcPr>
            <w:cnfStyle w:val="001000000000"/>
            <w:tcW w:w="2880" w:type="dxa"/>
            <w:tcBorders>
              <w:top w:val="none" w:sz="0" w:space="0" w:color="auto"/>
              <w:left w:val="none" w:sz="0" w:space="0" w:color="auto"/>
              <w:bottom w:val="none" w:sz="0" w:space="0" w:color="auto"/>
            </w:tcBorders>
            <w:noWrap/>
            <w:vAlign w:val="bottom"/>
          </w:tcPr>
          <w:p w:rsidR="00F4711D" w:rsidRPr="007C2D51" w:rsidRDefault="00F4711D" w:rsidP="00526171">
            <w:pPr>
              <w:pStyle w:val="ListParagraph"/>
              <w:numPr>
                <w:ilvl w:val="0"/>
                <w:numId w:val="27"/>
              </w:numPr>
            </w:pPr>
            <w:r w:rsidRPr="007C2D51">
              <w:t>One-on-one transit training</w:t>
            </w:r>
          </w:p>
        </w:tc>
        <w:tc>
          <w:tcPr>
            <w:tcW w:w="1296" w:type="dxa"/>
            <w:tcBorders>
              <w:top w:val="none" w:sz="0" w:space="0" w:color="auto"/>
              <w:bottom w:val="none" w:sz="0" w:space="0" w:color="auto"/>
            </w:tcBorders>
            <w:shd w:val="clear" w:color="auto" w:fill="D9D9D9" w:themeFill="background1" w:themeFillShade="D9"/>
            <w:noWrap/>
            <w:vAlign w:val="bottom"/>
          </w:tcPr>
          <w:p w:rsidR="00F4711D" w:rsidRPr="007C2D51" w:rsidRDefault="00F4711D">
            <w:pPr>
              <w:jc w:val="right"/>
              <w:cnfStyle w:val="000000100000"/>
              <w:rPr>
                <w:rFonts w:cs="Calibri"/>
                <w:color w:val="000000"/>
              </w:rPr>
            </w:pPr>
          </w:p>
        </w:tc>
        <w:tc>
          <w:tcPr>
            <w:tcW w:w="1296" w:type="dxa"/>
            <w:tcBorders>
              <w:top w:val="none" w:sz="0" w:space="0" w:color="auto"/>
              <w:bottom w:val="none" w:sz="0" w:space="0" w:color="auto"/>
            </w:tcBorders>
            <w:shd w:val="clear" w:color="auto" w:fill="D9D9D9" w:themeFill="background1" w:themeFillShade="D9"/>
            <w:noWrap/>
            <w:vAlign w:val="bottom"/>
          </w:tcPr>
          <w:p w:rsidR="00F4711D" w:rsidRPr="007C2D51" w:rsidRDefault="00F4711D">
            <w:pPr>
              <w:jc w:val="right"/>
              <w:cnfStyle w:val="000000100000"/>
              <w:rPr>
                <w:rFonts w:cs="Calibri"/>
                <w:color w:val="000000"/>
              </w:rPr>
            </w:pPr>
          </w:p>
        </w:tc>
        <w:tc>
          <w:tcPr>
            <w:tcW w:w="1296" w:type="dxa"/>
            <w:tcBorders>
              <w:top w:val="none" w:sz="0" w:space="0" w:color="auto"/>
              <w:bottom w:val="none" w:sz="0" w:space="0" w:color="auto"/>
            </w:tcBorders>
            <w:shd w:val="clear" w:color="auto" w:fill="D9D9D9" w:themeFill="background1" w:themeFillShade="D9"/>
            <w:noWrap/>
            <w:vAlign w:val="bottom"/>
          </w:tcPr>
          <w:p w:rsidR="00F4711D" w:rsidRPr="007C2D51" w:rsidRDefault="00F4711D">
            <w:pPr>
              <w:jc w:val="right"/>
              <w:cnfStyle w:val="000000100000"/>
              <w:rPr>
                <w:rFonts w:cs="Calibri"/>
                <w:color w:val="000000"/>
              </w:rPr>
            </w:pPr>
          </w:p>
        </w:tc>
        <w:tc>
          <w:tcPr>
            <w:tcW w:w="1296" w:type="dxa"/>
            <w:tcBorders>
              <w:top w:val="none" w:sz="0" w:space="0" w:color="auto"/>
              <w:bottom w:val="none" w:sz="0" w:space="0" w:color="auto"/>
            </w:tcBorders>
            <w:shd w:val="clear" w:color="auto" w:fill="D9D9D9" w:themeFill="background1" w:themeFillShade="D9"/>
            <w:noWrap/>
            <w:vAlign w:val="bottom"/>
          </w:tcPr>
          <w:p w:rsidR="00F4711D" w:rsidRPr="007C2D51" w:rsidRDefault="00F4711D">
            <w:pPr>
              <w:jc w:val="right"/>
              <w:cnfStyle w:val="000000100000"/>
              <w:rPr>
                <w:rFonts w:cs="Calibri"/>
                <w:color w:val="000000"/>
              </w:rPr>
            </w:pPr>
          </w:p>
        </w:tc>
        <w:tc>
          <w:tcPr>
            <w:tcW w:w="1296" w:type="dxa"/>
            <w:tcBorders>
              <w:top w:val="none" w:sz="0" w:space="0" w:color="auto"/>
              <w:bottom w:val="none" w:sz="0" w:space="0" w:color="auto"/>
              <w:right w:val="none" w:sz="0" w:space="0" w:color="auto"/>
            </w:tcBorders>
            <w:noWrap/>
            <w:vAlign w:val="bottom"/>
          </w:tcPr>
          <w:p w:rsidR="00F4711D" w:rsidRPr="007C2D51" w:rsidRDefault="00F4711D">
            <w:pPr>
              <w:jc w:val="right"/>
              <w:cnfStyle w:val="000000100000"/>
              <w:rPr>
                <w:rFonts w:cs="Calibri"/>
                <w:color w:val="000000"/>
              </w:rPr>
            </w:pPr>
            <w:r w:rsidRPr="007C2D51">
              <w:rPr>
                <w:rFonts w:cs="Calibri"/>
                <w:color w:val="000000"/>
              </w:rPr>
              <w:t>26%</w:t>
            </w:r>
          </w:p>
        </w:tc>
      </w:tr>
      <w:tr w:rsidR="00F4711D" w:rsidRPr="007C2D51" w:rsidTr="00F15767">
        <w:trPr>
          <w:trHeight w:val="300"/>
        </w:trPr>
        <w:tc>
          <w:tcPr>
            <w:cnfStyle w:val="001000000000"/>
            <w:tcW w:w="2880" w:type="dxa"/>
            <w:noWrap/>
            <w:vAlign w:val="bottom"/>
          </w:tcPr>
          <w:p w:rsidR="00F4711D" w:rsidRPr="007C2D51" w:rsidRDefault="00F4711D" w:rsidP="00526171">
            <w:pPr>
              <w:pStyle w:val="ListParagraph"/>
              <w:numPr>
                <w:ilvl w:val="0"/>
                <w:numId w:val="27"/>
              </w:numPr>
            </w:pPr>
            <w:r w:rsidRPr="007C2D51">
              <w:t>Internet-based info</w:t>
            </w:r>
          </w:p>
        </w:tc>
        <w:tc>
          <w:tcPr>
            <w:tcW w:w="1296" w:type="dxa"/>
            <w:shd w:val="clear" w:color="auto" w:fill="D9D9D9" w:themeFill="background1" w:themeFillShade="D9"/>
            <w:noWrap/>
            <w:vAlign w:val="bottom"/>
          </w:tcPr>
          <w:p w:rsidR="00F4711D" w:rsidRPr="007C2D51" w:rsidRDefault="00F4711D">
            <w:pPr>
              <w:jc w:val="right"/>
              <w:cnfStyle w:val="000000000000"/>
              <w:rPr>
                <w:rFonts w:cs="Calibri"/>
                <w:color w:val="000000"/>
              </w:rPr>
            </w:pPr>
          </w:p>
        </w:tc>
        <w:tc>
          <w:tcPr>
            <w:tcW w:w="1296" w:type="dxa"/>
            <w:shd w:val="clear" w:color="auto" w:fill="D9D9D9" w:themeFill="background1" w:themeFillShade="D9"/>
            <w:noWrap/>
            <w:vAlign w:val="bottom"/>
          </w:tcPr>
          <w:p w:rsidR="00F4711D" w:rsidRPr="007C2D51" w:rsidRDefault="00F4711D">
            <w:pPr>
              <w:jc w:val="right"/>
              <w:cnfStyle w:val="000000000000"/>
              <w:rPr>
                <w:rFonts w:cs="Calibri"/>
                <w:color w:val="000000"/>
              </w:rPr>
            </w:pPr>
          </w:p>
        </w:tc>
        <w:tc>
          <w:tcPr>
            <w:tcW w:w="1296" w:type="dxa"/>
            <w:shd w:val="clear" w:color="auto" w:fill="D9D9D9" w:themeFill="background1" w:themeFillShade="D9"/>
            <w:noWrap/>
            <w:vAlign w:val="bottom"/>
          </w:tcPr>
          <w:p w:rsidR="00F4711D" w:rsidRPr="007C2D51" w:rsidRDefault="00F4711D">
            <w:pPr>
              <w:jc w:val="right"/>
              <w:cnfStyle w:val="000000000000"/>
              <w:rPr>
                <w:rFonts w:cs="Calibri"/>
                <w:color w:val="000000"/>
              </w:rPr>
            </w:pPr>
          </w:p>
        </w:tc>
        <w:tc>
          <w:tcPr>
            <w:tcW w:w="1296" w:type="dxa"/>
            <w:shd w:val="clear" w:color="auto" w:fill="D9D9D9" w:themeFill="background1" w:themeFillShade="D9"/>
            <w:noWrap/>
            <w:vAlign w:val="bottom"/>
          </w:tcPr>
          <w:p w:rsidR="00F4711D" w:rsidRPr="007C2D51" w:rsidRDefault="00F4711D">
            <w:pPr>
              <w:jc w:val="right"/>
              <w:cnfStyle w:val="000000000000"/>
              <w:rPr>
                <w:rFonts w:cs="Calibri"/>
                <w:color w:val="000000"/>
              </w:rPr>
            </w:pPr>
          </w:p>
        </w:tc>
        <w:tc>
          <w:tcPr>
            <w:tcW w:w="1296" w:type="dxa"/>
            <w:noWrap/>
            <w:vAlign w:val="bottom"/>
          </w:tcPr>
          <w:p w:rsidR="00F4711D" w:rsidRPr="007C2D51" w:rsidRDefault="00F4711D">
            <w:pPr>
              <w:jc w:val="right"/>
              <w:cnfStyle w:val="000000000000"/>
              <w:rPr>
                <w:rFonts w:cs="Calibri"/>
                <w:color w:val="000000"/>
              </w:rPr>
            </w:pPr>
            <w:r w:rsidRPr="007C2D51">
              <w:rPr>
                <w:rFonts w:cs="Calibri"/>
                <w:color w:val="000000"/>
              </w:rPr>
              <w:t>5%</w:t>
            </w:r>
          </w:p>
        </w:tc>
      </w:tr>
      <w:tr w:rsidR="00F4711D" w:rsidRPr="007C2D51" w:rsidTr="00F15767">
        <w:trPr>
          <w:cnfStyle w:val="000000100000"/>
          <w:trHeight w:val="300"/>
        </w:trPr>
        <w:tc>
          <w:tcPr>
            <w:cnfStyle w:val="001000000000"/>
            <w:tcW w:w="2880" w:type="dxa"/>
            <w:tcBorders>
              <w:top w:val="none" w:sz="0" w:space="0" w:color="auto"/>
              <w:left w:val="none" w:sz="0" w:space="0" w:color="auto"/>
              <w:bottom w:val="none" w:sz="0" w:space="0" w:color="auto"/>
            </w:tcBorders>
            <w:noWrap/>
            <w:vAlign w:val="bottom"/>
          </w:tcPr>
          <w:p w:rsidR="00F4711D" w:rsidRPr="007C2D51" w:rsidRDefault="00F4711D" w:rsidP="00526171">
            <w:pPr>
              <w:pStyle w:val="ListParagraph"/>
              <w:numPr>
                <w:ilvl w:val="0"/>
                <w:numId w:val="27"/>
              </w:numPr>
            </w:pPr>
            <w:r w:rsidRPr="007C2D51">
              <w:t>Materials and marketing</w:t>
            </w:r>
          </w:p>
        </w:tc>
        <w:tc>
          <w:tcPr>
            <w:tcW w:w="1296" w:type="dxa"/>
            <w:tcBorders>
              <w:top w:val="none" w:sz="0" w:space="0" w:color="auto"/>
              <w:bottom w:val="none" w:sz="0" w:space="0" w:color="auto"/>
            </w:tcBorders>
            <w:shd w:val="clear" w:color="auto" w:fill="D9D9D9" w:themeFill="background1" w:themeFillShade="D9"/>
            <w:noWrap/>
            <w:vAlign w:val="bottom"/>
          </w:tcPr>
          <w:p w:rsidR="00F4711D" w:rsidRPr="007C2D51" w:rsidRDefault="00F4711D">
            <w:pPr>
              <w:jc w:val="right"/>
              <w:cnfStyle w:val="000000100000"/>
              <w:rPr>
                <w:rFonts w:cs="Calibri"/>
                <w:color w:val="000000"/>
              </w:rPr>
            </w:pPr>
          </w:p>
        </w:tc>
        <w:tc>
          <w:tcPr>
            <w:tcW w:w="1296" w:type="dxa"/>
            <w:tcBorders>
              <w:top w:val="none" w:sz="0" w:space="0" w:color="auto"/>
              <w:bottom w:val="none" w:sz="0" w:space="0" w:color="auto"/>
            </w:tcBorders>
            <w:shd w:val="clear" w:color="auto" w:fill="D9D9D9" w:themeFill="background1" w:themeFillShade="D9"/>
            <w:noWrap/>
            <w:vAlign w:val="bottom"/>
          </w:tcPr>
          <w:p w:rsidR="00F4711D" w:rsidRPr="007C2D51" w:rsidRDefault="00F4711D">
            <w:pPr>
              <w:jc w:val="right"/>
              <w:cnfStyle w:val="000000100000"/>
              <w:rPr>
                <w:rFonts w:cs="Calibri"/>
                <w:color w:val="000000"/>
              </w:rPr>
            </w:pPr>
          </w:p>
        </w:tc>
        <w:tc>
          <w:tcPr>
            <w:tcW w:w="1296" w:type="dxa"/>
            <w:tcBorders>
              <w:top w:val="none" w:sz="0" w:space="0" w:color="auto"/>
              <w:bottom w:val="none" w:sz="0" w:space="0" w:color="auto"/>
            </w:tcBorders>
            <w:shd w:val="clear" w:color="auto" w:fill="D9D9D9" w:themeFill="background1" w:themeFillShade="D9"/>
            <w:noWrap/>
            <w:vAlign w:val="bottom"/>
          </w:tcPr>
          <w:p w:rsidR="00F4711D" w:rsidRPr="007C2D51" w:rsidRDefault="00F4711D">
            <w:pPr>
              <w:jc w:val="right"/>
              <w:cnfStyle w:val="000000100000"/>
              <w:rPr>
                <w:rFonts w:cs="Calibri"/>
                <w:color w:val="000000"/>
              </w:rPr>
            </w:pPr>
          </w:p>
        </w:tc>
        <w:tc>
          <w:tcPr>
            <w:tcW w:w="1296" w:type="dxa"/>
            <w:tcBorders>
              <w:top w:val="none" w:sz="0" w:space="0" w:color="auto"/>
              <w:bottom w:val="none" w:sz="0" w:space="0" w:color="auto"/>
            </w:tcBorders>
            <w:shd w:val="clear" w:color="auto" w:fill="D9D9D9" w:themeFill="background1" w:themeFillShade="D9"/>
            <w:noWrap/>
            <w:vAlign w:val="bottom"/>
          </w:tcPr>
          <w:p w:rsidR="00F4711D" w:rsidRPr="007C2D51" w:rsidRDefault="00F4711D">
            <w:pPr>
              <w:jc w:val="right"/>
              <w:cnfStyle w:val="000000100000"/>
              <w:rPr>
                <w:rFonts w:cs="Calibri"/>
                <w:color w:val="000000"/>
              </w:rPr>
            </w:pPr>
          </w:p>
        </w:tc>
        <w:tc>
          <w:tcPr>
            <w:tcW w:w="1296" w:type="dxa"/>
            <w:tcBorders>
              <w:top w:val="none" w:sz="0" w:space="0" w:color="auto"/>
              <w:bottom w:val="none" w:sz="0" w:space="0" w:color="auto"/>
              <w:right w:val="none" w:sz="0" w:space="0" w:color="auto"/>
            </w:tcBorders>
            <w:noWrap/>
            <w:vAlign w:val="bottom"/>
          </w:tcPr>
          <w:p w:rsidR="00F4711D" w:rsidRPr="007C2D51" w:rsidRDefault="00F4711D">
            <w:pPr>
              <w:jc w:val="right"/>
              <w:cnfStyle w:val="000000100000"/>
              <w:rPr>
                <w:rFonts w:cs="Calibri"/>
                <w:color w:val="000000"/>
              </w:rPr>
            </w:pPr>
            <w:r w:rsidRPr="007C2D51">
              <w:rPr>
                <w:rFonts w:cs="Calibri"/>
                <w:color w:val="000000"/>
              </w:rPr>
              <w:t>22%</w:t>
            </w:r>
          </w:p>
        </w:tc>
      </w:tr>
      <w:tr w:rsidR="00F4711D" w:rsidRPr="007C2D51" w:rsidTr="00F15767">
        <w:trPr>
          <w:trHeight w:val="300"/>
        </w:trPr>
        <w:tc>
          <w:tcPr>
            <w:cnfStyle w:val="001000000000"/>
            <w:tcW w:w="2880" w:type="dxa"/>
            <w:noWrap/>
            <w:vAlign w:val="bottom"/>
          </w:tcPr>
          <w:p w:rsidR="00F4711D" w:rsidRPr="007C2D51" w:rsidRDefault="00F4711D" w:rsidP="00526171">
            <w:pPr>
              <w:pStyle w:val="ListParagraph"/>
              <w:numPr>
                <w:ilvl w:val="0"/>
                <w:numId w:val="27"/>
              </w:numPr>
            </w:pPr>
            <w:r w:rsidRPr="007C2D51">
              <w:t>Transportation resource training</w:t>
            </w:r>
          </w:p>
        </w:tc>
        <w:tc>
          <w:tcPr>
            <w:tcW w:w="1296" w:type="dxa"/>
            <w:shd w:val="clear" w:color="auto" w:fill="D9D9D9" w:themeFill="background1" w:themeFillShade="D9"/>
            <w:noWrap/>
            <w:vAlign w:val="bottom"/>
          </w:tcPr>
          <w:p w:rsidR="00F4711D" w:rsidRPr="007C2D51" w:rsidRDefault="00F4711D">
            <w:pPr>
              <w:jc w:val="right"/>
              <w:cnfStyle w:val="000000000000"/>
              <w:rPr>
                <w:rFonts w:cs="Calibri"/>
                <w:color w:val="000000"/>
              </w:rPr>
            </w:pPr>
          </w:p>
        </w:tc>
        <w:tc>
          <w:tcPr>
            <w:tcW w:w="1296" w:type="dxa"/>
            <w:shd w:val="clear" w:color="auto" w:fill="D9D9D9" w:themeFill="background1" w:themeFillShade="D9"/>
            <w:noWrap/>
            <w:vAlign w:val="bottom"/>
          </w:tcPr>
          <w:p w:rsidR="00F4711D" w:rsidRPr="007C2D51" w:rsidRDefault="00F4711D">
            <w:pPr>
              <w:jc w:val="right"/>
              <w:cnfStyle w:val="000000000000"/>
              <w:rPr>
                <w:rFonts w:cs="Calibri"/>
                <w:color w:val="000000"/>
              </w:rPr>
            </w:pPr>
          </w:p>
        </w:tc>
        <w:tc>
          <w:tcPr>
            <w:tcW w:w="1296" w:type="dxa"/>
            <w:shd w:val="clear" w:color="auto" w:fill="D9D9D9" w:themeFill="background1" w:themeFillShade="D9"/>
            <w:noWrap/>
            <w:vAlign w:val="bottom"/>
          </w:tcPr>
          <w:p w:rsidR="00F4711D" w:rsidRPr="007C2D51" w:rsidRDefault="00F4711D">
            <w:pPr>
              <w:jc w:val="right"/>
              <w:cnfStyle w:val="000000000000"/>
              <w:rPr>
                <w:rFonts w:cs="Calibri"/>
                <w:color w:val="000000"/>
              </w:rPr>
            </w:pPr>
          </w:p>
        </w:tc>
        <w:tc>
          <w:tcPr>
            <w:tcW w:w="1296" w:type="dxa"/>
            <w:shd w:val="clear" w:color="auto" w:fill="D9D9D9" w:themeFill="background1" w:themeFillShade="D9"/>
            <w:noWrap/>
            <w:vAlign w:val="bottom"/>
          </w:tcPr>
          <w:p w:rsidR="00F4711D" w:rsidRPr="007C2D51" w:rsidRDefault="00F4711D">
            <w:pPr>
              <w:jc w:val="right"/>
              <w:cnfStyle w:val="000000000000"/>
              <w:rPr>
                <w:rFonts w:cs="Calibri"/>
                <w:color w:val="000000"/>
              </w:rPr>
            </w:pPr>
          </w:p>
        </w:tc>
        <w:tc>
          <w:tcPr>
            <w:tcW w:w="1296" w:type="dxa"/>
            <w:noWrap/>
            <w:vAlign w:val="bottom"/>
          </w:tcPr>
          <w:p w:rsidR="00F4711D" w:rsidRPr="007C2D51" w:rsidRDefault="00F4711D">
            <w:pPr>
              <w:jc w:val="right"/>
              <w:cnfStyle w:val="000000000000"/>
              <w:rPr>
                <w:rFonts w:cs="Calibri"/>
                <w:color w:val="000000"/>
              </w:rPr>
            </w:pPr>
            <w:r w:rsidRPr="007C2D51">
              <w:rPr>
                <w:rFonts w:cs="Calibri"/>
                <w:color w:val="000000"/>
              </w:rPr>
              <w:t>17%</w:t>
            </w:r>
          </w:p>
        </w:tc>
      </w:tr>
      <w:tr w:rsidR="00F4711D" w:rsidRPr="007C2D51" w:rsidTr="00F15767">
        <w:trPr>
          <w:cnfStyle w:val="000000100000"/>
          <w:trHeight w:val="300"/>
        </w:trPr>
        <w:tc>
          <w:tcPr>
            <w:cnfStyle w:val="001000000000"/>
            <w:tcW w:w="2880" w:type="dxa"/>
            <w:tcBorders>
              <w:top w:val="none" w:sz="0" w:space="0" w:color="auto"/>
              <w:left w:val="none" w:sz="0" w:space="0" w:color="auto"/>
              <w:bottom w:val="none" w:sz="0" w:space="0" w:color="auto"/>
            </w:tcBorders>
            <w:shd w:val="clear" w:color="auto" w:fill="475A8D" w:themeFill="accent6"/>
            <w:noWrap/>
            <w:vAlign w:val="bottom"/>
          </w:tcPr>
          <w:p w:rsidR="00F4711D" w:rsidRPr="007C2D51" w:rsidRDefault="00F4711D" w:rsidP="004A7F1F">
            <w:pPr>
              <w:rPr>
                <w:color w:val="FFFFFF" w:themeColor="background1"/>
              </w:rPr>
            </w:pPr>
            <w:r w:rsidRPr="007C2D51">
              <w:rPr>
                <w:color w:val="FFFFFF" w:themeColor="background1"/>
              </w:rPr>
              <w:t>III.  Capital Investment</w:t>
            </w:r>
          </w:p>
        </w:tc>
        <w:tc>
          <w:tcPr>
            <w:tcW w:w="1296" w:type="dxa"/>
            <w:tcBorders>
              <w:top w:val="none" w:sz="0" w:space="0" w:color="auto"/>
              <w:bottom w:val="none" w:sz="0" w:space="0" w:color="auto"/>
            </w:tcBorders>
            <w:shd w:val="clear" w:color="auto" w:fill="475A8D" w:themeFill="accent6"/>
            <w:noWrap/>
            <w:vAlign w:val="bottom"/>
          </w:tcPr>
          <w:p w:rsidR="00F4711D" w:rsidRPr="007C2D51" w:rsidRDefault="00F4711D">
            <w:pPr>
              <w:jc w:val="right"/>
              <w:cnfStyle w:val="000000100000"/>
              <w:rPr>
                <w:rFonts w:cs="Calibri"/>
                <w:b/>
                <w:bCs/>
                <w:color w:val="FFFFFF" w:themeColor="background1"/>
              </w:rPr>
            </w:pPr>
            <w:r w:rsidRPr="007C2D51">
              <w:rPr>
                <w:rFonts w:cs="Calibri"/>
                <w:b/>
                <w:bCs/>
                <w:color w:val="FFFFFF" w:themeColor="background1"/>
              </w:rPr>
              <w:t>4%</w:t>
            </w:r>
          </w:p>
        </w:tc>
        <w:tc>
          <w:tcPr>
            <w:tcW w:w="1296" w:type="dxa"/>
            <w:tcBorders>
              <w:top w:val="none" w:sz="0" w:space="0" w:color="auto"/>
              <w:bottom w:val="none" w:sz="0" w:space="0" w:color="auto"/>
            </w:tcBorders>
            <w:shd w:val="clear" w:color="auto" w:fill="475A8D" w:themeFill="accent6"/>
            <w:noWrap/>
            <w:vAlign w:val="bottom"/>
          </w:tcPr>
          <w:p w:rsidR="00F4711D" w:rsidRPr="007C2D51" w:rsidRDefault="00F4711D">
            <w:pPr>
              <w:jc w:val="right"/>
              <w:cnfStyle w:val="000000100000"/>
              <w:rPr>
                <w:rFonts w:cs="Calibri"/>
                <w:b/>
                <w:bCs/>
                <w:color w:val="FFFFFF" w:themeColor="background1"/>
              </w:rPr>
            </w:pPr>
            <w:r w:rsidRPr="007C2D51">
              <w:rPr>
                <w:rFonts w:cs="Calibri"/>
                <w:b/>
                <w:bCs/>
                <w:color w:val="FFFFFF" w:themeColor="background1"/>
              </w:rPr>
              <w:t>3%</w:t>
            </w:r>
          </w:p>
        </w:tc>
        <w:tc>
          <w:tcPr>
            <w:tcW w:w="1296" w:type="dxa"/>
            <w:tcBorders>
              <w:top w:val="none" w:sz="0" w:space="0" w:color="auto"/>
              <w:bottom w:val="none" w:sz="0" w:space="0" w:color="auto"/>
            </w:tcBorders>
            <w:shd w:val="clear" w:color="auto" w:fill="475A8D" w:themeFill="accent6"/>
            <w:noWrap/>
            <w:vAlign w:val="bottom"/>
          </w:tcPr>
          <w:p w:rsidR="00F4711D" w:rsidRPr="007C2D51" w:rsidRDefault="00F4711D">
            <w:pPr>
              <w:jc w:val="right"/>
              <w:cnfStyle w:val="000000100000"/>
              <w:rPr>
                <w:rFonts w:cs="Calibri"/>
                <w:b/>
                <w:bCs/>
                <w:color w:val="FFFFFF" w:themeColor="background1"/>
              </w:rPr>
            </w:pPr>
            <w:r w:rsidRPr="007C2D51">
              <w:rPr>
                <w:rFonts w:cs="Calibri"/>
                <w:b/>
                <w:bCs/>
                <w:color w:val="FFFFFF" w:themeColor="background1"/>
              </w:rPr>
              <w:t>17%</w:t>
            </w:r>
          </w:p>
        </w:tc>
        <w:tc>
          <w:tcPr>
            <w:tcW w:w="1296" w:type="dxa"/>
            <w:tcBorders>
              <w:top w:val="none" w:sz="0" w:space="0" w:color="auto"/>
              <w:bottom w:val="none" w:sz="0" w:space="0" w:color="auto"/>
            </w:tcBorders>
            <w:shd w:val="clear" w:color="auto" w:fill="475A8D" w:themeFill="accent6"/>
            <w:noWrap/>
            <w:vAlign w:val="bottom"/>
          </w:tcPr>
          <w:p w:rsidR="00F4711D" w:rsidRPr="007C2D51" w:rsidRDefault="00F4711D">
            <w:pPr>
              <w:jc w:val="right"/>
              <w:cnfStyle w:val="000000100000"/>
              <w:rPr>
                <w:rFonts w:cs="Calibri"/>
                <w:b/>
                <w:bCs/>
                <w:color w:val="FFFFFF" w:themeColor="background1"/>
              </w:rPr>
            </w:pPr>
            <w:r w:rsidRPr="007C2D51">
              <w:rPr>
                <w:rFonts w:cs="Calibri"/>
                <w:b/>
                <w:bCs/>
                <w:color w:val="FFFFFF" w:themeColor="background1"/>
              </w:rPr>
              <w:t>14%</w:t>
            </w:r>
          </w:p>
        </w:tc>
        <w:tc>
          <w:tcPr>
            <w:tcW w:w="1296" w:type="dxa"/>
            <w:tcBorders>
              <w:top w:val="none" w:sz="0" w:space="0" w:color="auto"/>
              <w:bottom w:val="none" w:sz="0" w:space="0" w:color="auto"/>
              <w:right w:val="none" w:sz="0" w:space="0" w:color="auto"/>
            </w:tcBorders>
            <w:shd w:val="clear" w:color="auto" w:fill="475A8D" w:themeFill="accent6"/>
            <w:noWrap/>
            <w:vAlign w:val="bottom"/>
          </w:tcPr>
          <w:p w:rsidR="00F4711D" w:rsidRPr="007C2D51" w:rsidRDefault="00F4711D">
            <w:pPr>
              <w:jc w:val="right"/>
              <w:cnfStyle w:val="000000100000"/>
              <w:rPr>
                <w:rFonts w:cs="Calibri"/>
                <w:b/>
                <w:bCs/>
                <w:color w:val="FFFFFF" w:themeColor="background1"/>
              </w:rPr>
            </w:pPr>
            <w:r w:rsidRPr="007C2D51">
              <w:rPr>
                <w:rFonts w:cs="Calibri"/>
                <w:b/>
                <w:bCs/>
                <w:color w:val="FFFFFF" w:themeColor="background1"/>
              </w:rPr>
              <w:t>0%</w:t>
            </w:r>
          </w:p>
        </w:tc>
      </w:tr>
      <w:tr w:rsidR="00F4711D" w:rsidRPr="007C2D51" w:rsidTr="00F15767">
        <w:trPr>
          <w:trHeight w:val="300"/>
        </w:trPr>
        <w:tc>
          <w:tcPr>
            <w:cnfStyle w:val="001000000000"/>
            <w:tcW w:w="2880" w:type="dxa"/>
            <w:noWrap/>
            <w:vAlign w:val="bottom"/>
          </w:tcPr>
          <w:p w:rsidR="00F4711D" w:rsidRPr="007C2D51" w:rsidRDefault="00F4711D" w:rsidP="00526171">
            <w:pPr>
              <w:pStyle w:val="ListParagraph"/>
              <w:numPr>
                <w:ilvl w:val="0"/>
                <w:numId w:val="28"/>
              </w:numPr>
            </w:pPr>
            <w:r w:rsidRPr="007C2D51">
              <w:t>Vehicle for individual</w:t>
            </w:r>
          </w:p>
        </w:tc>
        <w:tc>
          <w:tcPr>
            <w:tcW w:w="1296" w:type="dxa"/>
            <w:shd w:val="clear" w:color="auto" w:fill="D9D9D9" w:themeFill="background1" w:themeFillShade="D9"/>
            <w:noWrap/>
            <w:vAlign w:val="bottom"/>
          </w:tcPr>
          <w:p w:rsidR="00F4711D" w:rsidRPr="007C2D51" w:rsidRDefault="00F4711D">
            <w:pPr>
              <w:jc w:val="right"/>
              <w:cnfStyle w:val="000000000000"/>
              <w:rPr>
                <w:rFonts w:cs="Calibri"/>
                <w:color w:val="000000"/>
              </w:rPr>
            </w:pPr>
          </w:p>
        </w:tc>
        <w:tc>
          <w:tcPr>
            <w:tcW w:w="1296" w:type="dxa"/>
            <w:shd w:val="clear" w:color="auto" w:fill="D9D9D9" w:themeFill="background1" w:themeFillShade="D9"/>
            <w:noWrap/>
            <w:vAlign w:val="bottom"/>
          </w:tcPr>
          <w:p w:rsidR="00F4711D" w:rsidRPr="007C2D51" w:rsidRDefault="00F4711D">
            <w:pPr>
              <w:jc w:val="right"/>
              <w:cnfStyle w:val="000000000000"/>
              <w:rPr>
                <w:rFonts w:cs="Calibri"/>
                <w:color w:val="000000"/>
              </w:rPr>
            </w:pPr>
          </w:p>
        </w:tc>
        <w:tc>
          <w:tcPr>
            <w:tcW w:w="1296" w:type="dxa"/>
            <w:shd w:val="clear" w:color="auto" w:fill="D9D9D9" w:themeFill="background1" w:themeFillShade="D9"/>
            <w:noWrap/>
            <w:vAlign w:val="bottom"/>
          </w:tcPr>
          <w:p w:rsidR="00F4711D" w:rsidRPr="007C2D51" w:rsidRDefault="00F4711D">
            <w:pPr>
              <w:jc w:val="right"/>
              <w:cnfStyle w:val="000000000000"/>
              <w:rPr>
                <w:rFonts w:cs="Calibri"/>
                <w:color w:val="000000"/>
              </w:rPr>
            </w:pPr>
          </w:p>
        </w:tc>
        <w:tc>
          <w:tcPr>
            <w:tcW w:w="1296" w:type="dxa"/>
            <w:shd w:val="clear" w:color="auto" w:fill="auto"/>
            <w:noWrap/>
            <w:vAlign w:val="bottom"/>
          </w:tcPr>
          <w:p w:rsidR="00F4711D" w:rsidRPr="007C2D51" w:rsidRDefault="00F4711D">
            <w:pPr>
              <w:jc w:val="right"/>
              <w:cnfStyle w:val="000000000000"/>
              <w:rPr>
                <w:rFonts w:cs="Calibri"/>
                <w:color w:val="000000"/>
              </w:rPr>
            </w:pPr>
            <w:r w:rsidRPr="007C2D51">
              <w:rPr>
                <w:rFonts w:cs="Calibri"/>
                <w:color w:val="000000"/>
              </w:rPr>
              <w:t>10%</w:t>
            </w:r>
          </w:p>
        </w:tc>
        <w:tc>
          <w:tcPr>
            <w:tcW w:w="1296" w:type="dxa"/>
            <w:shd w:val="clear" w:color="auto" w:fill="D9D9D9" w:themeFill="background1" w:themeFillShade="D9"/>
            <w:noWrap/>
            <w:vAlign w:val="bottom"/>
          </w:tcPr>
          <w:p w:rsidR="00F4711D" w:rsidRPr="007C2D51" w:rsidRDefault="00F4711D">
            <w:pPr>
              <w:jc w:val="right"/>
              <w:cnfStyle w:val="000000000000"/>
              <w:rPr>
                <w:rFonts w:cs="Calibri"/>
                <w:color w:val="000000"/>
              </w:rPr>
            </w:pPr>
          </w:p>
        </w:tc>
      </w:tr>
      <w:tr w:rsidR="00F4711D" w:rsidRPr="007C2D51" w:rsidTr="00F15767">
        <w:trPr>
          <w:cnfStyle w:val="000000100000"/>
          <w:trHeight w:val="300"/>
        </w:trPr>
        <w:tc>
          <w:tcPr>
            <w:cnfStyle w:val="001000000000"/>
            <w:tcW w:w="2880" w:type="dxa"/>
            <w:tcBorders>
              <w:top w:val="none" w:sz="0" w:space="0" w:color="auto"/>
              <w:left w:val="none" w:sz="0" w:space="0" w:color="auto"/>
              <w:bottom w:val="none" w:sz="0" w:space="0" w:color="auto"/>
            </w:tcBorders>
            <w:noWrap/>
            <w:vAlign w:val="bottom"/>
          </w:tcPr>
          <w:p w:rsidR="00F4711D" w:rsidRPr="007C2D51" w:rsidRDefault="00F4711D" w:rsidP="00526171">
            <w:pPr>
              <w:pStyle w:val="ListParagraph"/>
              <w:numPr>
                <w:ilvl w:val="0"/>
                <w:numId w:val="28"/>
              </w:numPr>
            </w:pPr>
            <w:r w:rsidRPr="007C2D51">
              <w:t>Vehicle for agency</w:t>
            </w:r>
          </w:p>
        </w:tc>
        <w:tc>
          <w:tcPr>
            <w:tcW w:w="1296" w:type="dxa"/>
            <w:tcBorders>
              <w:top w:val="none" w:sz="0" w:space="0" w:color="auto"/>
              <w:bottom w:val="none" w:sz="0" w:space="0" w:color="auto"/>
            </w:tcBorders>
            <w:shd w:val="clear" w:color="auto" w:fill="auto"/>
            <w:noWrap/>
            <w:vAlign w:val="bottom"/>
          </w:tcPr>
          <w:p w:rsidR="00F4711D" w:rsidRPr="007C2D51" w:rsidRDefault="00F4711D">
            <w:pPr>
              <w:jc w:val="right"/>
              <w:cnfStyle w:val="000000100000"/>
              <w:rPr>
                <w:rFonts w:cs="Calibri"/>
                <w:color w:val="000000"/>
              </w:rPr>
            </w:pPr>
            <w:r w:rsidRPr="007C2D51">
              <w:rPr>
                <w:rFonts w:cs="Calibri"/>
                <w:color w:val="000000"/>
              </w:rPr>
              <w:t>3%</w:t>
            </w:r>
          </w:p>
        </w:tc>
        <w:tc>
          <w:tcPr>
            <w:tcW w:w="1296" w:type="dxa"/>
            <w:tcBorders>
              <w:top w:val="none" w:sz="0" w:space="0" w:color="auto"/>
              <w:bottom w:val="none" w:sz="0" w:space="0" w:color="auto"/>
            </w:tcBorders>
            <w:shd w:val="clear" w:color="auto" w:fill="auto"/>
            <w:noWrap/>
            <w:vAlign w:val="bottom"/>
          </w:tcPr>
          <w:p w:rsidR="00F4711D" w:rsidRPr="007C2D51" w:rsidRDefault="00F4711D">
            <w:pPr>
              <w:jc w:val="right"/>
              <w:cnfStyle w:val="000000100000"/>
              <w:rPr>
                <w:rFonts w:cs="Calibri"/>
                <w:color w:val="000000"/>
              </w:rPr>
            </w:pPr>
            <w:r w:rsidRPr="007C2D51">
              <w:rPr>
                <w:rFonts w:cs="Calibri"/>
                <w:color w:val="000000"/>
              </w:rPr>
              <w:t>3%</w:t>
            </w:r>
          </w:p>
        </w:tc>
        <w:tc>
          <w:tcPr>
            <w:tcW w:w="1296" w:type="dxa"/>
            <w:tcBorders>
              <w:top w:val="none" w:sz="0" w:space="0" w:color="auto"/>
              <w:bottom w:val="none" w:sz="0" w:space="0" w:color="auto"/>
            </w:tcBorders>
            <w:shd w:val="clear" w:color="auto" w:fill="auto"/>
            <w:noWrap/>
            <w:vAlign w:val="bottom"/>
          </w:tcPr>
          <w:p w:rsidR="00F4711D" w:rsidRPr="007C2D51" w:rsidRDefault="00F4711D">
            <w:pPr>
              <w:jc w:val="right"/>
              <w:cnfStyle w:val="000000100000"/>
              <w:rPr>
                <w:rFonts w:cs="Calibri"/>
                <w:color w:val="000000"/>
              </w:rPr>
            </w:pPr>
            <w:r w:rsidRPr="007C2D51">
              <w:rPr>
                <w:rFonts w:cs="Calibri"/>
                <w:color w:val="000000"/>
              </w:rPr>
              <w:t>12%</w:t>
            </w:r>
          </w:p>
        </w:tc>
        <w:tc>
          <w:tcPr>
            <w:tcW w:w="1296" w:type="dxa"/>
            <w:tcBorders>
              <w:top w:val="none" w:sz="0" w:space="0" w:color="auto"/>
              <w:bottom w:val="none" w:sz="0" w:space="0" w:color="auto"/>
            </w:tcBorders>
            <w:shd w:val="clear" w:color="auto" w:fill="D9D9D9" w:themeFill="background1" w:themeFillShade="D9"/>
            <w:noWrap/>
            <w:vAlign w:val="bottom"/>
          </w:tcPr>
          <w:p w:rsidR="00F4711D" w:rsidRPr="007C2D51" w:rsidRDefault="00F4711D">
            <w:pPr>
              <w:jc w:val="right"/>
              <w:cnfStyle w:val="000000100000"/>
              <w:rPr>
                <w:rFonts w:cs="Calibri"/>
                <w:color w:val="000000"/>
              </w:rPr>
            </w:pPr>
          </w:p>
        </w:tc>
        <w:tc>
          <w:tcPr>
            <w:tcW w:w="1296" w:type="dxa"/>
            <w:tcBorders>
              <w:top w:val="none" w:sz="0" w:space="0" w:color="auto"/>
              <w:bottom w:val="none" w:sz="0" w:space="0" w:color="auto"/>
              <w:right w:val="none" w:sz="0" w:space="0" w:color="auto"/>
            </w:tcBorders>
            <w:shd w:val="clear" w:color="auto" w:fill="D9D9D9" w:themeFill="background1" w:themeFillShade="D9"/>
            <w:noWrap/>
            <w:vAlign w:val="bottom"/>
          </w:tcPr>
          <w:p w:rsidR="00F4711D" w:rsidRPr="007C2D51" w:rsidRDefault="00F4711D">
            <w:pPr>
              <w:jc w:val="right"/>
              <w:cnfStyle w:val="000000100000"/>
              <w:rPr>
                <w:rFonts w:cs="Calibri"/>
                <w:color w:val="000000"/>
              </w:rPr>
            </w:pPr>
          </w:p>
        </w:tc>
      </w:tr>
      <w:tr w:rsidR="00F4711D" w:rsidRPr="007C2D51" w:rsidTr="00F15767">
        <w:trPr>
          <w:trHeight w:val="300"/>
        </w:trPr>
        <w:tc>
          <w:tcPr>
            <w:cnfStyle w:val="001000000000"/>
            <w:tcW w:w="2880" w:type="dxa"/>
            <w:noWrap/>
            <w:vAlign w:val="bottom"/>
          </w:tcPr>
          <w:p w:rsidR="00F4711D" w:rsidRPr="007C2D51" w:rsidRDefault="00F4711D" w:rsidP="00526171">
            <w:pPr>
              <w:pStyle w:val="ListParagraph"/>
              <w:numPr>
                <w:ilvl w:val="0"/>
                <w:numId w:val="28"/>
              </w:numPr>
            </w:pPr>
            <w:r w:rsidRPr="007C2D51">
              <w:t>Vanpool vehicles</w:t>
            </w:r>
          </w:p>
        </w:tc>
        <w:tc>
          <w:tcPr>
            <w:tcW w:w="1296" w:type="dxa"/>
            <w:shd w:val="clear" w:color="auto" w:fill="D9D9D9" w:themeFill="background1" w:themeFillShade="D9"/>
            <w:noWrap/>
            <w:vAlign w:val="bottom"/>
          </w:tcPr>
          <w:p w:rsidR="00F4711D" w:rsidRPr="007C2D51" w:rsidRDefault="00F4711D">
            <w:pPr>
              <w:jc w:val="right"/>
              <w:cnfStyle w:val="000000000000"/>
              <w:rPr>
                <w:rFonts w:cs="Calibri"/>
                <w:color w:val="000000"/>
              </w:rPr>
            </w:pPr>
          </w:p>
        </w:tc>
        <w:tc>
          <w:tcPr>
            <w:tcW w:w="1296" w:type="dxa"/>
            <w:shd w:val="clear" w:color="auto" w:fill="D9D9D9" w:themeFill="background1" w:themeFillShade="D9"/>
            <w:noWrap/>
            <w:vAlign w:val="bottom"/>
          </w:tcPr>
          <w:p w:rsidR="00F4711D" w:rsidRPr="007C2D51" w:rsidRDefault="00F4711D">
            <w:pPr>
              <w:jc w:val="right"/>
              <w:cnfStyle w:val="000000000000"/>
              <w:rPr>
                <w:rFonts w:cs="Calibri"/>
                <w:color w:val="000000"/>
              </w:rPr>
            </w:pPr>
          </w:p>
        </w:tc>
        <w:tc>
          <w:tcPr>
            <w:tcW w:w="1296" w:type="dxa"/>
            <w:shd w:val="clear" w:color="auto" w:fill="auto"/>
            <w:noWrap/>
            <w:vAlign w:val="bottom"/>
          </w:tcPr>
          <w:p w:rsidR="00F4711D" w:rsidRPr="007C2D51" w:rsidRDefault="00F4711D">
            <w:pPr>
              <w:jc w:val="right"/>
              <w:cnfStyle w:val="000000000000"/>
              <w:rPr>
                <w:rFonts w:cs="Calibri"/>
                <w:color w:val="000000"/>
              </w:rPr>
            </w:pPr>
            <w:r w:rsidRPr="007C2D51">
              <w:rPr>
                <w:rFonts w:cs="Calibri"/>
                <w:color w:val="000000"/>
              </w:rPr>
              <w:t>1%</w:t>
            </w:r>
          </w:p>
        </w:tc>
        <w:tc>
          <w:tcPr>
            <w:tcW w:w="1296" w:type="dxa"/>
            <w:noWrap/>
            <w:vAlign w:val="bottom"/>
          </w:tcPr>
          <w:p w:rsidR="00F4711D" w:rsidRPr="007C2D51" w:rsidRDefault="00F4711D">
            <w:pPr>
              <w:jc w:val="right"/>
              <w:cnfStyle w:val="000000000000"/>
              <w:rPr>
                <w:rFonts w:cs="Calibri"/>
                <w:color w:val="000000"/>
              </w:rPr>
            </w:pPr>
            <w:r w:rsidRPr="007C2D51">
              <w:rPr>
                <w:rFonts w:cs="Calibri"/>
                <w:color w:val="000000"/>
              </w:rPr>
              <w:t>1%</w:t>
            </w:r>
          </w:p>
        </w:tc>
        <w:tc>
          <w:tcPr>
            <w:tcW w:w="1296" w:type="dxa"/>
            <w:shd w:val="clear" w:color="auto" w:fill="D9D9D9" w:themeFill="background1" w:themeFillShade="D9"/>
            <w:noWrap/>
            <w:vAlign w:val="bottom"/>
          </w:tcPr>
          <w:p w:rsidR="00F4711D" w:rsidRPr="007C2D51" w:rsidRDefault="00F4711D">
            <w:pPr>
              <w:jc w:val="right"/>
              <w:cnfStyle w:val="000000000000"/>
              <w:rPr>
                <w:rFonts w:cs="Calibri"/>
                <w:color w:val="000000"/>
              </w:rPr>
            </w:pPr>
          </w:p>
        </w:tc>
      </w:tr>
      <w:tr w:rsidR="00F4711D" w:rsidRPr="007C2D51" w:rsidTr="00F15767">
        <w:trPr>
          <w:cnfStyle w:val="000000100000"/>
          <w:trHeight w:val="300"/>
        </w:trPr>
        <w:tc>
          <w:tcPr>
            <w:cnfStyle w:val="001000000000"/>
            <w:tcW w:w="2880" w:type="dxa"/>
            <w:tcBorders>
              <w:top w:val="none" w:sz="0" w:space="0" w:color="auto"/>
              <w:left w:val="none" w:sz="0" w:space="0" w:color="auto"/>
              <w:bottom w:val="none" w:sz="0" w:space="0" w:color="auto"/>
            </w:tcBorders>
            <w:noWrap/>
            <w:vAlign w:val="bottom"/>
          </w:tcPr>
          <w:p w:rsidR="00F4711D" w:rsidRPr="007C2D51" w:rsidRDefault="00F4711D" w:rsidP="00526171">
            <w:pPr>
              <w:pStyle w:val="ListParagraph"/>
              <w:numPr>
                <w:ilvl w:val="0"/>
                <w:numId w:val="28"/>
              </w:numPr>
            </w:pPr>
            <w:r w:rsidRPr="007C2D51">
              <w:t>Car-sharing</w:t>
            </w:r>
          </w:p>
        </w:tc>
        <w:tc>
          <w:tcPr>
            <w:tcW w:w="1296" w:type="dxa"/>
            <w:tcBorders>
              <w:top w:val="none" w:sz="0" w:space="0" w:color="auto"/>
              <w:bottom w:val="none" w:sz="0" w:space="0" w:color="auto"/>
            </w:tcBorders>
            <w:noWrap/>
            <w:vAlign w:val="bottom"/>
          </w:tcPr>
          <w:p w:rsidR="00F4711D" w:rsidRPr="007C2D51" w:rsidRDefault="00F4711D">
            <w:pPr>
              <w:jc w:val="right"/>
              <w:cnfStyle w:val="000000100000"/>
              <w:rPr>
                <w:rFonts w:cs="Calibri"/>
                <w:color w:val="000000"/>
              </w:rPr>
            </w:pPr>
            <w:r w:rsidRPr="007C2D51">
              <w:rPr>
                <w:rFonts w:cs="Calibri"/>
                <w:color w:val="000000"/>
              </w:rPr>
              <w:t>0%</w:t>
            </w:r>
          </w:p>
        </w:tc>
        <w:tc>
          <w:tcPr>
            <w:tcW w:w="1296" w:type="dxa"/>
            <w:tcBorders>
              <w:top w:val="none" w:sz="0" w:space="0" w:color="auto"/>
              <w:bottom w:val="none" w:sz="0" w:space="0" w:color="auto"/>
            </w:tcBorders>
            <w:shd w:val="clear" w:color="auto" w:fill="D9D9D9" w:themeFill="background1" w:themeFillShade="D9"/>
            <w:noWrap/>
            <w:vAlign w:val="bottom"/>
          </w:tcPr>
          <w:p w:rsidR="00F4711D" w:rsidRPr="007C2D51" w:rsidRDefault="00F4711D">
            <w:pPr>
              <w:jc w:val="right"/>
              <w:cnfStyle w:val="000000100000"/>
              <w:rPr>
                <w:rFonts w:cs="Calibri"/>
                <w:color w:val="000000"/>
              </w:rPr>
            </w:pPr>
          </w:p>
        </w:tc>
        <w:tc>
          <w:tcPr>
            <w:tcW w:w="1296" w:type="dxa"/>
            <w:tcBorders>
              <w:top w:val="none" w:sz="0" w:space="0" w:color="auto"/>
              <w:bottom w:val="none" w:sz="0" w:space="0" w:color="auto"/>
            </w:tcBorders>
            <w:noWrap/>
            <w:vAlign w:val="bottom"/>
          </w:tcPr>
          <w:p w:rsidR="00F4711D" w:rsidRPr="007C2D51" w:rsidRDefault="00F4711D">
            <w:pPr>
              <w:jc w:val="right"/>
              <w:cnfStyle w:val="000000100000"/>
              <w:rPr>
                <w:rFonts w:cs="Calibri"/>
                <w:color w:val="000000"/>
              </w:rPr>
            </w:pPr>
            <w:r w:rsidRPr="007C2D51">
              <w:rPr>
                <w:rFonts w:cs="Calibri"/>
                <w:color w:val="000000"/>
              </w:rPr>
              <w:t>0%</w:t>
            </w:r>
          </w:p>
        </w:tc>
        <w:tc>
          <w:tcPr>
            <w:tcW w:w="1296" w:type="dxa"/>
            <w:tcBorders>
              <w:top w:val="none" w:sz="0" w:space="0" w:color="auto"/>
              <w:bottom w:val="none" w:sz="0" w:space="0" w:color="auto"/>
            </w:tcBorders>
            <w:shd w:val="clear" w:color="auto" w:fill="D9D9D9" w:themeFill="background1" w:themeFillShade="D9"/>
            <w:noWrap/>
            <w:vAlign w:val="bottom"/>
          </w:tcPr>
          <w:p w:rsidR="00F4711D" w:rsidRPr="007C2D51" w:rsidRDefault="00F4711D">
            <w:pPr>
              <w:jc w:val="right"/>
              <w:cnfStyle w:val="000000100000"/>
              <w:rPr>
                <w:rFonts w:cs="Calibri"/>
                <w:color w:val="000000"/>
              </w:rPr>
            </w:pPr>
          </w:p>
        </w:tc>
        <w:tc>
          <w:tcPr>
            <w:tcW w:w="1296" w:type="dxa"/>
            <w:tcBorders>
              <w:top w:val="none" w:sz="0" w:space="0" w:color="auto"/>
              <w:bottom w:val="none" w:sz="0" w:space="0" w:color="auto"/>
              <w:right w:val="none" w:sz="0" w:space="0" w:color="auto"/>
            </w:tcBorders>
            <w:shd w:val="clear" w:color="auto" w:fill="D9D9D9" w:themeFill="background1" w:themeFillShade="D9"/>
            <w:noWrap/>
            <w:vAlign w:val="bottom"/>
          </w:tcPr>
          <w:p w:rsidR="00F4711D" w:rsidRPr="007C2D51" w:rsidRDefault="00F4711D">
            <w:pPr>
              <w:jc w:val="right"/>
              <w:cnfStyle w:val="000000100000"/>
              <w:rPr>
                <w:rFonts w:cs="Calibri"/>
                <w:color w:val="000000"/>
              </w:rPr>
            </w:pPr>
          </w:p>
        </w:tc>
      </w:tr>
      <w:tr w:rsidR="00F4711D" w:rsidRPr="007C2D51" w:rsidTr="00F15767">
        <w:trPr>
          <w:trHeight w:val="300"/>
        </w:trPr>
        <w:tc>
          <w:tcPr>
            <w:cnfStyle w:val="001000000000"/>
            <w:tcW w:w="2880" w:type="dxa"/>
            <w:noWrap/>
            <w:vAlign w:val="bottom"/>
          </w:tcPr>
          <w:p w:rsidR="00F4711D" w:rsidRPr="007C2D51" w:rsidRDefault="00F4711D" w:rsidP="00526171">
            <w:pPr>
              <w:pStyle w:val="ListParagraph"/>
              <w:numPr>
                <w:ilvl w:val="0"/>
                <w:numId w:val="28"/>
              </w:numPr>
            </w:pPr>
            <w:r w:rsidRPr="007C2D51">
              <w:t>ITS investments</w:t>
            </w:r>
          </w:p>
        </w:tc>
        <w:tc>
          <w:tcPr>
            <w:tcW w:w="1296" w:type="dxa"/>
            <w:shd w:val="clear" w:color="auto" w:fill="D9D9D9" w:themeFill="background1" w:themeFillShade="D9"/>
            <w:noWrap/>
            <w:vAlign w:val="bottom"/>
          </w:tcPr>
          <w:p w:rsidR="00F4711D" w:rsidRPr="007C2D51" w:rsidRDefault="00F4711D">
            <w:pPr>
              <w:jc w:val="right"/>
              <w:cnfStyle w:val="000000000000"/>
              <w:rPr>
                <w:rFonts w:cs="Calibri"/>
                <w:color w:val="000000"/>
              </w:rPr>
            </w:pPr>
          </w:p>
        </w:tc>
        <w:tc>
          <w:tcPr>
            <w:tcW w:w="1296" w:type="dxa"/>
            <w:shd w:val="clear" w:color="auto" w:fill="D9D9D9" w:themeFill="background1" w:themeFillShade="D9"/>
            <w:noWrap/>
            <w:vAlign w:val="bottom"/>
          </w:tcPr>
          <w:p w:rsidR="00F4711D" w:rsidRPr="007C2D51" w:rsidRDefault="00F4711D">
            <w:pPr>
              <w:jc w:val="right"/>
              <w:cnfStyle w:val="000000000000"/>
              <w:rPr>
                <w:rFonts w:cs="Calibri"/>
                <w:color w:val="000000"/>
              </w:rPr>
            </w:pPr>
          </w:p>
        </w:tc>
        <w:tc>
          <w:tcPr>
            <w:tcW w:w="1296" w:type="dxa"/>
            <w:noWrap/>
            <w:vAlign w:val="bottom"/>
          </w:tcPr>
          <w:p w:rsidR="00F4711D" w:rsidRPr="007C2D51" w:rsidRDefault="00F4711D">
            <w:pPr>
              <w:jc w:val="right"/>
              <w:cnfStyle w:val="000000000000"/>
              <w:rPr>
                <w:rFonts w:cs="Calibri"/>
                <w:color w:val="000000"/>
              </w:rPr>
            </w:pPr>
            <w:r w:rsidRPr="007C2D51">
              <w:rPr>
                <w:rFonts w:cs="Calibri"/>
                <w:color w:val="000000"/>
              </w:rPr>
              <w:t>5%</w:t>
            </w:r>
          </w:p>
        </w:tc>
        <w:tc>
          <w:tcPr>
            <w:tcW w:w="1296" w:type="dxa"/>
            <w:noWrap/>
            <w:vAlign w:val="bottom"/>
          </w:tcPr>
          <w:p w:rsidR="00F4711D" w:rsidRPr="007C2D51" w:rsidRDefault="00F4711D">
            <w:pPr>
              <w:jc w:val="right"/>
              <w:cnfStyle w:val="000000000000"/>
              <w:rPr>
                <w:rFonts w:cs="Calibri"/>
                <w:color w:val="000000"/>
              </w:rPr>
            </w:pPr>
            <w:r w:rsidRPr="007C2D51">
              <w:rPr>
                <w:rFonts w:cs="Calibri"/>
                <w:color w:val="000000"/>
              </w:rPr>
              <w:t>2%</w:t>
            </w:r>
          </w:p>
        </w:tc>
        <w:tc>
          <w:tcPr>
            <w:tcW w:w="1296" w:type="dxa"/>
            <w:noWrap/>
            <w:vAlign w:val="bottom"/>
          </w:tcPr>
          <w:p w:rsidR="00F4711D" w:rsidRPr="007C2D51" w:rsidRDefault="00F4711D">
            <w:pPr>
              <w:jc w:val="right"/>
              <w:cnfStyle w:val="000000000000"/>
              <w:rPr>
                <w:rFonts w:cs="Calibri"/>
                <w:color w:val="000000"/>
              </w:rPr>
            </w:pPr>
            <w:r w:rsidRPr="007C2D51">
              <w:rPr>
                <w:rFonts w:cs="Calibri"/>
                <w:color w:val="000000"/>
              </w:rPr>
              <w:t>0%</w:t>
            </w:r>
          </w:p>
        </w:tc>
      </w:tr>
      <w:tr w:rsidR="00F4711D" w:rsidRPr="007C2D51" w:rsidTr="00F15767">
        <w:trPr>
          <w:cnfStyle w:val="000000100000"/>
          <w:trHeight w:val="377"/>
        </w:trPr>
        <w:tc>
          <w:tcPr>
            <w:cnfStyle w:val="001000000000"/>
            <w:tcW w:w="2880" w:type="dxa"/>
            <w:tcBorders>
              <w:top w:val="none" w:sz="0" w:space="0" w:color="auto"/>
              <w:left w:val="none" w:sz="0" w:space="0" w:color="auto"/>
              <w:bottom w:val="none" w:sz="0" w:space="0" w:color="auto"/>
            </w:tcBorders>
            <w:noWrap/>
            <w:vAlign w:val="bottom"/>
          </w:tcPr>
          <w:p w:rsidR="00F4711D" w:rsidRPr="007C2D51" w:rsidRDefault="00F4711D" w:rsidP="00526171">
            <w:pPr>
              <w:pStyle w:val="ListParagraph"/>
              <w:numPr>
                <w:ilvl w:val="0"/>
                <w:numId w:val="28"/>
              </w:numPr>
            </w:pPr>
            <w:r w:rsidRPr="007C2D51">
              <w:t>Other capital projects</w:t>
            </w:r>
          </w:p>
        </w:tc>
        <w:tc>
          <w:tcPr>
            <w:tcW w:w="1296" w:type="dxa"/>
            <w:tcBorders>
              <w:top w:val="none" w:sz="0" w:space="0" w:color="auto"/>
              <w:bottom w:val="none" w:sz="0" w:space="0" w:color="auto"/>
            </w:tcBorders>
            <w:noWrap/>
            <w:vAlign w:val="bottom"/>
          </w:tcPr>
          <w:p w:rsidR="00F4711D" w:rsidRPr="007C2D51" w:rsidRDefault="00F4711D">
            <w:pPr>
              <w:jc w:val="right"/>
              <w:cnfStyle w:val="000000100000"/>
              <w:rPr>
                <w:rFonts w:cs="Calibri"/>
                <w:color w:val="000000"/>
              </w:rPr>
            </w:pPr>
            <w:r w:rsidRPr="007C2D51">
              <w:rPr>
                <w:rFonts w:cs="Calibri"/>
                <w:color w:val="000000"/>
              </w:rPr>
              <w:t>0%</w:t>
            </w:r>
          </w:p>
        </w:tc>
        <w:tc>
          <w:tcPr>
            <w:tcW w:w="1296" w:type="dxa"/>
            <w:tcBorders>
              <w:top w:val="none" w:sz="0" w:space="0" w:color="auto"/>
              <w:bottom w:val="none" w:sz="0" w:space="0" w:color="auto"/>
            </w:tcBorders>
            <w:noWrap/>
            <w:vAlign w:val="bottom"/>
          </w:tcPr>
          <w:p w:rsidR="00F4711D" w:rsidRPr="007C2D51" w:rsidRDefault="00F4711D">
            <w:pPr>
              <w:jc w:val="right"/>
              <w:cnfStyle w:val="000000100000"/>
              <w:rPr>
                <w:rFonts w:cs="Calibri"/>
                <w:color w:val="000000"/>
              </w:rPr>
            </w:pPr>
            <w:r w:rsidRPr="007C2D51">
              <w:rPr>
                <w:rFonts w:cs="Calibri"/>
                <w:color w:val="000000"/>
              </w:rPr>
              <w:t>0%</w:t>
            </w:r>
          </w:p>
        </w:tc>
        <w:tc>
          <w:tcPr>
            <w:tcW w:w="1296" w:type="dxa"/>
            <w:tcBorders>
              <w:top w:val="none" w:sz="0" w:space="0" w:color="auto"/>
              <w:bottom w:val="none" w:sz="0" w:space="0" w:color="auto"/>
            </w:tcBorders>
            <w:noWrap/>
            <w:vAlign w:val="bottom"/>
          </w:tcPr>
          <w:p w:rsidR="00F4711D" w:rsidRPr="007C2D51" w:rsidRDefault="00F4711D">
            <w:pPr>
              <w:jc w:val="right"/>
              <w:cnfStyle w:val="000000100000"/>
              <w:rPr>
                <w:rFonts w:cs="Calibri"/>
                <w:color w:val="000000"/>
              </w:rPr>
            </w:pPr>
            <w:r w:rsidRPr="007C2D51">
              <w:rPr>
                <w:rFonts w:cs="Calibri"/>
                <w:color w:val="000000"/>
              </w:rPr>
              <w:t>0%</w:t>
            </w:r>
          </w:p>
        </w:tc>
        <w:tc>
          <w:tcPr>
            <w:tcW w:w="1296" w:type="dxa"/>
            <w:tcBorders>
              <w:top w:val="none" w:sz="0" w:space="0" w:color="auto"/>
              <w:bottom w:val="none" w:sz="0" w:space="0" w:color="auto"/>
            </w:tcBorders>
            <w:noWrap/>
            <w:vAlign w:val="bottom"/>
          </w:tcPr>
          <w:p w:rsidR="00F4711D" w:rsidRPr="007C2D51" w:rsidRDefault="00F4711D">
            <w:pPr>
              <w:jc w:val="right"/>
              <w:cnfStyle w:val="000000100000"/>
              <w:rPr>
                <w:rFonts w:cs="Calibri"/>
                <w:color w:val="000000"/>
              </w:rPr>
            </w:pPr>
            <w:r w:rsidRPr="007C2D51">
              <w:rPr>
                <w:rFonts w:cs="Calibri"/>
                <w:color w:val="000000"/>
              </w:rPr>
              <w:t>1%</w:t>
            </w:r>
          </w:p>
        </w:tc>
        <w:tc>
          <w:tcPr>
            <w:tcW w:w="1296" w:type="dxa"/>
            <w:tcBorders>
              <w:top w:val="none" w:sz="0" w:space="0" w:color="auto"/>
              <w:bottom w:val="none" w:sz="0" w:space="0" w:color="auto"/>
              <w:right w:val="none" w:sz="0" w:space="0" w:color="auto"/>
            </w:tcBorders>
            <w:noWrap/>
            <w:vAlign w:val="bottom"/>
          </w:tcPr>
          <w:p w:rsidR="00F4711D" w:rsidRPr="007C2D51" w:rsidRDefault="00F4711D">
            <w:pPr>
              <w:jc w:val="right"/>
              <w:cnfStyle w:val="000000100000"/>
              <w:rPr>
                <w:rFonts w:cs="Calibri"/>
                <w:color w:val="000000"/>
              </w:rPr>
            </w:pPr>
            <w:r w:rsidRPr="007C2D51">
              <w:rPr>
                <w:rFonts w:cs="Calibri"/>
                <w:color w:val="000000"/>
              </w:rPr>
              <w:t>0%</w:t>
            </w:r>
          </w:p>
        </w:tc>
      </w:tr>
      <w:tr w:rsidR="00F4711D" w:rsidRPr="007C2D51" w:rsidTr="00F15767">
        <w:trPr>
          <w:trHeight w:val="300"/>
        </w:trPr>
        <w:tc>
          <w:tcPr>
            <w:cnfStyle w:val="001000000000"/>
            <w:tcW w:w="2880" w:type="dxa"/>
            <w:shd w:val="clear" w:color="auto" w:fill="475A8D" w:themeFill="accent6"/>
            <w:noWrap/>
            <w:vAlign w:val="bottom"/>
          </w:tcPr>
          <w:p w:rsidR="00F4711D" w:rsidRPr="007C2D51" w:rsidRDefault="00F4711D" w:rsidP="004A7F1F">
            <w:pPr>
              <w:ind w:left="72"/>
              <w:rPr>
                <w:color w:val="FFFFFF" w:themeColor="background1"/>
              </w:rPr>
            </w:pPr>
            <w:r w:rsidRPr="007C2D51">
              <w:rPr>
                <w:color w:val="FFFFFF" w:themeColor="background1"/>
              </w:rPr>
              <w:t>IV. Planning Studies</w:t>
            </w:r>
          </w:p>
        </w:tc>
        <w:tc>
          <w:tcPr>
            <w:tcW w:w="1296" w:type="dxa"/>
            <w:shd w:val="clear" w:color="auto" w:fill="475A8D" w:themeFill="accent6"/>
            <w:noWrap/>
            <w:vAlign w:val="bottom"/>
          </w:tcPr>
          <w:p w:rsidR="00F4711D" w:rsidRPr="007C2D51" w:rsidRDefault="00F4711D">
            <w:pPr>
              <w:jc w:val="right"/>
              <w:cnfStyle w:val="000000000000"/>
              <w:rPr>
                <w:rFonts w:cs="Calibri"/>
                <w:b/>
                <w:bCs/>
                <w:color w:val="FFFFFF" w:themeColor="background1"/>
              </w:rPr>
            </w:pPr>
            <w:r w:rsidRPr="007C2D51">
              <w:rPr>
                <w:rFonts w:cs="Calibri"/>
                <w:b/>
                <w:bCs/>
                <w:color w:val="FFFFFF" w:themeColor="background1"/>
              </w:rPr>
              <w:t>1%</w:t>
            </w:r>
          </w:p>
        </w:tc>
        <w:tc>
          <w:tcPr>
            <w:tcW w:w="1296" w:type="dxa"/>
            <w:shd w:val="clear" w:color="auto" w:fill="475A8D" w:themeFill="accent6"/>
            <w:noWrap/>
            <w:vAlign w:val="bottom"/>
          </w:tcPr>
          <w:p w:rsidR="00F4711D" w:rsidRPr="007C2D51" w:rsidRDefault="00F4711D">
            <w:pPr>
              <w:jc w:val="right"/>
              <w:cnfStyle w:val="000000000000"/>
              <w:rPr>
                <w:rFonts w:cs="Calibri"/>
                <w:b/>
                <w:bCs/>
                <w:color w:val="FFFFFF" w:themeColor="background1"/>
              </w:rPr>
            </w:pPr>
            <w:r w:rsidRPr="007C2D51">
              <w:rPr>
                <w:rFonts w:cs="Calibri"/>
                <w:b/>
                <w:bCs/>
                <w:color w:val="FFFFFF" w:themeColor="background1"/>
              </w:rPr>
              <w:t>0%</w:t>
            </w:r>
          </w:p>
        </w:tc>
        <w:tc>
          <w:tcPr>
            <w:tcW w:w="1296" w:type="dxa"/>
            <w:shd w:val="clear" w:color="auto" w:fill="475A8D" w:themeFill="accent6"/>
            <w:noWrap/>
            <w:vAlign w:val="bottom"/>
          </w:tcPr>
          <w:p w:rsidR="00F4711D" w:rsidRPr="007C2D51" w:rsidRDefault="00F4711D">
            <w:pPr>
              <w:jc w:val="right"/>
              <w:cnfStyle w:val="000000000000"/>
              <w:rPr>
                <w:rFonts w:cs="Calibri"/>
                <w:b/>
                <w:bCs/>
                <w:color w:val="FFFFFF" w:themeColor="background1"/>
              </w:rPr>
            </w:pPr>
            <w:r w:rsidRPr="007C2D51">
              <w:rPr>
                <w:rFonts w:cs="Calibri"/>
                <w:b/>
                <w:bCs/>
                <w:color w:val="FFFFFF" w:themeColor="background1"/>
              </w:rPr>
              <w:t>0%</w:t>
            </w:r>
          </w:p>
        </w:tc>
        <w:tc>
          <w:tcPr>
            <w:tcW w:w="1296" w:type="dxa"/>
            <w:shd w:val="clear" w:color="auto" w:fill="475A8D" w:themeFill="accent6"/>
            <w:noWrap/>
            <w:vAlign w:val="bottom"/>
          </w:tcPr>
          <w:p w:rsidR="00F4711D" w:rsidRPr="007C2D51" w:rsidRDefault="00F4711D">
            <w:pPr>
              <w:jc w:val="right"/>
              <w:cnfStyle w:val="000000000000"/>
              <w:rPr>
                <w:rFonts w:cs="Calibri"/>
                <w:b/>
                <w:bCs/>
                <w:color w:val="FFFFFF" w:themeColor="background1"/>
              </w:rPr>
            </w:pPr>
            <w:r w:rsidRPr="007C2D51">
              <w:rPr>
                <w:rFonts w:cs="Calibri"/>
                <w:b/>
                <w:bCs/>
                <w:color w:val="FFFFFF" w:themeColor="background1"/>
              </w:rPr>
              <w:t>1%</w:t>
            </w:r>
          </w:p>
        </w:tc>
        <w:tc>
          <w:tcPr>
            <w:tcW w:w="1296" w:type="dxa"/>
            <w:shd w:val="clear" w:color="auto" w:fill="475A8D" w:themeFill="accent6"/>
            <w:noWrap/>
            <w:vAlign w:val="bottom"/>
          </w:tcPr>
          <w:p w:rsidR="00F4711D" w:rsidRPr="007C2D51" w:rsidRDefault="00F4711D">
            <w:pPr>
              <w:jc w:val="right"/>
              <w:cnfStyle w:val="000000000000"/>
              <w:rPr>
                <w:rFonts w:cs="Calibri"/>
                <w:b/>
                <w:bCs/>
                <w:color w:val="FFFFFF" w:themeColor="background1"/>
              </w:rPr>
            </w:pPr>
            <w:r w:rsidRPr="007C2D51">
              <w:rPr>
                <w:rFonts w:cs="Calibri"/>
                <w:b/>
                <w:bCs/>
                <w:color w:val="FFFFFF" w:themeColor="background1"/>
              </w:rPr>
              <w:t>5%</w:t>
            </w:r>
          </w:p>
        </w:tc>
      </w:tr>
      <w:tr w:rsidR="00F4711D" w:rsidRPr="007C2D51" w:rsidTr="00F15767">
        <w:trPr>
          <w:cnfStyle w:val="000000100000"/>
          <w:trHeight w:val="300"/>
        </w:trPr>
        <w:tc>
          <w:tcPr>
            <w:cnfStyle w:val="001000000000"/>
            <w:tcW w:w="2880" w:type="dxa"/>
            <w:tcBorders>
              <w:top w:val="none" w:sz="0" w:space="0" w:color="auto"/>
              <w:left w:val="none" w:sz="0" w:space="0" w:color="auto"/>
              <w:bottom w:val="none" w:sz="0" w:space="0" w:color="auto"/>
            </w:tcBorders>
            <w:noWrap/>
            <w:vAlign w:val="bottom"/>
          </w:tcPr>
          <w:p w:rsidR="00F4711D" w:rsidRPr="007C2D51" w:rsidRDefault="00F4711D" w:rsidP="00526171">
            <w:pPr>
              <w:pStyle w:val="ListParagraph"/>
              <w:numPr>
                <w:ilvl w:val="0"/>
                <w:numId w:val="29"/>
              </w:numPr>
            </w:pPr>
            <w:r w:rsidRPr="007C2D51">
              <w:t>Feasibility study</w:t>
            </w:r>
          </w:p>
        </w:tc>
        <w:tc>
          <w:tcPr>
            <w:tcW w:w="1296" w:type="dxa"/>
            <w:tcBorders>
              <w:top w:val="none" w:sz="0" w:space="0" w:color="auto"/>
              <w:bottom w:val="none" w:sz="0" w:space="0" w:color="auto"/>
            </w:tcBorders>
            <w:noWrap/>
            <w:vAlign w:val="bottom"/>
          </w:tcPr>
          <w:p w:rsidR="00F4711D" w:rsidRPr="007C2D51" w:rsidRDefault="00F4711D">
            <w:pPr>
              <w:jc w:val="right"/>
              <w:cnfStyle w:val="000000100000"/>
              <w:rPr>
                <w:rFonts w:cs="Calibri"/>
                <w:color w:val="000000"/>
              </w:rPr>
            </w:pPr>
            <w:r w:rsidRPr="007C2D51">
              <w:rPr>
                <w:rFonts w:cs="Calibri"/>
                <w:color w:val="000000"/>
              </w:rPr>
              <w:t>1%</w:t>
            </w:r>
          </w:p>
        </w:tc>
        <w:tc>
          <w:tcPr>
            <w:tcW w:w="1296" w:type="dxa"/>
            <w:tcBorders>
              <w:top w:val="none" w:sz="0" w:space="0" w:color="auto"/>
              <w:bottom w:val="none" w:sz="0" w:space="0" w:color="auto"/>
            </w:tcBorders>
            <w:noWrap/>
            <w:vAlign w:val="bottom"/>
          </w:tcPr>
          <w:p w:rsidR="00F4711D" w:rsidRPr="007C2D51" w:rsidRDefault="00F4711D">
            <w:pPr>
              <w:jc w:val="right"/>
              <w:cnfStyle w:val="000000100000"/>
              <w:rPr>
                <w:rFonts w:cs="Calibri"/>
                <w:color w:val="000000"/>
              </w:rPr>
            </w:pPr>
            <w:r w:rsidRPr="007C2D51">
              <w:rPr>
                <w:rFonts w:cs="Calibri"/>
                <w:color w:val="000000"/>
              </w:rPr>
              <w:t>0%</w:t>
            </w:r>
          </w:p>
        </w:tc>
        <w:tc>
          <w:tcPr>
            <w:tcW w:w="1296" w:type="dxa"/>
            <w:tcBorders>
              <w:top w:val="none" w:sz="0" w:space="0" w:color="auto"/>
              <w:bottom w:val="none" w:sz="0" w:space="0" w:color="auto"/>
            </w:tcBorders>
            <w:noWrap/>
            <w:vAlign w:val="bottom"/>
          </w:tcPr>
          <w:p w:rsidR="00F4711D" w:rsidRPr="007C2D51" w:rsidRDefault="00F4711D">
            <w:pPr>
              <w:jc w:val="right"/>
              <w:cnfStyle w:val="000000100000"/>
              <w:rPr>
                <w:rFonts w:cs="Calibri"/>
                <w:color w:val="000000"/>
              </w:rPr>
            </w:pPr>
            <w:r w:rsidRPr="007C2D51">
              <w:rPr>
                <w:rFonts w:cs="Calibri"/>
                <w:color w:val="000000"/>
              </w:rPr>
              <w:t>0%</w:t>
            </w:r>
          </w:p>
        </w:tc>
        <w:tc>
          <w:tcPr>
            <w:tcW w:w="1296" w:type="dxa"/>
            <w:tcBorders>
              <w:top w:val="none" w:sz="0" w:space="0" w:color="auto"/>
              <w:bottom w:val="none" w:sz="0" w:space="0" w:color="auto"/>
            </w:tcBorders>
            <w:noWrap/>
            <w:vAlign w:val="bottom"/>
          </w:tcPr>
          <w:p w:rsidR="00F4711D" w:rsidRPr="007C2D51" w:rsidRDefault="00F4711D">
            <w:pPr>
              <w:jc w:val="right"/>
              <w:cnfStyle w:val="000000100000"/>
              <w:rPr>
                <w:rFonts w:cs="Calibri"/>
                <w:color w:val="000000"/>
              </w:rPr>
            </w:pPr>
            <w:r w:rsidRPr="007C2D51">
              <w:rPr>
                <w:rFonts w:cs="Calibri"/>
                <w:color w:val="000000"/>
              </w:rPr>
              <w:t>1%</w:t>
            </w:r>
          </w:p>
        </w:tc>
        <w:tc>
          <w:tcPr>
            <w:tcW w:w="1296" w:type="dxa"/>
            <w:tcBorders>
              <w:top w:val="none" w:sz="0" w:space="0" w:color="auto"/>
              <w:bottom w:val="none" w:sz="0" w:space="0" w:color="auto"/>
              <w:right w:val="none" w:sz="0" w:space="0" w:color="auto"/>
            </w:tcBorders>
            <w:noWrap/>
            <w:vAlign w:val="bottom"/>
          </w:tcPr>
          <w:p w:rsidR="00F4711D" w:rsidRPr="007C2D51" w:rsidRDefault="00F4711D">
            <w:pPr>
              <w:jc w:val="right"/>
              <w:cnfStyle w:val="000000100000"/>
              <w:rPr>
                <w:rFonts w:cs="Calibri"/>
                <w:color w:val="000000"/>
              </w:rPr>
            </w:pPr>
            <w:r w:rsidRPr="007C2D51">
              <w:rPr>
                <w:rFonts w:cs="Calibri"/>
                <w:color w:val="000000"/>
              </w:rPr>
              <w:t>5%</w:t>
            </w:r>
          </w:p>
        </w:tc>
      </w:tr>
      <w:tr w:rsidR="00F4711D" w:rsidRPr="007C2D51" w:rsidTr="00F15767">
        <w:trPr>
          <w:trHeight w:val="300"/>
        </w:trPr>
        <w:tc>
          <w:tcPr>
            <w:cnfStyle w:val="001000000000"/>
            <w:tcW w:w="2880" w:type="dxa"/>
            <w:shd w:val="clear" w:color="auto" w:fill="475A8D" w:themeFill="accent6"/>
            <w:noWrap/>
            <w:vAlign w:val="bottom"/>
          </w:tcPr>
          <w:p w:rsidR="00F4711D" w:rsidRPr="007C2D51" w:rsidRDefault="00F4711D" w:rsidP="004A7F1F">
            <w:pPr>
              <w:rPr>
                <w:color w:val="FFFFFF" w:themeColor="background1"/>
              </w:rPr>
            </w:pPr>
            <w:r w:rsidRPr="007C2D51">
              <w:rPr>
                <w:color w:val="FFFFFF" w:themeColor="background1"/>
              </w:rPr>
              <w:t>Total</w:t>
            </w:r>
          </w:p>
        </w:tc>
        <w:tc>
          <w:tcPr>
            <w:tcW w:w="1296" w:type="dxa"/>
            <w:shd w:val="clear" w:color="auto" w:fill="475A8D" w:themeFill="accent6"/>
            <w:noWrap/>
            <w:vAlign w:val="bottom"/>
          </w:tcPr>
          <w:p w:rsidR="00F4711D" w:rsidRPr="007C2D51" w:rsidRDefault="00F4711D">
            <w:pPr>
              <w:jc w:val="right"/>
              <w:cnfStyle w:val="000000000000"/>
              <w:rPr>
                <w:rFonts w:cs="Calibri"/>
                <w:b/>
                <w:bCs/>
                <w:color w:val="FFFFFF" w:themeColor="background1"/>
              </w:rPr>
            </w:pPr>
            <w:r w:rsidRPr="007C2D51">
              <w:rPr>
                <w:rFonts w:cs="Calibri"/>
                <w:b/>
                <w:bCs/>
                <w:color w:val="FFFFFF" w:themeColor="background1"/>
              </w:rPr>
              <w:t>100%</w:t>
            </w:r>
          </w:p>
        </w:tc>
        <w:tc>
          <w:tcPr>
            <w:tcW w:w="1296" w:type="dxa"/>
            <w:shd w:val="clear" w:color="auto" w:fill="475A8D" w:themeFill="accent6"/>
            <w:noWrap/>
            <w:vAlign w:val="bottom"/>
          </w:tcPr>
          <w:p w:rsidR="00F4711D" w:rsidRPr="007C2D51" w:rsidRDefault="00F4711D">
            <w:pPr>
              <w:jc w:val="right"/>
              <w:cnfStyle w:val="000000000000"/>
              <w:rPr>
                <w:rFonts w:cs="Calibri"/>
                <w:b/>
                <w:bCs/>
                <w:color w:val="FFFFFF" w:themeColor="background1"/>
              </w:rPr>
            </w:pPr>
            <w:r w:rsidRPr="007C2D51">
              <w:rPr>
                <w:rFonts w:cs="Calibri"/>
                <w:b/>
                <w:bCs/>
                <w:color w:val="FFFFFF" w:themeColor="background1"/>
              </w:rPr>
              <w:t>100%</w:t>
            </w:r>
          </w:p>
        </w:tc>
        <w:tc>
          <w:tcPr>
            <w:tcW w:w="1296" w:type="dxa"/>
            <w:shd w:val="clear" w:color="auto" w:fill="475A8D" w:themeFill="accent6"/>
            <w:noWrap/>
            <w:vAlign w:val="bottom"/>
          </w:tcPr>
          <w:p w:rsidR="00F4711D" w:rsidRPr="007C2D51" w:rsidRDefault="00F4711D">
            <w:pPr>
              <w:jc w:val="right"/>
              <w:cnfStyle w:val="000000000000"/>
              <w:rPr>
                <w:rFonts w:cs="Calibri"/>
                <w:b/>
                <w:bCs/>
                <w:color w:val="FFFFFF" w:themeColor="background1"/>
              </w:rPr>
            </w:pPr>
            <w:r w:rsidRPr="007C2D51">
              <w:rPr>
                <w:rFonts w:cs="Calibri"/>
                <w:b/>
                <w:bCs/>
                <w:color w:val="FFFFFF" w:themeColor="background1"/>
              </w:rPr>
              <w:t>100%</w:t>
            </w:r>
          </w:p>
        </w:tc>
        <w:tc>
          <w:tcPr>
            <w:tcW w:w="1296" w:type="dxa"/>
            <w:shd w:val="clear" w:color="auto" w:fill="475A8D" w:themeFill="accent6"/>
            <w:noWrap/>
            <w:vAlign w:val="bottom"/>
          </w:tcPr>
          <w:p w:rsidR="00F4711D" w:rsidRPr="007C2D51" w:rsidRDefault="00F4711D">
            <w:pPr>
              <w:jc w:val="right"/>
              <w:cnfStyle w:val="000000000000"/>
              <w:rPr>
                <w:rFonts w:cs="Calibri"/>
                <w:b/>
                <w:bCs/>
                <w:color w:val="FFFFFF" w:themeColor="background1"/>
              </w:rPr>
            </w:pPr>
            <w:r w:rsidRPr="007C2D51">
              <w:rPr>
                <w:rFonts w:cs="Calibri"/>
                <w:b/>
                <w:bCs/>
                <w:color w:val="FFFFFF" w:themeColor="background1"/>
              </w:rPr>
              <w:t>100%</w:t>
            </w:r>
          </w:p>
        </w:tc>
        <w:tc>
          <w:tcPr>
            <w:tcW w:w="1296" w:type="dxa"/>
            <w:shd w:val="clear" w:color="auto" w:fill="475A8D" w:themeFill="accent6"/>
            <w:noWrap/>
            <w:vAlign w:val="bottom"/>
          </w:tcPr>
          <w:p w:rsidR="00F4711D" w:rsidRPr="007C2D51" w:rsidRDefault="00F4711D">
            <w:pPr>
              <w:jc w:val="right"/>
              <w:cnfStyle w:val="000000000000"/>
              <w:rPr>
                <w:rFonts w:cs="Calibri"/>
                <w:b/>
                <w:bCs/>
                <w:color w:val="FFFFFF" w:themeColor="background1"/>
              </w:rPr>
            </w:pPr>
            <w:r w:rsidRPr="007C2D51">
              <w:rPr>
                <w:rFonts w:cs="Calibri"/>
                <w:b/>
                <w:bCs/>
                <w:color w:val="FFFFFF" w:themeColor="background1"/>
              </w:rPr>
              <w:t>100%</w:t>
            </w:r>
          </w:p>
        </w:tc>
      </w:tr>
    </w:tbl>
    <w:p w:rsidR="00D03A9F" w:rsidRPr="007C2D51" w:rsidRDefault="00D03A9F">
      <w:pPr>
        <w:rPr>
          <w:b/>
          <w:bCs/>
        </w:rPr>
      </w:pPr>
    </w:p>
    <w:p w:rsidR="00D03A9F" w:rsidRPr="007C2D51" w:rsidRDefault="00D03A9F" w:rsidP="00D03A9F">
      <w:r w:rsidRPr="007C2D51">
        <w:t>Note that grayed-out cells were not available for data entry.</w:t>
      </w:r>
    </w:p>
    <w:p w:rsidR="00D03A9F" w:rsidRPr="007C2D51" w:rsidRDefault="00D03A9F" w:rsidP="00D03A9F">
      <w:r w:rsidRPr="007C2D51">
        <w:t>Columns add up to 100%.</w:t>
      </w:r>
    </w:p>
    <w:p w:rsidR="00D03A9F" w:rsidRPr="007C2D51" w:rsidRDefault="00D03A9F">
      <w:pPr>
        <w:rPr>
          <w:rFonts w:asciiTheme="majorHAnsi" w:eastAsia="Times New Roman" w:hAnsiTheme="majorHAnsi" w:cs="Times New Roman"/>
          <w:sz w:val="22"/>
          <w:lang w:eastAsia="en-US"/>
        </w:rPr>
      </w:pPr>
      <w:r w:rsidRPr="007C2D51">
        <w:rPr>
          <w:b/>
          <w:bCs/>
        </w:rPr>
        <w:br w:type="page"/>
      </w:r>
    </w:p>
    <w:p w:rsidR="00A921AA" w:rsidRPr="007C2D51" w:rsidRDefault="00A921AA" w:rsidP="00A35C90">
      <w:pPr>
        <w:pStyle w:val="Caption"/>
      </w:pPr>
      <w:bookmarkStart w:id="146" w:name="_Toc304967481"/>
      <w:r w:rsidRPr="007C2D51">
        <w:lastRenderedPageBreak/>
        <w:t xml:space="preserve">Table </w:t>
      </w:r>
      <w:r w:rsidR="00022E2F" w:rsidRPr="007C2D51">
        <w:fldChar w:fldCharType="begin"/>
      </w:r>
      <w:r w:rsidR="00FB3E36" w:rsidRPr="007C2D51">
        <w:instrText xml:space="preserve"> STYLEREF 1 \s </w:instrText>
      </w:r>
      <w:r w:rsidR="00022E2F" w:rsidRPr="007C2D51">
        <w:fldChar w:fldCharType="separate"/>
      </w:r>
      <w:r w:rsidR="00F35ACC">
        <w:rPr>
          <w:noProof/>
        </w:rPr>
        <w:t>6</w:t>
      </w:r>
      <w:r w:rsidR="00022E2F" w:rsidRPr="007C2D51">
        <w:fldChar w:fldCharType="end"/>
      </w:r>
      <w:r w:rsidR="00FB3E36" w:rsidRPr="007C2D51">
        <w:noBreakHyphen/>
      </w:r>
      <w:r w:rsidR="00022E2F" w:rsidRPr="007C2D51">
        <w:fldChar w:fldCharType="begin"/>
      </w:r>
      <w:r w:rsidR="00FB3E36" w:rsidRPr="007C2D51">
        <w:instrText xml:space="preserve"> SEQ Table \* ARABIC \s 1 </w:instrText>
      </w:r>
      <w:r w:rsidR="00022E2F" w:rsidRPr="007C2D51">
        <w:fldChar w:fldCharType="separate"/>
      </w:r>
      <w:r w:rsidR="00F35ACC">
        <w:rPr>
          <w:noProof/>
        </w:rPr>
        <w:t>4</w:t>
      </w:r>
      <w:r w:rsidR="00022E2F" w:rsidRPr="007C2D51">
        <w:fldChar w:fldCharType="end"/>
      </w:r>
      <w:r w:rsidRPr="007C2D51">
        <w:br/>
        <w:t>JARC Service Matrix – Service Outputs by Primary Goal</w:t>
      </w:r>
      <w:bookmarkEnd w:id="142"/>
      <w:bookmarkEnd w:id="143"/>
      <w:bookmarkEnd w:id="146"/>
    </w:p>
    <w:tbl>
      <w:tblPr>
        <w:tblStyle w:val="LightList-Accent6"/>
        <w:tblpPr w:leftFromText="180" w:rightFromText="180" w:vertAnchor="page" w:horzAnchor="margin" w:tblpY="2111"/>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80"/>
        <w:gridCol w:w="1296"/>
        <w:gridCol w:w="1296"/>
        <w:gridCol w:w="1296"/>
        <w:gridCol w:w="1296"/>
        <w:gridCol w:w="1296"/>
      </w:tblGrid>
      <w:tr w:rsidR="00A35C90" w:rsidRPr="007C2D51" w:rsidTr="00F15767">
        <w:trPr>
          <w:cnfStyle w:val="100000000000"/>
          <w:trHeight w:val="300"/>
        </w:trPr>
        <w:tc>
          <w:tcPr>
            <w:cnfStyle w:val="001000000000"/>
            <w:tcW w:w="2880" w:type="dxa"/>
            <w:noWrap/>
            <w:vAlign w:val="bottom"/>
          </w:tcPr>
          <w:p w:rsidR="00A35C90" w:rsidRPr="007C2D51" w:rsidRDefault="00A35C90" w:rsidP="00EE7365"/>
        </w:tc>
        <w:tc>
          <w:tcPr>
            <w:tcW w:w="6480" w:type="dxa"/>
            <w:gridSpan w:val="5"/>
            <w:noWrap/>
            <w:vAlign w:val="bottom"/>
          </w:tcPr>
          <w:p w:rsidR="00A35C90" w:rsidRPr="007C2D51" w:rsidRDefault="00A35C90" w:rsidP="00EE7365">
            <w:pPr>
              <w:jc w:val="center"/>
              <w:cnfStyle w:val="100000000000"/>
            </w:pPr>
            <w:r w:rsidRPr="007C2D51">
              <w:t>Primary Goal</w:t>
            </w:r>
          </w:p>
        </w:tc>
      </w:tr>
      <w:tr w:rsidR="00A35C90" w:rsidRPr="007C2D51" w:rsidTr="00F15767">
        <w:trPr>
          <w:cnfStyle w:val="000000100000"/>
          <w:trHeight w:val="300"/>
        </w:trPr>
        <w:tc>
          <w:tcPr>
            <w:cnfStyle w:val="001000000000"/>
            <w:tcW w:w="2880" w:type="dxa"/>
            <w:tcBorders>
              <w:top w:val="none" w:sz="0" w:space="0" w:color="auto"/>
              <w:left w:val="none" w:sz="0" w:space="0" w:color="auto"/>
              <w:bottom w:val="none" w:sz="0" w:space="0" w:color="auto"/>
            </w:tcBorders>
            <w:noWrap/>
            <w:vAlign w:val="bottom"/>
          </w:tcPr>
          <w:p w:rsidR="00A35C90" w:rsidRPr="007C2D51" w:rsidRDefault="00A35C90" w:rsidP="00EE7365">
            <w:r w:rsidRPr="007C2D51">
              <w:t>Service Type</w:t>
            </w:r>
          </w:p>
        </w:tc>
        <w:tc>
          <w:tcPr>
            <w:tcW w:w="1296" w:type="dxa"/>
            <w:tcBorders>
              <w:top w:val="none" w:sz="0" w:space="0" w:color="auto"/>
              <w:bottom w:val="none" w:sz="0" w:space="0" w:color="auto"/>
            </w:tcBorders>
            <w:noWrap/>
            <w:vAlign w:val="bottom"/>
          </w:tcPr>
          <w:p w:rsidR="00A35C90" w:rsidRPr="007C2D51" w:rsidRDefault="00A35C90" w:rsidP="001C01AD">
            <w:pPr>
              <w:jc w:val="center"/>
              <w:cnfStyle w:val="000000100000"/>
            </w:pPr>
            <w:r w:rsidRPr="007C2D51">
              <w:t>(A)</w:t>
            </w:r>
            <w:r w:rsidRPr="007C2D51">
              <w:br/>
              <w:t>Expanded geographic coverage</w:t>
            </w:r>
          </w:p>
        </w:tc>
        <w:tc>
          <w:tcPr>
            <w:tcW w:w="1296" w:type="dxa"/>
            <w:tcBorders>
              <w:top w:val="none" w:sz="0" w:space="0" w:color="auto"/>
              <w:bottom w:val="none" w:sz="0" w:space="0" w:color="auto"/>
            </w:tcBorders>
            <w:noWrap/>
            <w:vAlign w:val="bottom"/>
          </w:tcPr>
          <w:p w:rsidR="00A35C90" w:rsidRPr="007C2D51" w:rsidRDefault="00A35C90" w:rsidP="001C01AD">
            <w:pPr>
              <w:jc w:val="center"/>
              <w:cnfStyle w:val="000000100000"/>
            </w:pPr>
            <w:r w:rsidRPr="007C2D51">
              <w:t>(B)</w:t>
            </w:r>
            <w:r w:rsidRPr="007C2D51">
              <w:br/>
              <w:t>Extended hours/days of service</w:t>
            </w:r>
          </w:p>
        </w:tc>
        <w:tc>
          <w:tcPr>
            <w:tcW w:w="1296" w:type="dxa"/>
            <w:tcBorders>
              <w:top w:val="none" w:sz="0" w:space="0" w:color="auto"/>
              <w:bottom w:val="none" w:sz="0" w:space="0" w:color="auto"/>
            </w:tcBorders>
            <w:noWrap/>
            <w:vAlign w:val="bottom"/>
          </w:tcPr>
          <w:p w:rsidR="00A35C90" w:rsidRPr="007C2D51" w:rsidRDefault="00A35C90" w:rsidP="001C01AD">
            <w:pPr>
              <w:jc w:val="center"/>
              <w:cnfStyle w:val="000000100000"/>
            </w:pPr>
            <w:r w:rsidRPr="007C2D51">
              <w:t>(C)</w:t>
            </w:r>
            <w:r w:rsidRPr="007C2D51">
              <w:br/>
              <w:t>Improved system capacity</w:t>
            </w:r>
          </w:p>
        </w:tc>
        <w:tc>
          <w:tcPr>
            <w:tcW w:w="1296" w:type="dxa"/>
            <w:tcBorders>
              <w:top w:val="none" w:sz="0" w:space="0" w:color="auto"/>
              <w:bottom w:val="none" w:sz="0" w:space="0" w:color="auto"/>
            </w:tcBorders>
            <w:noWrap/>
            <w:vAlign w:val="bottom"/>
          </w:tcPr>
          <w:p w:rsidR="00A35C90" w:rsidRPr="007C2D51" w:rsidRDefault="00A35C90" w:rsidP="001C01AD">
            <w:pPr>
              <w:jc w:val="center"/>
              <w:cnfStyle w:val="000000100000"/>
            </w:pPr>
            <w:r w:rsidRPr="007C2D51">
              <w:t>(D)</w:t>
            </w:r>
            <w:r w:rsidRPr="007C2D51">
              <w:br/>
              <w:t>Improved access/</w:t>
            </w:r>
          </w:p>
          <w:p w:rsidR="00A35C90" w:rsidRPr="007C2D51" w:rsidRDefault="00A35C90" w:rsidP="001C01AD">
            <w:pPr>
              <w:jc w:val="center"/>
              <w:cnfStyle w:val="000000100000"/>
            </w:pPr>
            <w:r w:rsidRPr="007C2D51">
              <w:t>connections</w:t>
            </w:r>
          </w:p>
        </w:tc>
        <w:tc>
          <w:tcPr>
            <w:tcW w:w="1296" w:type="dxa"/>
            <w:tcBorders>
              <w:top w:val="none" w:sz="0" w:space="0" w:color="auto"/>
              <w:bottom w:val="none" w:sz="0" w:space="0" w:color="auto"/>
              <w:right w:val="none" w:sz="0" w:space="0" w:color="auto"/>
            </w:tcBorders>
            <w:noWrap/>
            <w:vAlign w:val="bottom"/>
          </w:tcPr>
          <w:p w:rsidR="00A35C90" w:rsidRPr="007C2D51" w:rsidRDefault="00A35C90" w:rsidP="001C01AD">
            <w:pPr>
              <w:jc w:val="center"/>
              <w:cnfStyle w:val="000000100000"/>
            </w:pPr>
            <w:r w:rsidRPr="007C2D51">
              <w:t>(E)</w:t>
            </w:r>
            <w:r w:rsidRPr="007C2D51">
              <w:br/>
              <w:t>Improved customer knowledge</w:t>
            </w:r>
          </w:p>
        </w:tc>
      </w:tr>
      <w:tr w:rsidR="00A35C90" w:rsidRPr="007C2D51" w:rsidTr="00F15767">
        <w:trPr>
          <w:trHeight w:val="300"/>
        </w:trPr>
        <w:tc>
          <w:tcPr>
            <w:cnfStyle w:val="001000000000"/>
            <w:tcW w:w="2880" w:type="dxa"/>
            <w:shd w:val="clear" w:color="auto" w:fill="475A8D" w:themeFill="accent6"/>
            <w:noWrap/>
            <w:vAlign w:val="bottom"/>
          </w:tcPr>
          <w:p w:rsidR="00A35C90" w:rsidRPr="007C2D51" w:rsidRDefault="00A35C90" w:rsidP="00EE7365">
            <w:pPr>
              <w:rPr>
                <w:color w:val="FFFFFF" w:themeColor="background1"/>
              </w:rPr>
            </w:pPr>
            <w:r w:rsidRPr="007C2D51">
              <w:rPr>
                <w:color w:val="FFFFFF" w:themeColor="background1"/>
              </w:rPr>
              <w:t>I</w:t>
            </w:r>
            <w:r w:rsidR="00CE332B" w:rsidRPr="007C2D51">
              <w:rPr>
                <w:color w:val="FFFFFF" w:themeColor="background1"/>
              </w:rPr>
              <w:t xml:space="preserve">.  </w:t>
            </w:r>
            <w:r w:rsidRPr="007C2D51">
              <w:rPr>
                <w:color w:val="FFFFFF" w:themeColor="background1"/>
              </w:rPr>
              <w:t>Trip-Based</w:t>
            </w:r>
          </w:p>
        </w:tc>
        <w:tc>
          <w:tcPr>
            <w:tcW w:w="1296" w:type="dxa"/>
            <w:shd w:val="clear" w:color="auto" w:fill="475A8D" w:themeFill="accent6"/>
            <w:noWrap/>
            <w:vAlign w:val="bottom"/>
          </w:tcPr>
          <w:p w:rsidR="00A35C90" w:rsidRPr="007C2D51" w:rsidRDefault="00A35C90" w:rsidP="001C01AD">
            <w:pPr>
              <w:jc w:val="center"/>
              <w:cnfStyle w:val="000000000000"/>
              <w:rPr>
                <w:color w:val="FFFFFF" w:themeColor="background1"/>
              </w:rPr>
            </w:pPr>
          </w:p>
        </w:tc>
        <w:tc>
          <w:tcPr>
            <w:tcW w:w="1296" w:type="dxa"/>
            <w:shd w:val="clear" w:color="auto" w:fill="475A8D" w:themeFill="accent6"/>
            <w:noWrap/>
            <w:vAlign w:val="bottom"/>
          </w:tcPr>
          <w:p w:rsidR="00A35C90" w:rsidRPr="007C2D51" w:rsidRDefault="00A35C90" w:rsidP="001C01AD">
            <w:pPr>
              <w:jc w:val="center"/>
              <w:cnfStyle w:val="000000000000"/>
              <w:rPr>
                <w:color w:val="FFFFFF" w:themeColor="background1"/>
              </w:rPr>
            </w:pPr>
          </w:p>
        </w:tc>
        <w:tc>
          <w:tcPr>
            <w:tcW w:w="1296" w:type="dxa"/>
            <w:shd w:val="clear" w:color="auto" w:fill="475A8D" w:themeFill="accent6"/>
            <w:noWrap/>
            <w:vAlign w:val="bottom"/>
          </w:tcPr>
          <w:p w:rsidR="00A35C90" w:rsidRPr="007C2D51" w:rsidRDefault="00A35C90" w:rsidP="001C01AD">
            <w:pPr>
              <w:jc w:val="center"/>
              <w:cnfStyle w:val="000000000000"/>
              <w:rPr>
                <w:color w:val="FFFFFF" w:themeColor="background1"/>
              </w:rPr>
            </w:pPr>
          </w:p>
        </w:tc>
        <w:tc>
          <w:tcPr>
            <w:tcW w:w="1296" w:type="dxa"/>
            <w:shd w:val="clear" w:color="auto" w:fill="475A8D" w:themeFill="accent6"/>
            <w:noWrap/>
            <w:vAlign w:val="bottom"/>
          </w:tcPr>
          <w:p w:rsidR="00A35C90" w:rsidRPr="007C2D51" w:rsidRDefault="00A35C90" w:rsidP="001C01AD">
            <w:pPr>
              <w:jc w:val="center"/>
              <w:cnfStyle w:val="000000000000"/>
              <w:rPr>
                <w:color w:val="FFFFFF" w:themeColor="background1"/>
              </w:rPr>
            </w:pPr>
          </w:p>
        </w:tc>
        <w:tc>
          <w:tcPr>
            <w:tcW w:w="1296" w:type="dxa"/>
            <w:shd w:val="clear" w:color="auto" w:fill="475A8D" w:themeFill="accent6"/>
            <w:noWrap/>
            <w:vAlign w:val="bottom"/>
          </w:tcPr>
          <w:p w:rsidR="00A35C90" w:rsidRPr="007C2D51" w:rsidRDefault="00A35C90" w:rsidP="001C01AD">
            <w:pPr>
              <w:jc w:val="center"/>
              <w:cnfStyle w:val="000000000000"/>
              <w:rPr>
                <w:color w:val="FFFFFF" w:themeColor="background1"/>
              </w:rPr>
            </w:pPr>
          </w:p>
        </w:tc>
      </w:tr>
      <w:tr w:rsidR="008D5E6A" w:rsidRPr="007C2D51" w:rsidTr="00F15767">
        <w:trPr>
          <w:cnfStyle w:val="000000100000"/>
          <w:trHeight w:val="300"/>
        </w:trPr>
        <w:tc>
          <w:tcPr>
            <w:cnfStyle w:val="001000000000"/>
            <w:tcW w:w="2880" w:type="dxa"/>
            <w:tcBorders>
              <w:top w:val="none" w:sz="0" w:space="0" w:color="auto"/>
              <w:left w:val="none" w:sz="0" w:space="0" w:color="auto"/>
              <w:bottom w:val="none" w:sz="0" w:space="0" w:color="auto"/>
            </w:tcBorders>
            <w:noWrap/>
            <w:vAlign w:val="bottom"/>
          </w:tcPr>
          <w:p w:rsidR="008D5E6A" w:rsidRPr="007C2D51" w:rsidRDefault="008D5E6A" w:rsidP="00526171">
            <w:pPr>
              <w:pStyle w:val="ListParagraph"/>
              <w:numPr>
                <w:ilvl w:val="0"/>
                <w:numId w:val="13"/>
              </w:numPr>
              <w:ind w:left="450"/>
            </w:pPr>
            <w:r w:rsidRPr="007C2D51">
              <w:t>Fixed route</w:t>
            </w:r>
          </w:p>
        </w:tc>
        <w:tc>
          <w:tcPr>
            <w:tcW w:w="1296" w:type="dxa"/>
            <w:tcBorders>
              <w:top w:val="none" w:sz="0" w:space="0" w:color="auto"/>
              <w:bottom w:val="none" w:sz="0" w:space="0" w:color="auto"/>
            </w:tcBorders>
            <w:noWrap/>
            <w:vAlign w:val="bottom"/>
          </w:tcPr>
          <w:p w:rsidR="008D5E6A" w:rsidRPr="007C2D51" w:rsidRDefault="008D5E6A" w:rsidP="001C01AD">
            <w:pPr>
              <w:jc w:val="center"/>
              <w:cnfStyle w:val="000000100000"/>
              <w:rPr>
                <w:rFonts w:cs="Calibri"/>
                <w:color w:val="000000"/>
              </w:rPr>
            </w:pPr>
            <w:r w:rsidRPr="007C2D51">
              <w:rPr>
                <w:rFonts w:cs="Calibri"/>
                <w:color w:val="000000"/>
              </w:rPr>
              <w:t>15,047,939 trips</w:t>
            </w:r>
          </w:p>
        </w:tc>
        <w:tc>
          <w:tcPr>
            <w:tcW w:w="1296" w:type="dxa"/>
            <w:tcBorders>
              <w:top w:val="none" w:sz="0" w:space="0" w:color="auto"/>
              <w:bottom w:val="none" w:sz="0" w:space="0" w:color="auto"/>
            </w:tcBorders>
            <w:noWrap/>
            <w:vAlign w:val="bottom"/>
          </w:tcPr>
          <w:p w:rsidR="008D5E6A" w:rsidRPr="007C2D51" w:rsidRDefault="008D5E6A" w:rsidP="001C01AD">
            <w:pPr>
              <w:jc w:val="center"/>
              <w:cnfStyle w:val="000000100000"/>
              <w:rPr>
                <w:rFonts w:cs="Calibri"/>
                <w:color w:val="000000"/>
              </w:rPr>
            </w:pPr>
            <w:r w:rsidRPr="007C2D51">
              <w:rPr>
                <w:rFonts w:cs="Calibri"/>
                <w:color w:val="000000"/>
              </w:rPr>
              <w:t>8,529,849 trips</w:t>
            </w:r>
          </w:p>
        </w:tc>
        <w:tc>
          <w:tcPr>
            <w:tcW w:w="1296" w:type="dxa"/>
            <w:tcBorders>
              <w:top w:val="none" w:sz="0" w:space="0" w:color="auto"/>
              <w:bottom w:val="none" w:sz="0" w:space="0" w:color="auto"/>
            </w:tcBorders>
            <w:noWrap/>
            <w:vAlign w:val="bottom"/>
          </w:tcPr>
          <w:p w:rsidR="008D5E6A" w:rsidRPr="007C2D51" w:rsidRDefault="008D5E6A" w:rsidP="001C01AD">
            <w:pPr>
              <w:jc w:val="center"/>
              <w:cnfStyle w:val="000000100000"/>
              <w:rPr>
                <w:rFonts w:cs="Calibri"/>
                <w:color w:val="000000"/>
              </w:rPr>
            </w:pPr>
            <w:r w:rsidRPr="007C2D51">
              <w:rPr>
                <w:rFonts w:cs="Calibri"/>
                <w:color w:val="000000"/>
              </w:rPr>
              <w:t>11,787,537 trips</w:t>
            </w:r>
          </w:p>
        </w:tc>
        <w:tc>
          <w:tcPr>
            <w:tcW w:w="1296" w:type="dxa"/>
            <w:tcBorders>
              <w:top w:val="none" w:sz="0" w:space="0" w:color="auto"/>
              <w:bottom w:val="none" w:sz="0" w:space="0" w:color="auto"/>
            </w:tcBorders>
            <w:noWrap/>
            <w:vAlign w:val="bottom"/>
          </w:tcPr>
          <w:p w:rsidR="008D5E6A" w:rsidRPr="007C2D51" w:rsidRDefault="008D5E6A" w:rsidP="001C01AD">
            <w:pPr>
              <w:jc w:val="center"/>
              <w:cnfStyle w:val="000000100000"/>
              <w:rPr>
                <w:rFonts w:cs="Calibri"/>
                <w:color w:val="000000"/>
              </w:rPr>
            </w:pPr>
            <w:r w:rsidRPr="007C2D51">
              <w:rPr>
                <w:rFonts w:cs="Calibri"/>
                <w:color w:val="000000"/>
              </w:rPr>
              <w:t>11,997,684 trips</w:t>
            </w:r>
          </w:p>
        </w:tc>
        <w:tc>
          <w:tcPr>
            <w:tcW w:w="1296" w:type="dxa"/>
            <w:tcBorders>
              <w:top w:val="none" w:sz="0" w:space="0" w:color="auto"/>
              <w:bottom w:val="none" w:sz="0" w:space="0" w:color="auto"/>
              <w:right w:val="none" w:sz="0" w:space="0" w:color="auto"/>
            </w:tcBorders>
            <w:shd w:val="clear" w:color="auto" w:fill="D9D9D9" w:themeFill="background1" w:themeFillShade="D9"/>
            <w:noWrap/>
            <w:vAlign w:val="bottom"/>
          </w:tcPr>
          <w:p w:rsidR="008D5E6A" w:rsidRPr="007C2D51" w:rsidRDefault="008D5E6A" w:rsidP="001C01AD">
            <w:pPr>
              <w:jc w:val="center"/>
              <w:cnfStyle w:val="000000100000"/>
              <w:rPr>
                <w:rFonts w:cs="Calibri"/>
                <w:color w:val="000000"/>
              </w:rPr>
            </w:pPr>
          </w:p>
        </w:tc>
      </w:tr>
      <w:tr w:rsidR="008D5E6A" w:rsidRPr="007C2D51" w:rsidTr="00F15767">
        <w:trPr>
          <w:trHeight w:val="300"/>
        </w:trPr>
        <w:tc>
          <w:tcPr>
            <w:cnfStyle w:val="001000000000"/>
            <w:tcW w:w="2880" w:type="dxa"/>
            <w:noWrap/>
            <w:vAlign w:val="bottom"/>
          </w:tcPr>
          <w:p w:rsidR="008D5E6A" w:rsidRPr="007C2D51" w:rsidRDefault="008D5E6A" w:rsidP="00526171">
            <w:pPr>
              <w:pStyle w:val="ListParagraph"/>
              <w:numPr>
                <w:ilvl w:val="0"/>
                <w:numId w:val="13"/>
              </w:numPr>
              <w:ind w:left="450"/>
            </w:pPr>
            <w:r w:rsidRPr="007C2D51">
              <w:t>Flexible routing</w:t>
            </w:r>
          </w:p>
        </w:tc>
        <w:tc>
          <w:tcPr>
            <w:tcW w:w="1296" w:type="dxa"/>
            <w:noWrap/>
            <w:vAlign w:val="bottom"/>
          </w:tcPr>
          <w:p w:rsidR="008D5E6A" w:rsidRPr="007C2D51" w:rsidRDefault="008D5E6A" w:rsidP="001C01AD">
            <w:pPr>
              <w:jc w:val="center"/>
              <w:cnfStyle w:val="000000000000"/>
              <w:rPr>
                <w:rFonts w:cs="Calibri"/>
                <w:color w:val="000000"/>
              </w:rPr>
            </w:pPr>
            <w:r w:rsidRPr="007C2D51">
              <w:rPr>
                <w:rFonts w:cs="Calibri"/>
                <w:color w:val="000000"/>
              </w:rPr>
              <w:t>780,219 trips</w:t>
            </w:r>
          </w:p>
        </w:tc>
        <w:tc>
          <w:tcPr>
            <w:tcW w:w="1296" w:type="dxa"/>
            <w:noWrap/>
            <w:vAlign w:val="bottom"/>
          </w:tcPr>
          <w:p w:rsidR="008D5E6A" w:rsidRPr="007C2D51" w:rsidRDefault="008D5E6A" w:rsidP="001C01AD">
            <w:pPr>
              <w:jc w:val="center"/>
              <w:cnfStyle w:val="000000000000"/>
              <w:rPr>
                <w:rFonts w:cs="Calibri"/>
                <w:color w:val="000000"/>
              </w:rPr>
            </w:pPr>
            <w:r w:rsidRPr="007C2D51">
              <w:rPr>
                <w:rFonts w:cs="Calibri"/>
                <w:color w:val="000000"/>
              </w:rPr>
              <w:t>466,159 trips</w:t>
            </w:r>
          </w:p>
        </w:tc>
        <w:tc>
          <w:tcPr>
            <w:tcW w:w="1296" w:type="dxa"/>
            <w:noWrap/>
            <w:vAlign w:val="bottom"/>
          </w:tcPr>
          <w:p w:rsidR="008D5E6A" w:rsidRPr="007C2D51" w:rsidRDefault="008D5E6A" w:rsidP="001C01AD">
            <w:pPr>
              <w:jc w:val="center"/>
              <w:cnfStyle w:val="000000000000"/>
              <w:rPr>
                <w:rFonts w:cs="Calibri"/>
                <w:color w:val="000000"/>
              </w:rPr>
            </w:pPr>
            <w:r w:rsidRPr="007C2D51">
              <w:rPr>
                <w:rFonts w:cs="Calibri"/>
                <w:color w:val="000000"/>
              </w:rPr>
              <w:t>55,039 trips</w:t>
            </w:r>
          </w:p>
        </w:tc>
        <w:tc>
          <w:tcPr>
            <w:tcW w:w="1296" w:type="dxa"/>
            <w:noWrap/>
            <w:vAlign w:val="bottom"/>
          </w:tcPr>
          <w:p w:rsidR="008D5E6A" w:rsidRPr="007C2D51" w:rsidRDefault="008D5E6A" w:rsidP="001C01AD">
            <w:pPr>
              <w:jc w:val="center"/>
              <w:cnfStyle w:val="000000000000"/>
              <w:rPr>
                <w:rFonts w:cs="Calibri"/>
                <w:color w:val="000000"/>
              </w:rPr>
            </w:pPr>
            <w:r w:rsidRPr="007C2D51">
              <w:rPr>
                <w:rFonts w:cs="Calibri"/>
                <w:color w:val="000000"/>
              </w:rPr>
              <w:t>129,759 trips</w:t>
            </w:r>
          </w:p>
        </w:tc>
        <w:tc>
          <w:tcPr>
            <w:tcW w:w="1296" w:type="dxa"/>
            <w:shd w:val="clear" w:color="auto" w:fill="D9D9D9" w:themeFill="background1" w:themeFillShade="D9"/>
            <w:noWrap/>
            <w:vAlign w:val="bottom"/>
          </w:tcPr>
          <w:p w:rsidR="008D5E6A" w:rsidRPr="007C2D51" w:rsidRDefault="008D5E6A" w:rsidP="001C01AD">
            <w:pPr>
              <w:jc w:val="center"/>
              <w:cnfStyle w:val="000000000000"/>
              <w:rPr>
                <w:rFonts w:cs="Calibri"/>
                <w:color w:val="000000"/>
              </w:rPr>
            </w:pPr>
          </w:p>
        </w:tc>
      </w:tr>
      <w:tr w:rsidR="008D5E6A" w:rsidRPr="007C2D51" w:rsidTr="00F15767">
        <w:trPr>
          <w:cnfStyle w:val="000000100000"/>
          <w:trHeight w:val="300"/>
        </w:trPr>
        <w:tc>
          <w:tcPr>
            <w:cnfStyle w:val="001000000000"/>
            <w:tcW w:w="2880" w:type="dxa"/>
            <w:tcBorders>
              <w:top w:val="none" w:sz="0" w:space="0" w:color="auto"/>
              <w:left w:val="none" w:sz="0" w:space="0" w:color="auto"/>
              <w:bottom w:val="none" w:sz="0" w:space="0" w:color="auto"/>
            </w:tcBorders>
            <w:noWrap/>
            <w:vAlign w:val="bottom"/>
          </w:tcPr>
          <w:p w:rsidR="008D5E6A" w:rsidRPr="007C2D51" w:rsidRDefault="008D5E6A" w:rsidP="00526171">
            <w:pPr>
              <w:pStyle w:val="ListParagraph"/>
              <w:numPr>
                <w:ilvl w:val="0"/>
                <w:numId w:val="13"/>
              </w:numPr>
              <w:ind w:left="450"/>
            </w:pPr>
            <w:r w:rsidRPr="007C2D51">
              <w:t>Shuttle/Feeders</w:t>
            </w:r>
          </w:p>
        </w:tc>
        <w:tc>
          <w:tcPr>
            <w:tcW w:w="1296" w:type="dxa"/>
            <w:tcBorders>
              <w:top w:val="none" w:sz="0" w:space="0" w:color="auto"/>
              <w:bottom w:val="none" w:sz="0" w:space="0" w:color="auto"/>
            </w:tcBorders>
            <w:noWrap/>
            <w:vAlign w:val="bottom"/>
          </w:tcPr>
          <w:p w:rsidR="008D5E6A" w:rsidRPr="007C2D51" w:rsidRDefault="008D5E6A" w:rsidP="001C01AD">
            <w:pPr>
              <w:jc w:val="center"/>
              <w:cnfStyle w:val="000000100000"/>
              <w:rPr>
                <w:rFonts w:cs="Calibri"/>
                <w:color w:val="000000"/>
              </w:rPr>
            </w:pPr>
            <w:r w:rsidRPr="007C2D51">
              <w:rPr>
                <w:rFonts w:cs="Calibri"/>
                <w:color w:val="000000"/>
              </w:rPr>
              <w:t>630,873 trips</w:t>
            </w:r>
          </w:p>
        </w:tc>
        <w:tc>
          <w:tcPr>
            <w:tcW w:w="1296" w:type="dxa"/>
            <w:tcBorders>
              <w:top w:val="none" w:sz="0" w:space="0" w:color="auto"/>
              <w:bottom w:val="none" w:sz="0" w:space="0" w:color="auto"/>
            </w:tcBorders>
            <w:shd w:val="clear" w:color="auto" w:fill="auto"/>
            <w:noWrap/>
            <w:vAlign w:val="bottom"/>
          </w:tcPr>
          <w:p w:rsidR="008D5E6A" w:rsidRPr="007C2D51" w:rsidRDefault="008D5E6A" w:rsidP="001C01AD">
            <w:pPr>
              <w:jc w:val="center"/>
              <w:cnfStyle w:val="000000100000"/>
              <w:rPr>
                <w:rFonts w:cs="Calibri"/>
                <w:color w:val="000000"/>
              </w:rPr>
            </w:pPr>
            <w:r w:rsidRPr="007C2D51">
              <w:rPr>
                <w:rFonts w:cs="Calibri"/>
                <w:color w:val="000000"/>
              </w:rPr>
              <w:t>1,040 trips</w:t>
            </w:r>
          </w:p>
        </w:tc>
        <w:tc>
          <w:tcPr>
            <w:tcW w:w="1296" w:type="dxa"/>
            <w:tcBorders>
              <w:top w:val="none" w:sz="0" w:space="0" w:color="auto"/>
              <w:bottom w:val="none" w:sz="0" w:space="0" w:color="auto"/>
            </w:tcBorders>
            <w:noWrap/>
            <w:vAlign w:val="bottom"/>
          </w:tcPr>
          <w:p w:rsidR="008D5E6A" w:rsidRPr="007C2D51" w:rsidRDefault="008D5E6A" w:rsidP="001C01AD">
            <w:pPr>
              <w:jc w:val="center"/>
              <w:cnfStyle w:val="000000100000"/>
              <w:rPr>
                <w:rFonts w:cs="Calibri"/>
                <w:color w:val="000000"/>
              </w:rPr>
            </w:pPr>
            <w:r w:rsidRPr="007C2D51">
              <w:rPr>
                <w:rFonts w:cs="Calibri"/>
                <w:color w:val="000000"/>
              </w:rPr>
              <w:t>312,909 trips</w:t>
            </w:r>
          </w:p>
        </w:tc>
        <w:tc>
          <w:tcPr>
            <w:tcW w:w="1296" w:type="dxa"/>
            <w:tcBorders>
              <w:top w:val="none" w:sz="0" w:space="0" w:color="auto"/>
              <w:bottom w:val="none" w:sz="0" w:space="0" w:color="auto"/>
            </w:tcBorders>
            <w:noWrap/>
            <w:vAlign w:val="bottom"/>
          </w:tcPr>
          <w:p w:rsidR="008D5E6A" w:rsidRPr="007C2D51" w:rsidRDefault="008D5E6A" w:rsidP="001C01AD">
            <w:pPr>
              <w:jc w:val="center"/>
              <w:cnfStyle w:val="000000100000"/>
              <w:rPr>
                <w:rFonts w:cs="Calibri"/>
                <w:color w:val="000000"/>
              </w:rPr>
            </w:pPr>
            <w:r w:rsidRPr="007C2D51">
              <w:rPr>
                <w:rFonts w:cs="Calibri"/>
                <w:color w:val="000000"/>
              </w:rPr>
              <w:t>285,049 trips</w:t>
            </w:r>
          </w:p>
        </w:tc>
        <w:tc>
          <w:tcPr>
            <w:tcW w:w="1296" w:type="dxa"/>
            <w:tcBorders>
              <w:top w:val="none" w:sz="0" w:space="0" w:color="auto"/>
              <w:bottom w:val="none" w:sz="0" w:space="0" w:color="auto"/>
              <w:right w:val="none" w:sz="0" w:space="0" w:color="auto"/>
            </w:tcBorders>
            <w:shd w:val="clear" w:color="auto" w:fill="D9D9D9" w:themeFill="background1" w:themeFillShade="D9"/>
            <w:noWrap/>
            <w:vAlign w:val="bottom"/>
          </w:tcPr>
          <w:p w:rsidR="008D5E6A" w:rsidRPr="007C2D51" w:rsidRDefault="008D5E6A" w:rsidP="001C01AD">
            <w:pPr>
              <w:jc w:val="center"/>
              <w:cnfStyle w:val="000000100000"/>
              <w:rPr>
                <w:rFonts w:cs="Calibri"/>
                <w:color w:val="000000"/>
              </w:rPr>
            </w:pPr>
          </w:p>
        </w:tc>
      </w:tr>
      <w:tr w:rsidR="008D5E6A" w:rsidRPr="007C2D51" w:rsidTr="00F15767">
        <w:trPr>
          <w:trHeight w:val="300"/>
        </w:trPr>
        <w:tc>
          <w:tcPr>
            <w:cnfStyle w:val="001000000000"/>
            <w:tcW w:w="2880" w:type="dxa"/>
            <w:noWrap/>
            <w:vAlign w:val="bottom"/>
          </w:tcPr>
          <w:p w:rsidR="008D5E6A" w:rsidRPr="007C2D51" w:rsidRDefault="008D5E6A" w:rsidP="00526171">
            <w:pPr>
              <w:pStyle w:val="ListParagraph"/>
              <w:numPr>
                <w:ilvl w:val="0"/>
                <w:numId w:val="13"/>
              </w:numPr>
              <w:ind w:left="450"/>
            </w:pPr>
            <w:r w:rsidRPr="007C2D51">
              <w:t>Demand response</w:t>
            </w:r>
          </w:p>
        </w:tc>
        <w:tc>
          <w:tcPr>
            <w:tcW w:w="1296" w:type="dxa"/>
            <w:noWrap/>
            <w:vAlign w:val="bottom"/>
          </w:tcPr>
          <w:p w:rsidR="008D5E6A" w:rsidRPr="007C2D51" w:rsidRDefault="008D5E6A" w:rsidP="001C01AD">
            <w:pPr>
              <w:jc w:val="center"/>
              <w:cnfStyle w:val="000000000000"/>
              <w:rPr>
                <w:rFonts w:cs="Calibri"/>
                <w:color w:val="000000"/>
              </w:rPr>
            </w:pPr>
            <w:r w:rsidRPr="007C2D51">
              <w:rPr>
                <w:rFonts w:cs="Calibri"/>
                <w:color w:val="000000"/>
              </w:rPr>
              <w:t>870,967 trips</w:t>
            </w:r>
          </w:p>
        </w:tc>
        <w:tc>
          <w:tcPr>
            <w:tcW w:w="1296" w:type="dxa"/>
            <w:noWrap/>
            <w:vAlign w:val="bottom"/>
          </w:tcPr>
          <w:p w:rsidR="008D5E6A" w:rsidRPr="007C2D51" w:rsidRDefault="008D5E6A" w:rsidP="001C01AD">
            <w:pPr>
              <w:jc w:val="center"/>
              <w:cnfStyle w:val="000000000000"/>
              <w:rPr>
                <w:rFonts w:cs="Calibri"/>
                <w:color w:val="000000"/>
              </w:rPr>
            </w:pPr>
            <w:r w:rsidRPr="007C2D51">
              <w:rPr>
                <w:rFonts w:cs="Calibri"/>
                <w:color w:val="000000"/>
              </w:rPr>
              <w:t>824,847 trips</w:t>
            </w:r>
          </w:p>
        </w:tc>
        <w:tc>
          <w:tcPr>
            <w:tcW w:w="1296" w:type="dxa"/>
            <w:noWrap/>
            <w:vAlign w:val="bottom"/>
          </w:tcPr>
          <w:p w:rsidR="008D5E6A" w:rsidRPr="007C2D51" w:rsidRDefault="008D5E6A" w:rsidP="001C01AD">
            <w:pPr>
              <w:jc w:val="center"/>
              <w:cnfStyle w:val="000000000000"/>
              <w:rPr>
                <w:rFonts w:cs="Calibri"/>
                <w:color w:val="000000"/>
              </w:rPr>
            </w:pPr>
            <w:r w:rsidRPr="007C2D51">
              <w:rPr>
                <w:rFonts w:cs="Calibri"/>
                <w:color w:val="000000"/>
              </w:rPr>
              <w:t>841,181 trips</w:t>
            </w:r>
          </w:p>
        </w:tc>
        <w:tc>
          <w:tcPr>
            <w:tcW w:w="1296" w:type="dxa"/>
            <w:noWrap/>
            <w:vAlign w:val="bottom"/>
          </w:tcPr>
          <w:p w:rsidR="008D5E6A" w:rsidRPr="007C2D51" w:rsidRDefault="008D5E6A" w:rsidP="001C01AD">
            <w:pPr>
              <w:jc w:val="center"/>
              <w:cnfStyle w:val="000000000000"/>
              <w:rPr>
                <w:rFonts w:cs="Calibri"/>
                <w:color w:val="000000"/>
              </w:rPr>
            </w:pPr>
            <w:r w:rsidRPr="007C2D51">
              <w:rPr>
                <w:rFonts w:cs="Calibri"/>
                <w:color w:val="000000"/>
              </w:rPr>
              <w:t>517,531 trips</w:t>
            </w:r>
          </w:p>
        </w:tc>
        <w:tc>
          <w:tcPr>
            <w:tcW w:w="1296" w:type="dxa"/>
            <w:shd w:val="clear" w:color="auto" w:fill="D9D9D9" w:themeFill="background1" w:themeFillShade="D9"/>
            <w:noWrap/>
            <w:vAlign w:val="bottom"/>
          </w:tcPr>
          <w:p w:rsidR="008D5E6A" w:rsidRPr="007C2D51" w:rsidRDefault="008D5E6A" w:rsidP="001C01AD">
            <w:pPr>
              <w:jc w:val="center"/>
              <w:cnfStyle w:val="000000000000"/>
              <w:rPr>
                <w:rFonts w:cs="Calibri"/>
                <w:color w:val="000000"/>
              </w:rPr>
            </w:pPr>
          </w:p>
        </w:tc>
      </w:tr>
      <w:tr w:rsidR="008D5E6A" w:rsidRPr="007C2D51" w:rsidTr="00F15767">
        <w:trPr>
          <w:cnfStyle w:val="000000100000"/>
          <w:trHeight w:val="300"/>
        </w:trPr>
        <w:tc>
          <w:tcPr>
            <w:cnfStyle w:val="001000000000"/>
            <w:tcW w:w="2880" w:type="dxa"/>
            <w:tcBorders>
              <w:top w:val="none" w:sz="0" w:space="0" w:color="auto"/>
              <w:left w:val="none" w:sz="0" w:space="0" w:color="auto"/>
              <w:bottom w:val="none" w:sz="0" w:space="0" w:color="auto"/>
            </w:tcBorders>
            <w:noWrap/>
            <w:vAlign w:val="bottom"/>
          </w:tcPr>
          <w:p w:rsidR="008D5E6A" w:rsidRPr="007C2D51" w:rsidRDefault="008D5E6A" w:rsidP="00526171">
            <w:pPr>
              <w:pStyle w:val="ListParagraph"/>
              <w:numPr>
                <w:ilvl w:val="0"/>
                <w:numId w:val="13"/>
              </w:numPr>
              <w:ind w:left="450"/>
            </w:pPr>
            <w:r w:rsidRPr="007C2D51">
              <w:t>Vanpool service</w:t>
            </w:r>
          </w:p>
        </w:tc>
        <w:tc>
          <w:tcPr>
            <w:tcW w:w="1296" w:type="dxa"/>
            <w:tcBorders>
              <w:top w:val="none" w:sz="0" w:space="0" w:color="auto"/>
              <w:bottom w:val="none" w:sz="0" w:space="0" w:color="auto"/>
            </w:tcBorders>
            <w:shd w:val="clear" w:color="auto" w:fill="D9D9D9" w:themeFill="background1" w:themeFillShade="D9"/>
            <w:noWrap/>
            <w:vAlign w:val="bottom"/>
          </w:tcPr>
          <w:p w:rsidR="008D5E6A" w:rsidRPr="007C2D51" w:rsidRDefault="008D5E6A" w:rsidP="001C01AD">
            <w:pPr>
              <w:jc w:val="center"/>
              <w:cnfStyle w:val="000000100000"/>
              <w:rPr>
                <w:rFonts w:cs="Calibri"/>
                <w:color w:val="000000"/>
              </w:rPr>
            </w:pPr>
          </w:p>
        </w:tc>
        <w:tc>
          <w:tcPr>
            <w:tcW w:w="1296" w:type="dxa"/>
            <w:tcBorders>
              <w:top w:val="none" w:sz="0" w:space="0" w:color="auto"/>
              <w:bottom w:val="none" w:sz="0" w:space="0" w:color="auto"/>
            </w:tcBorders>
            <w:shd w:val="clear" w:color="auto" w:fill="D9D9D9" w:themeFill="background1" w:themeFillShade="D9"/>
            <w:noWrap/>
            <w:vAlign w:val="bottom"/>
          </w:tcPr>
          <w:p w:rsidR="008D5E6A" w:rsidRPr="007C2D51" w:rsidRDefault="008D5E6A" w:rsidP="001C01AD">
            <w:pPr>
              <w:jc w:val="center"/>
              <w:cnfStyle w:val="000000100000"/>
              <w:rPr>
                <w:rFonts w:cs="Calibri"/>
                <w:color w:val="000000"/>
              </w:rPr>
            </w:pPr>
          </w:p>
        </w:tc>
        <w:tc>
          <w:tcPr>
            <w:tcW w:w="1296" w:type="dxa"/>
            <w:tcBorders>
              <w:top w:val="none" w:sz="0" w:space="0" w:color="auto"/>
              <w:bottom w:val="none" w:sz="0" w:space="0" w:color="auto"/>
            </w:tcBorders>
            <w:noWrap/>
            <w:vAlign w:val="bottom"/>
          </w:tcPr>
          <w:p w:rsidR="008D5E6A" w:rsidRPr="007C2D51" w:rsidRDefault="008D5E6A" w:rsidP="001C01AD">
            <w:pPr>
              <w:jc w:val="center"/>
              <w:cnfStyle w:val="000000100000"/>
              <w:rPr>
                <w:rFonts w:cs="Calibri"/>
                <w:color w:val="000000"/>
              </w:rPr>
            </w:pPr>
            <w:r w:rsidRPr="007C2D51">
              <w:rPr>
                <w:rFonts w:cs="Calibri"/>
                <w:color w:val="000000"/>
              </w:rPr>
              <w:t>482,025 trips</w:t>
            </w:r>
          </w:p>
        </w:tc>
        <w:tc>
          <w:tcPr>
            <w:tcW w:w="1296" w:type="dxa"/>
            <w:tcBorders>
              <w:top w:val="none" w:sz="0" w:space="0" w:color="auto"/>
              <w:bottom w:val="none" w:sz="0" w:space="0" w:color="auto"/>
            </w:tcBorders>
            <w:noWrap/>
            <w:vAlign w:val="bottom"/>
          </w:tcPr>
          <w:p w:rsidR="008D5E6A" w:rsidRPr="007C2D51" w:rsidRDefault="008D5E6A" w:rsidP="001C01AD">
            <w:pPr>
              <w:jc w:val="center"/>
              <w:cnfStyle w:val="000000100000"/>
              <w:rPr>
                <w:rFonts w:cs="Calibri"/>
                <w:color w:val="000000"/>
              </w:rPr>
            </w:pPr>
            <w:r w:rsidRPr="007C2D51">
              <w:rPr>
                <w:rFonts w:cs="Calibri"/>
                <w:color w:val="000000"/>
              </w:rPr>
              <w:t>388,428 trips</w:t>
            </w:r>
          </w:p>
        </w:tc>
        <w:tc>
          <w:tcPr>
            <w:tcW w:w="1296" w:type="dxa"/>
            <w:tcBorders>
              <w:top w:val="none" w:sz="0" w:space="0" w:color="auto"/>
              <w:bottom w:val="none" w:sz="0" w:space="0" w:color="auto"/>
              <w:right w:val="none" w:sz="0" w:space="0" w:color="auto"/>
            </w:tcBorders>
            <w:shd w:val="clear" w:color="auto" w:fill="D9D9D9" w:themeFill="background1" w:themeFillShade="D9"/>
            <w:noWrap/>
            <w:vAlign w:val="bottom"/>
          </w:tcPr>
          <w:p w:rsidR="008D5E6A" w:rsidRPr="007C2D51" w:rsidRDefault="008D5E6A" w:rsidP="001C01AD">
            <w:pPr>
              <w:jc w:val="center"/>
              <w:cnfStyle w:val="000000100000"/>
              <w:rPr>
                <w:rFonts w:cs="Calibri"/>
                <w:color w:val="000000"/>
              </w:rPr>
            </w:pPr>
          </w:p>
        </w:tc>
      </w:tr>
      <w:tr w:rsidR="008D5E6A" w:rsidRPr="007C2D51" w:rsidTr="00F15767">
        <w:trPr>
          <w:trHeight w:val="300"/>
        </w:trPr>
        <w:tc>
          <w:tcPr>
            <w:cnfStyle w:val="001000000000"/>
            <w:tcW w:w="2880" w:type="dxa"/>
            <w:noWrap/>
            <w:vAlign w:val="bottom"/>
          </w:tcPr>
          <w:p w:rsidR="008D5E6A" w:rsidRPr="007C2D51" w:rsidRDefault="008D5E6A" w:rsidP="00526171">
            <w:pPr>
              <w:pStyle w:val="ListParagraph"/>
              <w:numPr>
                <w:ilvl w:val="0"/>
                <w:numId w:val="13"/>
              </w:numPr>
              <w:ind w:left="450"/>
            </w:pPr>
            <w:r w:rsidRPr="007C2D51">
              <w:t>User-side subsidy</w:t>
            </w:r>
          </w:p>
        </w:tc>
        <w:tc>
          <w:tcPr>
            <w:tcW w:w="1296" w:type="dxa"/>
            <w:noWrap/>
            <w:vAlign w:val="bottom"/>
          </w:tcPr>
          <w:p w:rsidR="008D5E6A" w:rsidRPr="007C2D51" w:rsidRDefault="008D5E6A" w:rsidP="001C01AD">
            <w:pPr>
              <w:jc w:val="center"/>
              <w:cnfStyle w:val="000000000000"/>
              <w:rPr>
                <w:rFonts w:cs="Calibri"/>
                <w:color w:val="000000"/>
              </w:rPr>
            </w:pPr>
            <w:r w:rsidRPr="007C2D51">
              <w:rPr>
                <w:rFonts w:cs="Calibri"/>
                <w:color w:val="000000"/>
              </w:rPr>
              <w:t>0</w:t>
            </w:r>
          </w:p>
        </w:tc>
        <w:tc>
          <w:tcPr>
            <w:tcW w:w="1296" w:type="dxa"/>
            <w:noWrap/>
            <w:vAlign w:val="bottom"/>
          </w:tcPr>
          <w:p w:rsidR="008D5E6A" w:rsidRPr="007C2D51" w:rsidRDefault="008D5E6A" w:rsidP="001C01AD">
            <w:pPr>
              <w:jc w:val="center"/>
              <w:cnfStyle w:val="000000000000"/>
              <w:rPr>
                <w:rFonts w:cs="Calibri"/>
                <w:color w:val="000000"/>
              </w:rPr>
            </w:pPr>
            <w:r w:rsidRPr="007C2D51">
              <w:rPr>
                <w:rFonts w:cs="Calibri"/>
                <w:color w:val="000000"/>
              </w:rPr>
              <w:t>10,493 trips</w:t>
            </w:r>
          </w:p>
        </w:tc>
        <w:tc>
          <w:tcPr>
            <w:tcW w:w="1296" w:type="dxa"/>
            <w:noWrap/>
            <w:vAlign w:val="bottom"/>
          </w:tcPr>
          <w:p w:rsidR="008D5E6A" w:rsidRPr="007C2D51" w:rsidRDefault="008D5E6A" w:rsidP="001C01AD">
            <w:pPr>
              <w:jc w:val="center"/>
              <w:cnfStyle w:val="000000000000"/>
              <w:rPr>
                <w:rFonts w:cs="Calibri"/>
                <w:color w:val="000000"/>
              </w:rPr>
            </w:pPr>
            <w:r w:rsidRPr="007C2D51">
              <w:rPr>
                <w:rFonts w:cs="Calibri"/>
                <w:color w:val="000000"/>
              </w:rPr>
              <w:t>115,500 trips</w:t>
            </w:r>
          </w:p>
        </w:tc>
        <w:tc>
          <w:tcPr>
            <w:tcW w:w="1296" w:type="dxa"/>
            <w:noWrap/>
            <w:vAlign w:val="bottom"/>
          </w:tcPr>
          <w:p w:rsidR="008D5E6A" w:rsidRPr="007C2D51" w:rsidRDefault="008D5E6A" w:rsidP="001C01AD">
            <w:pPr>
              <w:jc w:val="center"/>
              <w:cnfStyle w:val="000000000000"/>
              <w:rPr>
                <w:rFonts w:cs="Calibri"/>
                <w:color w:val="000000"/>
              </w:rPr>
            </w:pPr>
            <w:r w:rsidRPr="007C2D51">
              <w:rPr>
                <w:rFonts w:cs="Calibri"/>
                <w:color w:val="000000"/>
              </w:rPr>
              <w:t>447,004 trips</w:t>
            </w:r>
          </w:p>
        </w:tc>
        <w:tc>
          <w:tcPr>
            <w:tcW w:w="1296" w:type="dxa"/>
            <w:shd w:val="clear" w:color="auto" w:fill="D9D9D9" w:themeFill="background1" w:themeFillShade="D9"/>
            <w:noWrap/>
            <w:vAlign w:val="bottom"/>
          </w:tcPr>
          <w:p w:rsidR="008D5E6A" w:rsidRPr="007C2D51" w:rsidRDefault="008D5E6A" w:rsidP="001C01AD">
            <w:pPr>
              <w:jc w:val="center"/>
              <w:cnfStyle w:val="000000000000"/>
              <w:rPr>
                <w:rFonts w:cs="Calibri"/>
                <w:color w:val="000000"/>
              </w:rPr>
            </w:pPr>
          </w:p>
        </w:tc>
      </w:tr>
      <w:tr w:rsidR="00A35C90" w:rsidRPr="007C2D51" w:rsidTr="00F15767">
        <w:trPr>
          <w:cnfStyle w:val="000000100000"/>
          <w:trHeight w:val="300"/>
        </w:trPr>
        <w:tc>
          <w:tcPr>
            <w:cnfStyle w:val="001000000000"/>
            <w:tcW w:w="2880" w:type="dxa"/>
            <w:tcBorders>
              <w:top w:val="none" w:sz="0" w:space="0" w:color="auto"/>
              <w:left w:val="none" w:sz="0" w:space="0" w:color="auto"/>
              <w:bottom w:val="none" w:sz="0" w:space="0" w:color="auto"/>
            </w:tcBorders>
            <w:shd w:val="clear" w:color="auto" w:fill="475A8D" w:themeFill="accent6"/>
            <w:noWrap/>
            <w:vAlign w:val="bottom"/>
          </w:tcPr>
          <w:p w:rsidR="00A35C90" w:rsidRPr="007C2D51" w:rsidRDefault="00A35C90" w:rsidP="00EE7365">
            <w:pPr>
              <w:rPr>
                <w:color w:val="FFFFFF" w:themeColor="background1"/>
              </w:rPr>
            </w:pPr>
            <w:r w:rsidRPr="007C2D51">
              <w:rPr>
                <w:color w:val="FFFFFF" w:themeColor="background1"/>
              </w:rPr>
              <w:t>II</w:t>
            </w:r>
            <w:r w:rsidR="00CE332B" w:rsidRPr="007C2D51">
              <w:rPr>
                <w:color w:val="FFFFFF" w:themeColor="background1"/>
              </w:rPr>
              <w:t xml:space="preserve">.  </w:t>
            </w:r>
            <w:r w:rsidRPr="007C2D51">
              <w:rPr>
                <w:color w:val="FFFFFF" w:themeColor="background1"/>
              </w:rPr>
              <w:t xml:space="preserve">Information-Based </w:t>
            </w:r>
          </w:p>
        </w:tc>
        <w:tc>
          <w:tcPr>
            <w:tcW w:w="1296" w:type="dxa"/>
            <w:tcBorders>
              <w:top w:val="none" w:sz="0" w:space="0" w:color="auto"/>
              <w:bottom w:val="none" w:sz="0" w:space="0" w:color="auto"/>
            </w:tcBorders>
            <w:shd w:val="clear" w:color="auto" w:fill="475A8D" w:themeFill="accent6"/>
            <w:noWrap/>
            <w:vAlign w:val="bottom"/>
          </w:tcPr>
          <w:p w:rsidR="00A35C90" w:rsidRPr="007C2D51" w:rsidRDefault="00A35C90" w:rsidP="001C01AD">
            <w:pPr>
              <w:jc w:val="center"/>
              <w:cnfStyle w:val="000000100000"/>
              <w:rPr>
                <w:color w:val="FFFFFF" w:themeColor="background1"/>
              </w:rPr>
            </w:pPr>
          </w:p>
        </w:tc>
        <w:tc>
          <w:tcPr>
            <w:tcW w:w="1296" w:type="dxa"/>
            <w:tcBorders>
              <w:top w:val="none" w:sz="0" w:space="0" w:color="auto"/>
              <w:bottom w:val="none" w:sz="0" w:space="0" w:color="auto"/>
            </w:tcBorders>
            <w:shd w:val="clear" w:color="auto" w:fill="475A8D" w:themeFill="accent6"/>
            <w:noWrap/>
            <w:vAlign w:val="bottom"/>
          </w:tcPr>
          <w:p w:rsidR="00A35C90" w:rsidRPr="007C2D51" w:rsidRDefault="00A35C90" w:rsidP="001C01AD">
            <w:pPr>
              <w:jc w:val="center"/>
              <w:cnfStyle w:val="000000100000"/>
              <w:rPr>
                <w:color w:val="FFFFFF" w:themeColor="background1"/>
              </w:rPr>
            </w:pPr>
          </w:p>
        </w:tc>
        <w:tc>
          <w:tcPr>
            <w:tcW w:w="1296" w:type="dxa"/>
            <w:tcBorders>
              <w:top w:val="none" w:sz="0" w:space="0" w:color="auto"/>
              <w:bottom w:val="none" w:sz="0" w:space="0" w:color="auto"/>
            </w:tcBorders>
            <w:shd w:val="clear" w:color="auto" w:fill="475A8D" w:themeFill="accent6"/>
            <w:noWrap/>
            <w:vAlign w:val="bottom"/>
          </w:tcPr>
          <w:p w:rsidR="00A35C90" w:rsidRPr="007C2D51" w:rsidRDefault="00A35C90" w:rsidP="001C01AD">
            <w:pPr>
              <w:jc w:val="center"/>
              <w:cnfStyle w:val="000000100000"/>
              <w:rPr>
                <w:color w:val="FFFFFF" w:themeColor="background1"/>
              </w:rPr>
            </w:pPr>
          </w:p>
        </w:tc>
        <w:tc>
          <w:tcPr>
            <w:tcW w:w="1296" w:type="dxa"/>
            <w:tcBorders>
              <w:top w:val="none" w:sz="0" w:space="0" w:color="auto"/>
              <w:bottom w:val="none" w:sz="0" w:space="0" w:color="auto"/>
            </w:tcBorders>
            <w:shd w:val="clear" w:color="auto" w:fill="475A8D" w:themeFill="accent6"/>
            <w:noWrap/>
            <w:vAlign w:val="bottom"/>
          </w:tcPr>
          <w:p w:rsidR="00A35C90" w:rsidRPr="007C2D51" w:rsidRDefault="00A35C90" w:rsidP="001C01AD">
            <w:pPr>
              <w:jc w:val="center"/>
              <w:cnfStyle w:val="000000100000"/>
              <w:rPr>
                <w:color w:val="FFFFFF" w:themeColor="background1"/>
              </w:rPr>
            </w:pPr>
          </w:p>
        </w:tc>
        <w:tc>
          <w:tcPr>
            <w:tcW w:w="1296" w:type="dxa"/>
            <w:tcBorders>
              <w:top w:val="none" w:sz="0" w:space="0" w:color="auto"/>
              <w:bottom w:val="none" w:sz="0" w:space="0" w:color="auto"/>
              <w:right w:val="none" w:sz="0" w:space="0" w:color="auto"/>
            </w:tcBorders>
            <w:shd w:val="clear" w:color="auto" w:fill="475A8D" w:themeFill="accent6"/>
            <w:noWrap/>
            <w:vAlign w:val="bottom"/>
          </w:tcPr>
          <w:p w:rsidR="00A35C90" w:rsidRPr="007C2D51" w:rsidRDefault="00A35C90" w:rsidP="001C01AD">
            <w:pPr>
              <w:jc w:val="center"/>
              <w:cnfStyle w:val="000000100000"/>
              <w:rPr>
                <w:color w:val="FFFFFF" w:themeColor="background1"/>
              </w:rPr>
            </w:pPr>
          </w:p>
        </w:tc>
      </w:tr>
      <w:tr w:rsidR="00A35C90" w:rsidRPr="007C2D51" w:rsidTr="00F15767">
        <w:trPr>
          <w:trHeight w:val="300"/>
        </w:trPr>
        <w:tc>
          <w:tcPr>
            <w:cnfStyle w:val="001000000000"/>
            <w:tcW w:w="2880" w:type="dxa"/>
            <w:noWrap/>
            <w:vAlign w:val="bottom"/>
          </w:tcPr>
          <w:p w:rsidR="00A35C90" w:rsidRPr="007C2D51" w:rsidRDefault="00A35C90" w:rsidP="00526171">
            <w:pPr>
              <w:pStyle w:val="ListParagraph"/>
              <w:numPr>
                <w:ilvl w:val="0"/>
                <w:numId w:val="14"/>
              </w:numPr>
              <w:ind w:left="540"/>
            </w:pPr>
            <w:r w:rsidRPr="007C2D51">
              <w:t>Mobility manager</w:t>
            </w:r>
          </w:p>
        </w:tc>
        <w:tc>
          <w:tcPr>
            <w:tcW w:w="1296" w:type="dxa"/>
            <w:shd w:val="clear" w:color="auto" w:fill="D9D9D9" w:themeFill="background1" w:themeFillShade="D9"/>
            <w:noWrap/>
            <w:vAlign w:val="bottom"/>
          </w:tcPr>
          <w:p w:rsidR="00A35C90" w:rsidRPr="007C2D51" w:rsidRDefault="00A35C90" w:rsidP="001C01AD">
            <w:pPr>
              <w:jc w:val="center"/>
              <w:cnfStyle w:val="000000000000"/>
            </w:pPr>
          </w:p>
        </w:tc>
        <w:tc>
          <w:tcPr>
            <w:tcW w:w="1296" w:type="dxa"/>
            <w:shd w:val="clear" w:color="auto" w:fill="D9D9D9" w:themeFill="background1" w:themeFillShade="D9"/>
            <w:noWrap/>
            <w:vAlign w:val="bottom"/>
          </w:tcPr>
          <w:p w:rsidR="00A35C90" w:rsidRPr="007C2D51" w:rsidRDefault="00A35C90" w:rsidP="001C01AD">
            <w:pPr>
              <w:jc w:val="center"/>
              <w:cnfStyle w:val="000000000000"/>
            </w:pPr>
          </w:p>
        </w:tc>
        <w:tc>
          <w:tcPr>
            <w:tcW w:w="1296" w:type="dxa"/>
            <w:shd w:val="clear" w:color="auto" w:fill="D9D9D9" w:themeFill="background1" w:themeFillShade="D9"/>
            <w:noWrap/>
            <w:vAlign w:val="bottom"/>
          </w:tcPr>
          <w:p w:rsidR="00A35C90" w:rsidRPr="007C2D51" w:rsidRDefault="00A35C90" w:rsidP="001C01AD">
            <w:pPr>
              <w:jc w:val="center"/>
              <w:cnfStyle w:val="000000000000"/>
            </w:pPr>
          </w:p>
        </w:tc>
        <w:tc>
          <w:tcPr>
            <w:tcW w:w="1296" w:type="dxa"/>
            <w:noWrap/>
            <w:vAlign w:val="bottom"/>
          </w:tcPr>
          <w:p w:rsidR="00A35C90" w:rsidRPr="007C2D51" w:rsidRDefault="00897F5C" w:rsidP="001C01AD">
            <w:pPr>
              <w:jc w:val="center"/>
              <w:cnfStyle w:val="000000000000"/>
              <w:rPr>
                <w:rFonts w:cs="Calibri"/>
                <w:color w:val="000000"/>
              </w:rPr>
            </w:pPr>
            <w:r w:rsidRPr="007C2D51">
              <w:rPr>
                <w:rFonts w:cs="Calibri"/>
                <w:color w:val="000000"/>
              </w:rPr>
              <w:t>375,254 trips</w:t>
            </w:r>
            <w:r w:rsidRPr="007C2D51">
              <w:rPr>
                <w:rFonts w:cs="Calibri"/>
                <w:color w:val="000000"/>
              </w:rPr>
              <w:br/>
              <w:t>347,484 customer contacts</w:t>
            </w:r>
          </w:p>
        </w:tc>
        <w:tc>
          <w:tcPr>
            <w:tcW w:w="1296" w:type="dxa"/>
            <w:shd w:val="clear" w:color="auto" w:fill="D9D9D9" w:themeFill="background1" w:themeFillShade="D9"/>
            <w:noWrap/>
            <w:vAlign w:val="bottom"/>
          </w:tcPr>
          <w:p w:rsidR="00A35C90" w:rsidRPr="007C2D51" w:rsidRDefault="00A35C90" w:rsidP="001C01AD">
            <w:pPr>
              <w:jc w:val="center"/>
              <w:cnfStyle w:val="000000000000"/>
            </w:pPr>
          </w:p>
        </w:tc>
      </w:tr>
      <w:tr w:rsidR="00A35C90" w:rsidRPr="007C2D51" w:rsidTr="00F15767">
        <w:trPr>
          <w:cnfStyle w:val="000000100000"/>
          <w:trHeight w:val="300"/>
        </w:trPr>
        <w:tc>
          <w:tcPr>
            <w:cnfStyle w:val="001000000000"/>
            <w:tcW w:w="2880" w:type="dxa"/>
            <w:tcBorders>
              <w:top w:val="none" w:sz="0" w:space="0" w:color="auto"/>
              <w:left w:val="none" w:sz="0" w:space="0" w:color="auto"/>
              <w:bottom w:val="none" w:sz="0" w:space="0" w:color="auto"/>
            </w:tcBorders>
            <w:noWrap/>
            <w:vAlign w:val="bottom"/>
          </w:tcPr>
          <w:p w:rsidR="00A35C90" w:rsidRPr="007C2D51" w:rsidRDefault="00A35C90" w:rsidP="00526171">
            <w:pPr>
              <w:pStyle w:val="ListParagraph"/>
              <w:numPr>
                <w:ilvl w:val="0"/>
                <w:numId w:val="14"/>
              </w:numPr>
              <w:ind w:left="540"/>
            </w:pPr>
            <w:r w:rsidRPr="007C2D51">
              <w:t>One-stop center</w:t>
            </w:r>
          </w:p>
        </w:tc>
        <w:tc>
          <w:tcPr>
            <w:tcW w:w="1296" w:type="dxa"/>
            <w:tcBorders>
              <w:top w:val="none" w:sz="0" w:space="0" w:color="auto"/>
              <w:bottom w:val="none" w:sz="0" w:space="0" w:color="auto"/>
            </w:tcBorders>
            <w:shd w:val="clear" w:color="auto" w:fill="D9D9D9" w:themeFill="background1" w:themeFillShade="D9"/>
            <w:noWrap/>
            <w:vAlign w:val="bottom"/>
          </w:tcPr>
          <w:p w:rsidR="00A35C90" w:rsidRPr="007C2D51" w:rsidRDefault="00A35C90" w:rsidP="001C01AD">
            <w:pPr>
              <w:jc w:val="center"/>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A35C90" w:rsidRPr="007C2D51" w:rsidRDefault="00A35C90" w:rsidP="001C01AD">
            <w:pPr>
              <w:jc w:val="center"/>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A35C90" w:rsidRPr="007C2D51" w:rsidRDefault="00A35C90" w:rsidP="001C01AD">
            <w:pPr>
              <w:jc w:val="center"/>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A35C90" w:rsidRPr="007C2D51" w:rsidRDefault="00A35C90" w:rsidP="001C01AD">
            <w:pPr>
              <w:jc w:val="center"/>
              <w:cnfStyle w:val="000000100000"/>
            </w:pPr>
          </w:p>
        </w:tc>
        <w:tc>
          <w:tcPr>
            <w:tcW w:w="1296" w:type="dxa"/>
            <w:tcBorders>
              <w:top w:val="none" w:sz="0" w:space="0" w:color="auto"/>
              <w:bottom w:val="none" w:sz="0" w:space="0" w:color="auto"/>
              <w:right w:val="none" w:sz="0" w:space="0" w:color="auto"/>
            </w:tcBorders>
            <w:noWrap/>
            <w:vAlign w:val="bottom"/>
          </w:tcPr>
          <w:p w:rsidR="00A35C90" w:rsidRPr="007C2D51" w:rsidRDefault="00897F5C" w:rsidP="001C01AD">
            <w:pPr>
              <w:jc w:val="center"/>
              <w:cnfStyle w:val="000000100000"/>
            </w:pPr>
            <w:r w:rsidRPr="007C2D51">
              <w:t xml:space="preserve">42,033 </w:t>
            </w:r>
            <w:r w:rsidR="00A35C90" w:rsidRPr="007C2D51">
              <w:t>customer contacts</w:t>
            </w:r>
          </w:p>
        </w:tc>
      </w:tr>
      <w:tr w:rsidR="00A35C90" w:rsidRPr="007C2D51" w:rsidTr="00F15767">
        <w:trPr>
          <w:trHeight w:val="300"/>
        </w:trPr>
        <w:tc>
          <w:tcPr>
            <w:cnfStyle w:val="001000000000"/>
            <w:tcW w:w="2880" w:type="dxa"/>
            <w:noWrap/>
            <w:vAlign w:val="bottom"/>
          </w:tcPr>
          <w:p w:rsidR="00A35C90" w:rsidRPr="007C2D51" w:rsidRDefault="00A35C90" w:rsidP="00526171">
            <w:pPr>
              <w:pStyle w:val="ListParagraph"/>
              <w:numPr>
                <w:ilvl w:val="0"/>
                <w:numId w:val="14"/>
              </w:numPr>
              <w:ind w:left="540"/>
            </w:pPr>
            <w:r w:rsidRPr="007C2D51">
              <w:t>Itinerary planning</w:t>
            </w:r>
          </w:p>
        </w:tc>
        <w:tc>
          <w:tcPr>
            <w:tcW w:w="1296" w:type="dxa"/>
            <w:shd w:val="clear" w:color="auto" w:fill="D9D9D9" w:themeFill="background1" w:themeFillShade="D9"/>
            <w:noWrap/>
            <w:vAlign w:val="bottom"/>
          </w:tcPr>
          <w:p w:rsidR="00A35C90" w:rsidRPr="007C2D51" w:rsidRDefault="00A35C90" w:rsidP="001C01AD">
            <w:pPr>
              <w:jc w:val="center"/>
              <w:cnfStyle w:val="000000000000"/>
            </w:pPr>
          </w:p>
        </w:tc>
        <w:tc>
          <w:tcPr>
            <w:tcW w:w="1296" w:type="dxa"/>
            <w:shd w:val="clear" w:color="auto" w:fill="D9D9D9" w:themeFill="background1" w:themeFillShade="D9"/>
            <w:noWrap/>
            <w:vAlign w:val="bottom"/>
          </w:tcPr>
          <w:p w:rsidR="00A35C90" w:rsidRPr="007C2D51" w:rsidRDefault="00A35C90" w:rsidP="001C01AD">
            <w:pPr>
              <w:jc w:val="center"/>
              <w:cnfStyle w:val="000000000000"/>
            </w:pPr>
          </w:p>
        </w:tc>
        <w:tc>
          <w:tcPr>
            <w:tcW w:w="1296" w:type="dxa"/>
            <w:shd w:val="clear" w:color="auto" w:fill="D9D9D9" w:themeFill="background1" w:themeFillShade="D9"/>
            <w:noWrap/>
            <w:vAlign w:val="bottom"/>
          </w:tcPr>
          <w:p w:rsidR="00A35C90" w:rsidRPr="007C2D51" w:rsidRDefault="00A35C90" w:rsidP="001C01AD">
            <w:pPr>
              <w:jc w:val="center"/>
              <w:cnfStyle w:val="000000000000"/>
            </w:pPr>
          </w:p>
        </w:tc>
        <w:tc>
          <w:tcPr>
            <w:tcW w:w="1296" w:type="dxa"/>
            <w:shd w:val="clear" w:color="auto" w:fill="D9D9D9" w:themeFill="background1" w:themeFillShade="D9"/>
            <w:noWrap/>
            <w:vAlign w:val="bottom"/>
          </w:tcPr>
          <w:p w:rsidR="00A35C90" w:rsidRPr="007C2D51" w:rsidRDefault="00A35C90" w:rsidP="001C01AD">
            <w:pPr>
              <w:jc w:val="center"/>
              <w:cnfStyle w:val="000000000000"/>
            </w:pPr>
          </w:p>
        </w:tc>
        <w:tc>
          <w:tcPr>
            <w:tcW w:w="1296" w:type="dxa"/>
            <w:noWrap/>
            <w:vAlign w:val="bottom"/>
          </w:tcPr>
          <w:p w:rsidR="00A35C90" w:rsidRPr="007C2D51" w:rsidRDefault="00A35C90" w:rsidP="001C01AD">
            <w:pPr>
              <w:jc w:val="center"/>
              <w:cnfStyle w:val="000000000000"/>
            </w:pPr>
            <w:r w:rsidRPr="007C2D51">
              <w:t>3,</w:t>
            </w:r>
            <w:r w:rsidR="00897F5C" w:rsidRPr="007C2D51">
              <w:t>891</w:t>
            </w:r>
            <w:r w:rsidRPr="007C2D51">
              <w:t xml:space="preserve"> customer contacts</w:t>
            </w:r>
          </w:p>
        </w:tc>
      </w:tr>
      <w:tr w:rsidR="00A35C90" w:rsidRPr="007C2D51" w:rsidTr="00F15767">
        <w:trPr>
          <w:cnfStyle w:val="000000100000"/>
          <w:trHeight w:val="300"/>
        </w:trPr>
        <w:tc>
          <w:tcPr>
            <w:cnfStyle w:val="001000000000"/>
            <w:tcW w:w="2880" w:type="dxa"/>
            <w:tcBorders>
              <w:top w:val="none" w:sz="0" w:space="0" w:color="auto"/>
              <w:left w:val="none" w:sz="0" w:space="0" w:color="auto"/>
              <w:bottom w:val="none" w:sz="0" w:space="0" w:color="auto"/>
            </w:tcBorders>
            <w:noWrap/>
            <w:vAlign w:val="bottom"/>
          </w:tcPr>
          <w:p w:rsidR="00A35C90" w:rsidRPr="007C2D51" w:rsidRDefault="00A35C90" w:rsidP="00526171">
            <w:pPr>
              <w:pStyle w:val="ListParagraph"/>
              <w:numPr>
                <w:ilvl w:val="0"/>
                <w:numId w:val="14"/>
              </w:numPr>
              <w:ind w:left="540"/>
            </w:pPr>
            <w:r w:rsidRPr="007C2D51">
              <w:t>One-on-one transit training</w:t>
            </w:r>
          </w:p>
        </w:tc>
        <w:tc>
          <w:tcPr>
            <w:tcW w:w="1296" w:type="dxa"/>
            <w:tcBorders>
              <w:top w:val="none" w:sz="0" w:space="0" w:color="auto"/>
              <w:bottom w:val="none" w:sz="0" w:space="0" w:color="auto"/>
            </w:tcBorders>
            <w:shd w:val="clear" w:color="auto" w:fill="D9D9D9" w:themeFill="background1" w:themeFillShade="D9"/>
            <w:noWrap/>
            <w:vAlign w:val="bottom"/>
          </w:tcPr>
          <w:p w:rsidR="00A35C90" w:rsidRPr="007C2D51" w:rsidRDefault="00A35C90" w:rsidP="001C01AD">
            <w:pPr>
              <w:jc w:val="center"/>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A35C90" w:rsidRPr="007C2D51" w:rsidRDefault="00A35C90" w:rsidP="001C01AD">
            <w:pPr>
              <w:jc w:val="center"/>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A35C90" w:rsidRPr="007C2D51" w:rsidRDefault="00A35C90" w:rsidP="001C01AD">
            <w:pPr>
              <w:jc w:val="center"/>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A35C90" w:rsidRPr="007C2D51" w:rsidRDefault="00A35C90" w:rsidP="001C01AD">
            <w:pPr>
              <w:jc w:val="center"/>
              <w:cnfStyle w:val="000000100000"/>
            </w:pPr>
          </w:p>
        </w:tc>
        <w:tc>
          <w:tcPr>
            <w:tcW w:w="1296" w:type="dxa"/>
            <w:tcBorders>
              <w:top w:val="none" w:sz="0" w:space="0" w:color="auto"/>
              <w:bottom w:val="none" w:sz="0" w:space="0" w:color="auto"/>
              <w:right w:val="none" w:sz="0" w:space="0" w:color="auto"/>
            </w:tcBorders>
            <w:noWrap/>
            <w:vAlign w:val="bottom"/>
          </w:tcPr>
          <w:p w:rsidR="00A35C90" w:rsidRPr="007C2D51" w:rsidRDefault="00A35C90" w:rsidP="001C01AD">
            <w:pPr>
              <w:jc w:val="center"/>
              <w:cnfStyle w:val="000000100000"/>
            </w:pPr>
            <w:r w:rsidRPr="007C2D51">
              <w:t>3,</w:t>
            </w:r>
            <w:r w:rsidR="00897F5C" w:rsidRPr="007C2D51">
              <w:t>600</w:t>
            </w:r>
            <w:r w:rsidRPr="007C2D51">
              <w:t xml:space="preserve"> trained</w:t>
            </w:r>
          </w:p>
        </w:tc>
      </w:tr>
      <w:tr w:rsidR="00A35C90" w:rsidRPr="007C2D51" w:rsidTr="00F15767">
        <w:trPr>
          <w:trHeight w:val="300"/>
        </w:trPr>
        <w:tc>
          <w:tcPr>
            <w:cnfStyle w:val="001000000000"/>
            <w:tcW w:w="2880" w:type="dxa"/>
            <w:noWrap/>
            <w:vAlign w:val="bottom"/>
          </w:tcPr>
          <w:p w:rsidR="00A35C90" w:rsidRPr="007C2D51" w:rsidRDefault="00A35C90" w:rsidP="00526171">
            <w:pPr>
              <w:pStyle w:val="ListParagraph"/>
              <w:numPr>
                <w:ilvl w:val="0"/>
                <w:numId w:val="14"/>
              </w:numPr>
              <w:ind w:left="540"/>
            </w:pPr>
            <w:r w:rsidRPr="007C2D51">
              <w:t>Internet-based info</w:t>
            </w:r>
          </w:p>
        </w:tc>
        <w:tc>
          <w:tcPr>
            <w:tcW w:w="1296" w:type="dxa"/>
            <w:shd w:val="clear" w:color="auto" w:fill="D9D9D9" w:themeFill="background1" w:themeFillShade="D9"/>
            <w:noWrap/>
            <w:vAlign w:val="bottom"/>
          </w:tcPr>
          <w:p w:rsidR="00A35C90" w:rsidRPr="007C2D51" w:rsidRDefault="00A35C90" w:rsidP="001C01AD">
            <w:pPr>
              <w:jc w:val="center"/>
              <w:cnfStyle w:val="000000000000"/>
            </w:pPr>
          </w:p>
        </w:tc>
        <w:tc>
          <w:tcPr>
            <w:tcW w:w="1296" w:type="dxa"/>
            <w:shd w:val="clear" w:color="auto" w:fill="D9D9D9" w:themeFill="background1" w:themeFillShade="D9"/>
            <w:noWrap/>
            <w:vAlign w:val="bottom"/>
          </w:tcPr>
          <w:p w:rsidR="00A35C90" w:rsidRPr="007C2D51" w:rsidRDefault="00A35C90" w:rsidP="001C01AD">
            <w:pPr>
              <w:jc w:val="center"/>
              <w:cnfStyle w:val="000000000000"/>
            </w:pPr>
          </w:p>
        </w:tc>
        <w:tc>
          <w:tcPr>
            <w:tcW w:w="1296" w:type="dxa"/>
            <w:shd w:val="clear" w:color="auto" w:fill="D9D9D9" w:themeFill="background1" w:themeFillShade="D9"/>
            <w:noWrap/>
            <w:vAlign w:val="bottom"/>
          </w:tcPr>
          <w:p w:rsidR="00A35C90" w:rsidRPr="007C2D51" w:rsidRDefault="00A35C90" w:rsidP="001C01AD">
            <w:pPr>
              <w:jc w:val="center"/>
              <w:cnfStyle w:val="000000000000"/>
            </w:pPr>
          </w:p>
        </w:tc>
        <w:tc>
          <w:tcPr>
            <w:tcW w:w="1296" w:type="dxa"/>
            <w:shd w:val="clear" w:color="auto" w:fill="D9D9D9" w:themeFill="background1" w:themeFillShade="D9"/>
            <w:noWrap/>
            <w:vAlign w:val="bottom"/>
          </w:tcPr>
          <w:p w:rsidR="00A35C90" w:rsidRPr="007C2D51" w:rsidRDefault="00A35C90" w:rsidP="001C01AD">
            <w:pPr>
              <w:jc w:val="center"/>
              <w:cnfStyle w:val="000000000000"/>
            </w:pPr>
          </w:p>
        </w:tc>
        <w:tc>
          <w:tcPr>
            <w:tcW w:w="1296" w:type="dxa"/>
            <w:noWrap/>
            <w:vAlign w:val="bottom"/>
          </w:tcPr>
          <w:p w:rsidR="00A35C90" w:rsidRPr="007C2D51" w:rsidRDefault="00897F5C" w:rsidP="001C01AD">
            <w:pPr>
              <w:jc w:val="center"/>
              <w:cnfStyle w:val="000000000000"/>
              <w:rPr>
                <w:rFonts w:cs="Calibri"/>
                <w:color w:val="000000"/>
              </w:rPr>
            </w:pPr>
            <w:r w:rsidRPr="007C2D51">
              <w:rPr>
                <w:rFonts w:cs="Calibri"/>
                <w:color w:val="000000"/>
              </w:rPr>
              <w:t>125,181 served</w:t>
            </w:r>
          </w:p>
        </w:tc>
      </w:tr>
      <w:tr w:rsidR="00A35C90" w:rsidRPr="007C2D51" w:rsidTr="00F15767">
        <w:trPr>
          <w:cnfStyle w:val="000000100000"/>
          <w:trHeight w:val="300"/>
        </w:trPr>
        <w:tc>
          <w:tcPr>
            <w:cnfStyle w:val="001000000000"/>
            <w:tcW w:w="2880" w:type="dxa"/>
            <w:tcBorders>
              <w:top w:val="none" w:sz="0" w:space="0" w:color="auto"/>
              <w:left w:val="none" w:sz="0" w:space="0" w:color="auto"/>
              <w:bottom w:val="none" w:sz="0" w:space="0" w:color="auto"/>
            </w:tcBorders>
            <w:noWrap/>
            <w:vAlign w:val="bottom"/>
          </w:tcPr>
          <w:p w:rsidR="00A35C90" w:rsidRPr="007C2D51" w:rsidRDefault="00A35C90" w:rsidP="00526171">
            <w:pPr>
              <w:pStyle w:val="ListParagraph"/>
              <w:numPr>
                <w:ilvl w:val="0"/>
                <w:numId w:val="14"/>
              </w:numPr>
              <w:ind w:left="540"/>
            </w:pPr>
            <w:r w:rsidRPr="007C2D51">
              <w:t>Materials and marketing</w:t>
            </w:r>
          </w:p>
        </w:tc>
        <w:tc>
          <w:tcPr>
            <w:tcW w:w="1296" w:type="dxa"/>
            <w:tcBorders>
              <w:top w:val="none" w:sz="0" w:space="0" w:color="auto"/>
              <w:bottom w:val="none" w:sz="0" w:space="0" w:color="auto"/>
            </w:tcBorders>
            <w:shd w:val="clear" w:color="auto" w:fill="D9D9D9" w:themeFill="background1" w:themeFillShade="D9"/>
            <w:noWrap/>
            <w:vAlign w:val="bottom"/>
          </w:tcPr>
          <w:p w:rsidR="00A35C90" w:rsidRPr="007C2D51" w:rsidRDefault="00A35C90" w:rsidP="001C01AD">
            <w:pPr>
              <w:jc w:val="center"/>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A35C90" w:rsidRPr="007C2D51" w:rsidRDefault="00A35C90" w:rsidP="001C01AD">
            <w:pPr>
              <w:jc w:val="center"/>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A35C90" w:rsidRPr="007C2D51" w:rsidRDefault="00A35C90" w:rsidP="001C01AD">
            <w:pPr>
              <w:jc w:val="center"/>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A35C90" w:rsidRPr="007C2D51" w:rsidRDefault="00A35C90" w:rsidP="001C01AD">
            <w:pPr>
              <w:jc w:val="center"/>
              <w:cnfStyle w:val="000000100000"/>
            </w:pPr>
          </w:p>
        </w:tc>
        <w:tc>
          <w:tcPr>
            <w:tcW w:w="1296" w:type="dxa"/>
            <w:tcBorders>
              <w:top w:val="none" w:sz="0" w:space="0" w:color="auto"/>
              <w:bottom w:val="none" w:sz="0" w:space="0" w:color="auto"/>
              <w:right w:val="none" w:sz="0" w:space="0" w:color="auto"/>
            </w:tcBorders>
            <w:noWrap/>
            <w:vAlign w:val="bottom"/>
          </w:tcPr>
          <w:p w:rsidR="00A35C90" w:rsidRPr="007C2D51" w:rsidRDefault="00897F5C" w:rsidP="001C01AD">
            <w:pPr>
              <w:jc w:val="center"/>
              <w:cnfStyle w:val="000000100000"/>
              <w:rPr>
                <w:rFonts w:cs="Calibri"/>
                <w:color w:val="000000"/>
              </w:rPr>
            </w:pPr>
            <w:r w:rsidRPr="007C2D51">
              <w:rPr>
                <w:rFonts w:cs="Calibri"/>
                <w:color w:val="000000"/>
              </w:rPr>
              <w:t>Various, including brochures, maps, advertising, marketing materials</w:t>
            </w:r>
          </w:p>
        </w:tc>
      </w:tr>
      <w:tr w:rsidR="00A35C90" w:rsidRPr="007C2D51" w:rsidTr="00F15767">
        <w:trPr>
          <w:trHeight w:val="300"/>
        </w:trPr>
        <w:tc>
          <w:tcPr>
            <w:cnfStyle w:val="001000000000"/>
            <w:tcW w:w="2880" w:type="dxa"/>
            <w:noWrap/>
            <w:vAlign w:val="bottom"/>
          </w:tcPr>
          <w:p w:rsidR="00A35C90" w:rsidRPr="007C2D51" w:rsidRDefault="00A35C90" w:rsidP="00526171">
            <w:pPr>
              <w:pStyle w:val="ListParagraph"/>
              <w:numPr>
                <w:ilvl w:val="0"/>
                <w:numId w:val="14"/>
              </w:numPr>
              <w:ind w:left="540"/>
            </w:pPr>
            <w:r w:rsidRPr="007C2D51">
              <w:t>Transportation resource training</w:t>
            </w:r>
          </w:p>
        </w:tc>
        <w:tc>
          <w:tcPr>
            <w:tcW w:w="1296" w:type="dxa"/>
            <w:shd w:val="clear" w:color="auto" w:fill="D9D9D9" w:themeFill="background1" w:themeFillShade="D9"/>
            <w:noWrap/>
            <w:vAlign w:val="bottom"/>
          </w:tcPr>
          <w:p w:rsidR="00A35C90" w:rsidRPr="007C2D51" w:rsidRDefault="00A35C90" w:rsidP="001C01AD">
            <w:pPr>
              <w:jc w:val="center"/>
              <w:cnfStyle w:val="000000000000"/>
            </w:pPr>
          </w:p>
        </w:tc>
        <w:tc>
          <w:tcPr>
            <w:tcW w:w="1296" w:type="dxa"/>
            <w:shd w:val="clear" w:color="auto" w:fill="D9D9D9" w:themeFill="background1" w:themeFillShade="D9"/>
            <w:noWrap/>
            <w:vAlign w:val="bottom"/>
          </w:tcPr>
          <w:p w:rsidR="00A35C90" w:rsidRPr="007C2D51" w:rsidRDefault="00A35C90" w:rsidP="001C01AD">
            <w:pPr>
              <w:jc w:val="center"/>
              <w:cnfStyle w:val="000000000000"/>
            </w:pPr>
          </w:p>
        </w:tc>
        <w:tc>
          <w:tcPr>
            <w:tcW w:w="1296" w:type="dxa"/>
            <w:shd w:val="clear" w:color="auto" w:fill="D9D9D9" w:themeFill="background1" w:themeFillShade="D9"/>
            <w:noWrap/>
            <w:vAlign w:val="bottom"/>
          </w:tcPr>
          <w:p w:rsidR="00A35C90" w:rsidRPr="007C2D51" w:rsidRDefault="00A35C90" w:rsidP="001C01AD">
            <w:pPr>
              <w:jc w:val="center"/>
              <w:cnfStyle w:val="000000000000"/>
            </w:pPr>
          </w:p>
        </w:tc>
        <w:tc>
          <w:tcPr>
            <w:tcW w:w="1296" w:type="dxa"/>
            <w:shd w:val="clear" w:color="auto" w:fill="D9D9D9" w:themeFill="background1" w:themeFillShade="D9"/>
            <w:noWrap/>
            <w:vAlign w:val="bottom"/>
          </w:tcPr>
          <w:p w:rsidR="00A35C90" w:rsidRPr="007C2D51" w:rsidRDefault="00A35C90" w:rsidP="001C01AD">
            <w:pPr>
              <w:jc w:val="center"/>
              <w:cnfStyle w:val="000000000000"/>
            </w:pPr>
          </w:p>
        </w:tc>
        <w:tc>
          <w:tcPr>
            <w:tcW w:w="1296" w:type="dxa"/>
            <w:noWrap/>
            <w:vAlign w:val="bottom"/>
          </w:tcPr>
          <w:p w:rsidR="00A35C90" w:rsidRPr="007C2D51" w:rsidRDefault="00897F5C" w:rsidP="001C01AD">
            <w:pPr>
              <w:jc w:val="center"/>
              <w:cnfStyle w:val="000000000000"/>
            </w:pPr>
            <w:r w:rsidRPr="007C2D51">
              <w:t>3,273</w:t>
            </w:r>
            <w:r w:rsidR="00A35C90" w:rsidRPr="007C2D51">
              <w:t xml:space="preserve"> trained</w:t>
            </w:r>
          </w:p>
        </w:tc>
      </w:tr>
    </w:tbl>
    <w:p w:rsidR="00223F5C" w:rsidRPr="007C2D51" w:rsidRDefault="00223F5C">
      <w:r w:rsidRPr="007C2D51">
        <w:rPr>
          <w:b/>
          <w:bCs/>
        </w:rPr>
        <w:br w:type="page"/>
      </w:r>
    </w:p>
    <w:tbl>
      <w:tblPr>
        <w:tblStyle w:val="LightList-Accent6"/>
        <w:tblpPr w:leftFromText="180" w:rightFromText="180" w:vertAnchor="page" w:horzAnchor="margin" w:tblpY="1663"/>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80"/>
        <w:gridCol w:w="1296"/>
        <w:gridCol w:w="1296"/>
        <w:gridCol w:w="1296"/>
        <w:gridCol w:w="1296"/>
        <w:gridCol w:w="1296"/>
      </w:tblGrid>
      <w:tr w:rsidR="00A35C90" w:rsidRPr="007C2D51" w:rsidTr="00F15767">
        <w:trPr>
          <w:cnfStyle w:val="100000000000"/>
          <w:trHeight w:val="300"/>
        </w:trPr>
        <w:tc>
          <w:tcPr>
            <w:cnfStyle w:val="001000000000"/>
            <w:tcW w:w="2880" w:type="dxa"/>
            <w:noWrap/>
            <w:vAlign w:val="bottom"/>
          </w:tcPr>
          <w:p w:rsidR="00A35C90" w:rsidRPr="007C2D51" w:rsidRDefault="00A35C90" w:rsidP="00A35C90">
            <w:pPr>
              <w:jc w:val="center"/>
            </w:pPr>
          </w:p>
        </w:tc>
        <w:tc>
          <w:tcPr>
            <w:tcW w:w="6480" w:type="dxa"/>
            <w:gridSpan w:val="5"/>
            <w:noWrap/>
            <w:vAlign w:val="bottom"/>
          </w:tcPr>
          <w:p w:rsidR="00A35C90" w:rsidRPr="007C2D51" w:rsidRDefault="00A35C90" w:rsidP="00A35C90">
            <w:pPr>
              <w:jc w:val="center"/>
              <w:cnfStyle w:val="100000000000"/>
            </w:pPr>
            <w:r w:rsidRPr="007C2D51">
              <w:t>Primary Goal</w:t>
            </w:r>
          </w:p>
        </w:tc>
      </w:tr>
      <w:tr w:rsidR="00A35C90" w:rsidRPr="007C2D51" w:rsidTr="00F15767">
        <w:trPr>
          <w:cnfStyle w:val="000000100000"/>
          <w:trHeight w:val="300"/>
        </w:trPr>
        <w:tc>
          <w:tcPr>
            <w:cnfStyle w:val="001000000000"/>
            <w:tcW w:w="2880" w:type="dxa"/>
            <w:tcBorders>
              <w:top w:val="none" w:sz="0" w:space="0" w:color="auto"/>
              <w:left w:val="none" w:sz="0" w:space="0" w:color="auto"/>
              <w:bottom w:val="none" w:sz="0" w:space="0" w:color="auto"/>
            </w:tcBorders>
            <w:shd w:val="clear" w:color="auto" w:fill="auto"/>
            <w:noWrap/>
            <w:vAlign w:val="bottom"/>
          </w:tcPr>
          <w:p w:rsidR="00A35C90" w:rsidRPr="007C2D51" w:rsidRDefault="00A35C90" w:rsidP="00A35C90">
            <w:r w:rsidRPr="007C2D51">
              <w:t>Service Type</w:t>
            </w:r>
          </w:p>
        </w:tc>
        <w:tc>
          <w:tcPr>
            <w:tcW w:w="1296" w:type="dxa"/>
            <w:tcBorders>
              <w:top w:val="none" w:sz="0" w:space="0" w:color="auto"/>
              <w:bottom w:val="none" w:sz="0" w:space="0" w:color="auto"/>
            </w:tcBorders>
            <w:shd w:val="clear" w:color="auto" w:fill="auto"/>
            <w:noWrap/>
            <w:vAlign w:val="bottom"/>
          </w:tcPr>
          <w:p w:rsidR="00A35C90" w:rsidRPr="007C2D51" w:rsidRDefault="00A35C90" w:rsidP="001C01AD">
            <w:pPr>
              <w:jc w:val="center"/>
              <w:cnfStyle w:val="000000100000"/>
            </w:pPr>
            <w:r w:rsidRPr="007C2D51">
              <w:t>(A)</w:t>
            </w:r>
            <w:r w:rsidRPr="007C2D51">
              <w:br/>
              <w:t>Expanded geographic coverage</w:t>
            </w:r>
          </w:p>
        </w:tc>
        <w:tc>
          <w:tcPr>
            <w:tcW w:w="1296" w:type="dxa"/>
            <w:tcBorders>
              <w:top w:val="none" w:sz="0" w:space="0" w:color="auto"/>
              <w:bottom w:val="none" w:sz="0" w:space="0" w:color="auto"/>
            </w:tcBorders>
            <w:shd w:val="clear" w:color="auto" w:fill="auto"/>
            <w:noWrap/>
            <w:vAlign w:val="bottom"/>
          </w:tcPr>
          <w:p w:rsidR="00A35C90" w:rsidRPr="007C2D51" w:rsidRDefault="00A35C90" w:rsidP="001C01AD">
            <w:pPr>
              <w:jc w:val="center"/>
              <w:cnfStyle w:val="000000100000"/>
            </w:pPr>
            <w:r w:rsidRPr="007C2D51">
              <w:t>(B)</w:t>
            </w:r>
            <w:r w:rsidRPr="007C2D51">
              <w:br/>
              <w:t>Extended hours/days of service</w:t>
            </w:r>
          </w:p>
        </w:tc>
        <w:tc>
          <w:tcPr>
            <w:tcW w:w="1296" w:type="dxa"/>
            <w:tcBorders>
              <w:top w:val="none" w:sz="0" w:space="0" w:color="auto"/>
              <w:bottom w:val="none" w:sz="0" w:space="0" w:color="auto"/>
            </w:tcBorders>
            <w:shd w:val="clear" w:color="auto" w:fill="auto"/>
            <w:noWrap/>
            <w:vAlign w:val="bottom"/>
          </w:tcPr>
          <w:p w:rsidR="00A35C90" w:rsidRPr="007C2D51" w:rsidRDefault="00A35C90" w:rsidP="001C01AD">
            <w:pPr>
              <w:jc w:val="center"/>
              <w:cnfStyle w:val="000000100000"/>
            </w:pPr>
            <w:r w:rsidRPr="007C2D51">
              <w:t>(C)</w:t>
            </w:r>
            <w:r w:rsidRPr="007C2D51">
              <w:br/>
              <w:t>Improved system capacity</w:t>
            </w:r>
          </w:p>
        </w:tc>
        <w:tc>
          <w:tcPr>
            <w:tcW w:w="1296" w:type="dxa"/>
            <w:tcBorders>
              <w:top w:val="none" w:sz="0" w:space="0" w:color="auto"/>
              <w:bottom w:val="none" w:sz="0" w:space="0" w:color="auto"/>
            </w:tcBorders>
            <w:shd w:val="clear" w:color="auto" w:fill="auto"/>
            <w:noWrap/>
            <w:vAlign w:val="bottom"/>
          </w:tcPr>
          <w:p w:rsidR="00A35C90" w:rsidRPr="007C2D51" w:rsidRDefault="00A35C90" w:rsidP="001C01AD">
            <w:pPr>
              <w:jc w:val="center"/>
              <w:cnfStyle w:val="000000100000"/>
            </w:pPr>
            <w:r w:rsidRPr="007C2D51">
              <w:t>(D)</w:t>
            </w:r>
            <w:r w:rsidRPr="007C2D51">
              <w:br/>
              <w:t>Improved access/</w:t>
            </w:r>
          </w:p>
          <w:p w:rsidR="00A35C90" w:rsidRPr="007C2D51" w:rsidRDefault="00A35C90" w:rsidP="001C01AD">
            <w:pPr>
              <w:jc w:val="center"/>
              <w:cnfStyle w:val="000000100000"/>
            </w:pPr>
            <w:r w:rsidRPr="007C2D51">
              <w:t>connections</w:t>
            </w:r>
          </w:p>
        </w:tc>
        <w:tc>
          <w:tcPr>
            <w:tcW w:w="1296" w:type="dxa"/>
            <w:tcBorders>
              <w:top w:val="none" w:sz="0" w:space="0" w:color="auto"/>
              <w:bottom w:val="none" w:sz="0" w:space="0" w:color="auto"/>
              <w:right w:val="none" w:sz="0" w:space="0" w:color="auto"/>
            </w:tcBorders>
            <w:shd w:val="clear" w:color="auto" w:fill="auto"/>
            <w:noWrap/>
            <w:vAlign w:val="bottom"/>
          </w:tcPr>
          <w:p w:rsidR="00A35C90" w:rsidRPr="007C2D51" w:rsidRDefault="00A35C90" w:rsidP="001C01AD">
            <w:pPr>
              <w:jc w:val="center"/>
              <w:cnfStyle w:val="000000100000"/>
            </w:pPr>
            <w:r w:rsidRPr="007C2D51">
              <w:t>(E)</w:t>
            </w:r>
            <w:r w:rsidRPr="007C2D51">
              <w:br/>
              <w:t>Improved customer knowledge</w:t>
            </w:r>
          </w:p>
        </w:tc>
      </w:tr>
      <w:tr w:rsidR="00A35C90" w:rsidRPr="007C2D51" w:rsidTr="00F15767">
        <w:trPr>
          <w:trHeight w:val="300"/>
        </w:trPr>
        <w:tc>
          <w:tcPr>
            <w:cnfStyle w:val="001000000000"/>
            <w:tcW w:w="2880" w:type="dxa"/>
            <w:shd w:val="clear" w:color="auto" w:fill="475A8D" w:themeFill="accent6"/>
            <w:noWrap/>
            <w:vAlign w:val="bottom"/>
          </w:tcPr>
          <w:p w:rsidR="00A35C90" w:rsidRPr="007C2D51" w:rsidRDefault="00A35C90" w:rsidP="00A35C90">
            <w:pPr>
              <w:rPr>
                <w:color w:val="FFFFFF" w:themeColor="background1"/>
              </w:rPr>
            </w:pPr>
            <w:r w:rsidRPr="007C2D51">
              <w:rPr>
                <w:color w:val="FFFFFF" w:themeColor="background1"/>
              </w:rPr>
              <w:t>III</w:t>
            </w:r>
            <w:r w:rsidR="00CE332B" w:rsidRPr="007C2D51">
              <w:rPr>
                <w:color w:val="FFFFFF" w:themeColor="background1"/>
              </w:rPr>
              <w:t xml:space="preserve">.  </w:t>
            </w:r>
            <w:r w:rsidRPr="007C2D51">
              <w:rPr>
                <w:color w:val="FFFFFF" w:themeColor="background1"/>
              </w:rPr>
              <w:t>Capital Investment</w:t>
            </w:r>
          </w:p>
        </w:tc>
        <w:tc>
          <w:tcPr>
            <w:tcW w:w="1296" w:type="dxa"/>
            <w:shd w:val="clear" w:color="auto" w:fill="475A8D" w:themeFill="accent6"/>
            <w:noWrap/>
            <w:vAlign w:val="bottom"/>
          </w:tcPr>
          <w:p w:rsidR="00A35C90" w:rsidRPr="007C2D51" w:rsidRDefault="00A35C90" w:rsidP="001C01AD">
            <w:pPr>
              <w:jc w:val="center"/>
              <w:cnfStyle w:val="000000000000"/>
              <w:rPr>
                <w:color w:val="FFFFFF" w:themeColor="background1"/>
              </w:rPr>
            </w:pPr>
          </w:p>
        </w:tc>
        <w:tc>
          <w:tcPr>
            <w:tcW w:w="1296" w:type="dxa"/>
            <w:shd w:val="clear" w:color="auto" w:fill="475A8D" w:themeFill="accent6"/>
            <w:noWrap/>
            <w:vAlign w:val="bottom"/>
          </w:tcPr>
          <w:p w:rsidR="00A35C90" w:rsidRPr="007C2D51" w:rsidRDefault="00A35C90" w:rsidP="001C01AD">
            <w:pPr>
              <w:jc w:val="center"/>
              <w:cnfStyle w:val="000000000000"/>
              <w:rPr>
                <w:color w:val="FFFFFF" w:themeColor="background1"/>
              </w:rPr>
            </w:pPr>
          </w:p>
        </w:tc>
        <w:tc>
          <w:tcPr>
            <w:tcW w:w="1296" w:type="dxa"/>
            <w:shd w:val="clear" w:color="auto" w:fill="475A8D" w:themeFill="accent6"/>
            <w:noWrap/>
            <w:vAlign w:val="bottom"/>
          </w:tcPr>
          <w:p w:rsidR="00A35C90" w:rsidRPr="007C2D51" w:rsidRDefault="00A35C90" w:rsidP="001C01AD">
            <w:pPr>
              <w:jc w:val="center"/>
              <w:cnfStyle w:val="000000000000"/>
              <w:rPr>
                <w:color w:val="FFFFFF" w:themeColor="background1"/>
              </w:rPr>
            </w:pPr>
          </w:p>
        </w:tc>
        <w:tc>
          <w:tcPr>
            <w:tcW w:w="1296" w:type="dxa"/>
            <w:shd w:val="clear" w:color="auto" w:fill="475A8D" w:themeFill="accent6"/>
            <w:noWrap/>
            <w:vAlign w:val="bottom"/>
          </w:tcPr>
          <w:p w:rsidR="00A35C90" w:rsidRPr="007C2D51" w:rsidRDefault="00A35C90" w:rsidP="001C01AD">
            <w:pPr>
              <w:jc w:val="center"/>
              <w:cnfStyle w:val="000000000000"/>
              <w:rPr>
                <w:color w:val="FFFFFF" w:themeColor="background1"/>
              </w:rPr>
            </w:pPr>
          </w:p>
        </w:tc>
        <w:tc>
          <w:tcPr>
            <w:tcW w:w="1296" w:type="dxa"/>
            <w:shd w:val="clear" w:color="auto" w:fill="475A8D" w:themeFill="accent6"/>
            <w:noWrap/>
            <w:vAlign w:val="bottom"/>
          </w:tcPr>
          <w:p w:rsidR="00A35C90" w:rsidRPr="007C2D51" w:rsidRDefault="00A35C90" w:rsidP="001C01AD">
            <w:pPr>
              <w:jc w:val="center"/>
              <w:cnfStyle w:val="000000000000"/>
              <w:rPr>
                <w:color w:val="FFFFFF" w:themeColor="background1"/>
              </w:rPr>
            </w:pPr>
          </w:p>
        </w:tc>
      </w:tr>
      <w:tr w:rsidR="00945F49" w:rsidRPr="007C2D51" w:rsidTr="00F15767">
        <w:trPr>
          <w:cnfStyle w:val="000000100000"/>
          <w:trHeight w:val="300"/>
        </w:trPr>
        <w:tc>
          <w:tcPr>
            <w:cnfStyle w:val="001000000000"/>
            <w:tcW w:w="2880" w:type="dxa"/>
            <w:tcBorders>
              <w:top w:val="none" w:sz="0" w:space="0" w:color="auto"/>
              <w:left w:val="none" w:sz="0" w:space="0" w:color="auto"/>
              <w:bottom w:val="none" w:sz="0" w:space="0" w:color="auto"/>
            </w:tcBorders>
            <w:noWrap/>
            <w:vAlign w:val="bottom"/>
          </w:tcPr>
          <w:p w:rsidR="00945F49" w:rsidRPr="007C2D51" w:rsidRDefault="00945F49" w:rsidP="00526171">
            <w:pPr>
              <w:pStyle w:val="ListParagraph"/>
              <w:numPr>
                <w:ilvl w:val="0"/>
                <w:numId w:val="12"/>
              </w:numPr>
              <w:ind w:left="450"/>
            </w:pPr>
            <w:r w:rsidRPr="007C2D51">
              <w:t>Vehicle for individual</w:t>
            </w:r>
          </w:p>
        </w:tc>
        <w:tc>
          <w:tcPr>
            <w:tcW w:w="1296" w:type="dxa"/>
            <w:tcBorders>
              <w:top w:val="none" w:sz="0" w:space="0" w:color="auto"/>
              <w:bottom w:val="none" w:sz="0" w:space="0" w:color="auto"/>
            </w:tcBorders>
            <w:shd w:val="clear" w:color="auto" w:fill="D9D9D9" w:themeFill="background1" w:themeFillShade="D9"/>
            <w:noWrap/>
            <w:vAlign w:val="bottom"/>
          </w:tcPr>
          <w:p w:rsidR="00945F49" w:rsidRPr="007C2D51" w:rsidRDefault="00945F49" w:rsidP="001C01AD">
            <w:pPr>
              <w:jc w:val="center"/>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945F49" w:rsidRPr="007C2D51" w:rsidRDefault="00945F49" w:rsidP="001C01AD">
            <w:pPr>
              <w:jc w:val="center"/>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945F49" w:rsidRPr="007C2D51" w:rsidRDefault="00945F49" w:rsidP="001C01AD">
            <w:pPr>
              <w:jc w:val="center"/>
              <w:cnfStyle w:val="000000100000"/>
            </w:pPr>
          </w:p>
        </w:tc>
        <w:tc>
          <w:tcPr>
            <w:tcW w:w="1296" w:type="dxa"/>
            <w:tcBorders>
              <w:top w:val="none" w:sz="0" w:space="0" w:color="auto"/>
              <w:bottom w:val="none" w:sz="0" w:space="0" w:color="auto"/>
            </w:tcBorders>
            <w:shd w:val="clear" w:color="auto" w:fill="auto"/>
            <w:noWrap/>
            <w:vAlign w:val="bottom"/>
          </w:tcPr>
          <w:p w:rsidR="00945F49" w:rsidRPr="007C2D51" w:rsidRDefault="009C5152" w:rsidP="001C01AD">
            <w:pPr>
              <w:jc w:val="center"/>
              <w:cnfStyle w:val="000000100000"/>
            </w:pPr>
            <w:r w:rsidRPr="007C2D51">
              <w:t>265,831</w:t>
            </w:r>
            <w:r w:rsidR="00945F49" w:rsidRPr="007C2D51">
              <w:t xml:space="preserve"> trips</w:t>
            </w:r>
            <w:r w:rsidR="00945F49" w:rsidRPr="007C2D51">
              <w:br/>
            </w:r>
            <w:r w:rsidRPr="007C2D51">
              <w:t>1,684</w:t>
            </w:r>
            <w:r w:rsidR="00945F49" w:rsidRPr="007C2D51">
              <w:t xml:space="preserve"> vehicle loans</w:t>
            </w:r>
          </w:p>
        </w:tc>
        <w:tc>
          <w:tcPr>
            <w:tcW w:w="1296" w:type="dxa"/>
            <w:tcBorders>
              <w:top w:val="none" w:sz="0" w:space="0" w:color="auto"/>
              <w:bottom w:val="none" w:sz="0" w:space="0" w:color="auto"/>
              <w:right w:val="none" w:sz="0" w:space="0" w:color="auto"/>
            </w:tcBorders>
            <w:shd w:val="clear" w:color="auto" w:fill="D9D9D9" w:themeFill="background1" w:themeFillShade="D9"/>
            <w:noWrap/>
            <w:vAlign w:val="bottom"/>
          </w:tcPr>
          <w:p w:rsidR="00945F49" w:rsidRPr="007C2D51" w:rsidRDefault="00945F49" w:rsidP="001C01AD">
            <w:pPr>
              <w:jc w:val="center"/>
              <w:cnfStyle w:val="000000100000"/>
            </w:pPr>
          </w:p>
        </w:tc>
      </w:tr>
      <w:tr w:rsidR="00A35C90" w:rsidRPr="007C2D51" w:rsidTr="00F15767">
        <w:trPr>
          <w:trHeight w:val="300"/>
        </w:trPr>
        <w:tc>
          <w:tcPr>
            <w:cnfStyle w:val="001000000000"/>
            <w:tcW w:w="2880" w:type="dxa"/>
            <w:noWrap/>
            <w:vAlign w:val="bottom"/>
          </w:tcPr>
          <w:p w:rsidR="00A35C90" w:rsidRPr="007C2D51" w:rsidRDefault="00A35C90" w:rsidP="00526171">
            <w:pPr>
              <w:pStyle w:val="ListParagraph"/>
              <w:numPr>
                <w:ilvl w:val="0"/>
                <w:numId w:val="12"/>
              </w:numPr>
              <w:ind w:left="450"/>
            </w:pPr>
            <w:r w:rsidRPr="007C2D51">
              <w:t>Vehicle for agency</w:t>
            </w:r>
          </w:p>
        </w:tc>
        <w:tc>
          <w:tcPr>
            <w:tcW w:w="1296" w:type="dxa"/>
            <w:noWrap/>
            <w:vAlign w:val="bottom"/>
          </w:tcPr>
          <w:p w:rsidR="00A35C90" w:rsidRPr="007C2D51" w:rsidRDefault="00A35C90" w:rsidP="001C01AD">
            <w:pPr>
              <w:jc w:val="center"/>
              <w:cnfStyle w:val="000000000000"/>
            </w:pPr>
            <w:r w:rsidRPr="007C2D51">
              <w:t>2</w:t>
            </w:r>
            <w:r w:rsidR="009C5152" w:rsidRPr="007C2D51">
              <w:t>7,760</w:t>
            </w:r>
            <w:r w:rsidRPr="007C2D51">
              <w:t xml:space="preserve"> trips</w:t>
            </w:r>
            <w:r w:rsidRPr="007C2D51">
              <w:br/>
              <w:t>1</w:t>
            </w:r>
            <w:r w:rsidR="009C5152" w:rsidRPr="007C2D51">
              <w:t>5</w:t>
            </w:r>
            <w:r w:rsidRPr="007C2D51">
              <w:t xml:space="preserve"> vehicles added</w:t>
            </w:r>
          </w:p>
        </w:tc>
        <w:tc>
          <w:tcPr>
            <w:tcW w:w="1296" w:type="dxa"/>
            <w:noWrap/>
            <w:vAlign w:val="bottom"/>
          </w:tcPr>
          <w:p w:rsidR="00A35C90" w:rsidRPr="007C2D51" w:rsidRDefault="009C5152" w:rsidP="001C01AD">
            <w:pPr>
              <w:jc w:val="center"/>
              <w:cnfStyle w:val="000000000000"/>
            </w:pPr>
            <w:r w:rsidRPr="007C2D51">
              <w:t>4,458</w:t>
            </w:r>
            <w:r w:rsidR="00A35C90" w:rsidRPr="007C2D51">
              <w:t xml:space="preserve"> trips</w:t>
            </w:r>
            <w:r w:rsidR="00A35C90" w:rsidRPr="007C2D51">
              <w:br/>
              <w:t>1</w:t>
            </w:r>
            <w:r w:rsidRPr="007C2D51">
              <w:t>3</w:t>
            </w:r>
            <w:r w:rsidR="00A35C90" w:rsidRPr="007C2D51">
              <w:t xml:space="preserve"> vehicles added</w:t>
            </w:r>
          </w:p>
        </w:tc>
        <w:tc>
          <w:tcPr>
            <w:tcW w:w="1296" w:type="dxa"/>
            <w:noWrap/>
            <w:vAlign w:val="bottom"/>
          </w:tcPr>
          <w:p w:rsidR="00A35C90" w:rsidRPr="007C2D51" w:rsidRDefault="009C5152" w:rsidP="001C01AD">
            <w:pPr>
              <w:jc w:val="center"/>
              <w:cnfStyle w:val="000000000000"/>
            </w:pPr>
            <w:r w:rsidRPr="007C2D51">
              <w:t>79,872</w:t>
            </w:r>
            <w:r w:rsidR="00A35C90" w:rsidRPr="007C2D51">
              <w:t xml:space="preserve"> trips</w:t>
            </w:r>
            <w:r w:rsidR="00A35C90" w:rsidRPr="007C2D51">
              <w:br/>
            </w:r>
            <w:r w:rsidRPr="007C2D51">
              <w:t>20</w:t>
            </w:r>
            <w:r w:rsidR="00A35C90" w:rsidRPr="007C2D51">
              <w:t xml:space="preserve"> vehicles added</w:t>
            </w:r>
          </w:p>
        </w:tc>
        <w:tc>
          <w:tcPr>
            <w:tcW w:w="1296" w:type="dxa"/>
            <w:shd w:val="clear" w:color="auto" w:fill="D9D9D9" w:themeFill="background1" w:themeFillShade="D9"/>
            <w:noWrap/>
            <w:vAlign w:val="bottom"/>
          </w:tcPr>
          <w:p w:rsidR="00A35C90" w:rsidRPr="007C2D51" w:rsidRDefault="00A35C90" w:rsidP="001C01AD">
            <w:pPr>
              <w:jc w:val="center"/>
              <w:cnfStyle w:val="000000000000"/>
            </w:pPr>
          </w:p>
        </w:tc>
        <w:tc>
          <w:tcPr>
            <w:tcW w:w="1296" w:type="dxa"/>
            <w:shd w:val="clear" w:color="auto" w:fill="D9D9D9" w:themeFill="background1" w:themeFillShade="D9"/>
            <w:noWrap/>
            <w:vAlign w:val="bottom"/>
          </w:tcPr>
          <w:p w:rsidR="00A35C90" w:rsidRPr="007C2D51" w:rsidRDefault="00A35C90" w:rsidP="001C01AD">
            <w:pPr>
              <w:jc w:val="center"/>
              <w:cnfStyle w:val="000000000000"/>
            </w:pPr>
          </w:p>
        </w:tc>
      </w:tr>
      <w:tr w:rsidR="00A35C90" w:rsidRPr="007C2D51" w:rsidTr="00F15767">
        <w:trPr>
          <w:cnfStyle w:val="000000100000"/>
          <w:trHeight w:val="300"/>
        </w:trPr>
        <w:tc>
          <w:tcPr>
            <w:cnfStyle w:val="001000000000"/>
            <w:tcW w:w="2880" w:type="dxa"/>
            <w:tcBorders>
              <w:top w:val="none" w:sz="0" w:space="0" w:color="auto"/>
              <w:left w:val="none" w:sz="0" w:space="0" w:color="auto"/>
              <w:bottom w:val="none" w:sz="0" w:space="0" w:color="auto"/>
            </w:tcBorders>
            <w:noWrap/>
            <w:vAlign w:val="bottom"/>
          </w:tcPr>
          <w:p w:rsidR="00A35C90" w:rsidRPr="007C2D51" w:rsidRDefault="00A35C90" w:rsidP="00526171">
            <w:pPr>
              <w:pStyle w:val="ListParagraph"/>
              <w:numPr>
                <w:ilvl w:val="0"/>
                <w:numId w:val="12"/>
              </w:numPr>
              <w:ind w:left="450"/>
            </w:pPr>
            <w:r w:rsidRPr="007C2D51">
              <w:t>Vanpool vehicles</w:t>
            </w:r>
          </w:p>
        </w:tc>
        <w:tc>
          <w:tcPr>
            <w:tcW w:w="1296" w:type="dxa"/>
            <w:tcBorders>
              <w:top w:val="none" w:sz="0" w:space="0" w:color="auto"/>
              <w:bottom w:val="none" w:sz="0" w:space="0" w:color="auto"/>
            </w:tcBorders>
            <w:shd w:val="clear" w:color="auto" w:fill="D9D9D9" w:themeFill="background1" w:themeFillShade="D9"/>
            <w:noWrap/>
            <w:vAlign w:val="bottom"/>
          </w:tcPr>
          <w:p w:rsidR="00A35C90" w:rsidRPr="007C2D51" w:rsidRDefault="00A35C90" w:rsidP="001C01AD">
            <w:pPr>
              <w:jc w:val="center"/>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A35C90" w:rsidRPr="007C2D51" w:rsidRDefault="00A35C90" w:rsidP="001C01AD">
            <w:pPr>
              <w:jc w:val="center"/>
              <w:cnfStyle w:val="000000100000"/>
            </w:pPr>
          </w:p>
        </w:tc>
        <w:tc>
          <w:tcPr>
            <w:tcW w:w="1296" w:type="dxa"/>
            <w:tcBorders>
              <w:top w:val="none" w:sz="0" w:space="0" w:color="auto"/>
              <w:bottom w:val="none" w:sz="0" w:space="0" w:color="auto"/>
            </w:tcBorders>
            <w:shd w:val="clear" w:color="auto" w:fill="auto"/>
            <w:noWrap/>
            <w:vAlign w:val="bottom"/>
          </w:tcPr>
          <w:p w:rsidR="00A35C90" w:rsidRPr="007C2D51" w:rsidRDefault="009C5152" w:rsidP="001C01AD">
            <w:pPr>
              <w:jc w:val="center"/>
              <w:cnfStyle w:val="000000100000"/>
            </w:pPr>
            <w:r w:rsidRPr="007C2D51">
              <w:t>3 vehicles added</w:t>
            </w:r>
          </w:p>
        </w:tc>
        <w:tc>
          <w:tcPr>
            <w:tcW w:w="1296" w:type="dxa"/>
            <w:tcBorders>
              <w:top w:val="none" w:sz="0" w:space="0" w:color="auto"/>
              <w:bottom w:val="none" w:sz="0" w:space="0" w:color="auto"/>
            </w:tcBorders>
            <w:noWrap/>
            <w:vAlign w:val="bottom"/>
          </w:tcPr>
          <w:p w:rsidR="00A35C90" w:rsidRPr="007C2D51" w:rsidRDefault="009C5152" w:rsidP="001C01AD">
            <w:pPr>
              <w:jc w:val="center"/>
              <w:cnfStyle w:val="000000100000"/>
            </w:pPr>
            <w:r w:rsidRPr="007C2D51">
              <w:t xml:space="preserve">6 </w:t>
            </w:r>
            <w:r w:rsidR="00A35C90" w:rsidRPr="007C2D51">
              <w:t>vehicles added</w:t>
            </w:r>
          </w:p>
        </w:tc>
        <w:tc>
          <w:tcPr>
            <w:tcW w:w="1296" w:type="dxa"/>
            <w:tcBorders>
              <w:top w:val="none" w:sz="0" w:space="0" w:color="auto"/>
              <w:bottom w:val="none" w:sz="0" w:space="0" w:color="auto"/>
              <w:right w:val="none" w:sz="0" w:space="0" w:color="auto"/>
            </w:tcBorders>
            <w:shd w:val="clear" w:color="auto" w:fill="D9D9D9" w:themeFill="background1" w:themeFillShade="D9"/>
            <w:noWrap/>
            <w:vAlign w:val="bottom"/>
          </w:tcPr>
          <w:p w:rsidR="00A35C90" w:rsidRPr="007C2D51" w:rsidRDefault="00A35C90" w:rsidP="001C01AD">
            <w:pPr>
              <w:jc w:val="center"/>
              <w:cnfStyle w:val="000000100000"/>
            </w:pPr>
          </w:p>
        </w:tc>
      </w:tr>
      <w:tr w:rsidR="00A35C90" w:rsidRPr="007C2D51" w:rsidTr="00F15767">
        <w:trPr>
          <w:trHeight w:val="300"/>
        </w:trPr>
        <w:tc>
          <w:tcPr>
            <w:cnfStyle w:val="001000000000"/>
            <w:tcW w:w="2880" w:type="dxa"/>
            <w:noWrap/>
            <w:vAlign w:val="bottom"/>
          </w:tcPr>
          <w:p w:rsidR="00A35C90" w:rsidRPr="007C2D51" w:rsidRDefault="00A35C90" w:rsidP="00526171">
            <w:pPr>
              <w:pStyle w:val="ListParagraph"/>
              <w:numPr>
                <w:ilvl w:val="0"/>
                <w:numId w:val="12"/>
              </w:numPr>
              <w:ind w:left="450"/>
            </w:pPr>
            <w:r w:rsidRPr="007C2D51">
              <w:t>Car-sharing</w:t>
            </w:r>
          </w:p>
        </w:tc>
        <w:tc>
          <w:tcPr>
            <w:tcW w:w="1296" w:type="dxa"/>
            <w:noWrap/>
            <w:vAlign w:val="bottom"/>
          </w:tcPr>
          <w:p w:rsidR="00A35C90" w:rsidRPr="007C2D51" w:rsidRDefault="00A35C90" w:rsidP="001C01AD">
            <w:pPr>
              <w:jc w:val="center"/>
              <w:cnfStyle w:val="000000000000"/>
            </w:pPr>
            <w:r w:rsidRPr="007C2D51">
              <w:t>1,015 trips</w:t>
            </w:r>
            <w:r w:rsidRPr="007C2D51">
              <w:br/>
              <w:t>250 vehicles added</w:t>
            </w:r>
          </w:p>
        </w:tc>
        <w:tc>
          <w:tcPr>
            <w:tcW w:w="1296" w:type="dxa"/>
            <w:shd w:val="clear" w:color="auto" w:fill="D9D9D9" w:themeFill="background1" w:themeFillShade="D9"/>
            <w:noWrap/>
            <w:vAlign w:val="bottom"/>
          </w:tcPr>
          <w:p w:rsidR="00A35C90" w:rsidRPr="007C2D51" w:rsidRDefault="00A35C90" w:rsidP="001C01AD">
            <w:pPr>
              <w:jc w:val="center"/>
              <w:cnfStyle w:val="000000000000"/>
            </w:pPr>
          </w:p>
        </w:tc>
        <w:tc>
          <w:tcPr>
            <w:tcW w:w="1296" w:type="dxa"/>
            <w:noWrap/>
            <w:vAlign w:val="bottom"/>
          </w:tcPr>
          <w:p w:rsidR="00A35C90" w:rsidRPr="007C2D51" w:rsidRDefault="00A35C90" w:rsidP="001C01AD">
            <w:pPr>
              <w:jc w:val="center"/>
              <w:cnfStyle w:val="000000000000"/>
            </w:pPr>
            <w:r w:rsidRPr="007C2D51">
              <w:t>N/A</w:t>
            </w:r>
          </w:p>
        </w:tc>
        <w:tc>
          <w:tcPr>
            <w:tcW w:w="1296" w:type="dxa"/>
            <w:shd w:val="clear" w:color="auto" w:fill="D9D9D9" w:themeFill="background1" w:themeFillShade="D9"/>
            <w:noWrap/>
            <w:vAlign w:val="bottom"/>
          </w:tcPr>
          <w:p w:rsidR="00A35C90" w:rsidRPr="007C2D51" w:rsidRDefault="00A35C90" w:rsidP="001C01AD">
            <w:pPr>
              <w:jc w:val="center"/>
              <w:cnfStyle w:val="000000000000"/>
            </w:pPr>
          </w:p>
        </w:tc>
        <w:tc>
          <w:tcPr>
            <w:tcW w:w="1296" w:type="dxa"/>
            <w:shd w:val="clear" w:color="auto" w:fill="D9D9D9" w:themeFill="background1" w:themeFillShade="D9"/>
            <w:noWrap/>
            <w:vAlign w:val="bottom"/>
          </w:tcPr>
          <w:p w:rsidR="00A35C90" w:rsidRPr="007C2D51" w:rsidRDefault="00A35C90" w:rsidP="001C01AD">
            <w:pPr>
              <w:jc w:val="center"/>
              <w:cnfStyle w:val="000000000000"/>
            </w:pPr>
          </w:p>
        </w:tc>
      </w:tr>
      <w:tr w:rsidR="00A35C90" w:rsidRPr="007C2D51" w:rsidTr="00F15767">
        <w:trPr>
          <w:cnfStyle w:val="000000100000"/>
          <w:trHeight w:val="300"/>
        </w:trPr>
        <w:tc>
          <w:tcPr>
            <w:cnfStyle w:val="001000000000"/>
            <w:tcW w:w="2880" w:type="dxa"/>
            <w:tcBorders>
              <w:top w:val="none" w:sz="0" w:space="0" w:color="auto"/>
              <w:left w:val="none" w:sz="0" w:space="0" w:color="auto"/>
              <w:bottom w:val="none" w:sz="0" w:space="0" w:color="auto"/>
            </w:tcBorders>
            <w:noWrap/>
            <w:vAlign w:val="bottom"/>
          </w:tcPr>
          <w:p w:rsidR="00A35C90" w:rsidRPr="007C2D51" w:rsidRDefault="00A35C90" w:rsidP="00526171">
            <w:pPr>
              <w:pStyle w:val="ListParagraph"/>
              <w:numPr>
                <w:ilvl w:val="0"/>
                <w:numId w:val="12"/>
              </w:numPr>
              <w:ind w:left="450"/>
            </w:pPr>
            <w:r w:rsidRPr="007C2D51">
              <w:t>ITS investments</w:t>
            </w:r>
          </w:p>
        </w:tc>
        <w:tc>
          <w:tcPr>
            <w:tcW w:w="1296" w:type="dxa"/>
            <w:tcBorders>
              <w:top w:val="none" w:sz="0" w:space="0" w:color="auto"/>
              <w:bottom w:val="none" w:sz="0" w:space="0" w:color="auto"/>
            </w:tcBorders>
            <w:shd w:val="clear" w:color="auto" w:fill="D9D9D9" w:themeFill="background1" w:themeFillShade="D9"/>
            <w:noWrap/>
            <w:vAlign w:val="bottom"/>
          </w:tcPr>
          <w:p w:rsidR="00A35C90" w:rsidRPr="007C2D51" w:rsidRDefault="00A35C90" w:rsidP="001C01AD">
            <w:pPr>
              <w:jc w:val="center"/>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A35C90" w:rsidRPr="007C2D51" w:rsidRDefault="00A35C90" w:rsidP="001C01AD">
            <w:pPr>
              <w:jc w:val="center"/>
              <w:cnfStyle w:val="000000100000"/>
            </w:pPr>
          </w:p>
        </w:tc>
        <w:tc>
          <w:tcPr>
            <w:tcW w:w="1296" w:type="dxa"/>
            <w:tcBorders>
              <w:top w:val="none" w:sz="0" w:space="0" w:color="auto"/>
              <w:bottom w:val="none" w:sz="0" w:space="0" w:color="auto"/>
            </w:tcBorders>
            <w:noWrap/>
            <w:vAlign w:val="bottom"/>
          </w:tcPr>
          <w:p w:rsidR="00A35C90" w:rsidRPr="007C2D51" w:rsidRDefault="00A35C90" w:rsidP="001C01AD">
            <w:pPr>
              <w:jc w:val="center"/>
              <w:cnfStyle w:val="000000100000"/>
            </w:pPr>
            <w:r w:rsidRPr="007C2D51">
              <w:t xml:space="preserve">Various upgrades, including </w:t>
            </w:r>
            <w:r w:rsidR="00F24865" w:rsidRPr="007C2D51">
              <w:t>call center, AVL, scheduling</w:t>
            </w:r>
          </w:p>
        </w:tc>
        <w:tc>
          <w:tcPr>
            <w:tcW w:w="1296" w:type="dxa"/>
            <w:tcBorders>
              <w:top w:val="none" w:sz="0" w:space="0" w:color="auto"/>
              <w:bottom w:val="none" w:sz="0" w:space="0" w:color="auto"/>
            </w:tcBorders>
            <w:noWrap/>
            <w:vAlign w:val="bottom"/>
          </w:tcPr>
          <w:p w:rsidR="00A35C90" w:rsidRPr="007C2D51" w:rsidRDefault="00F24865" w:rsidP="001C01AD">
            <w:pPr>
              <w:jc w:val="center"/>
              <w:cnfStyle w:val="000000100000"/>
            </w:pPr>
            <w:r w:rsidRPr="007C2D51">
              <w:t>Various, including VOIP, GIS scheduling software, automated annunciators</w:t>
            </w:r>
          </w:p>
        </w:tc>
        <w:tc>
          <w:tcPr>
            <w:tcW w:w="1296" w:type="dxa"/>
            <w:tcBorders>
              <w:top w:val="none" w:sz="0" w:space="0" w:color="auto"/>
              <w:bottom w:val="none" w:sz="0" w:space="0" w:color="auto"/>
              <w:right w:val="none" w:sz="0" w:space="0" w:color="auto"/>
            </w:tcBorders>
            <w:noWrap/>
            <w:vAlign w:val="bottom"/>
          </w:tcPr>
          <w:p w:rsidR="00A35C90" w:rsidRPr="007C2D51" w:rsidRDefault="00F24865" w:rsidP="001C01AD">
            <w:pPr>
              <w:jc w:val="center"/>
              <w:cnfStyle w:val="000000100000"/>
            </w:pPr>
            <w:r w:rsidRPr="007C2D51">
              <w:t>N/A</w:t>
            </w:r>
          </w:p>
        </w:tc>
      </w:tr>
      <w:tr w:rsidR="00A35C90" w:rsidRPr="007C2D51" w:rsidTr="00F15767">
        <w:trPr>
          <w:trHeight w:val="1465"/>
        </w:trPr>
        <w:tc>
          <w:tcPr>
            <w:cnfStyle w:val="001000000000"/>
            <w:tcW w:w="2880" w:type="dxa"/>
            <w:noWrap/>
            <w:vAlign w:val="bottom"/>
          </w:tcPr>
          <w:p w:rsidR="00A35C90" w:rsidRPr="007C2D51" w:rsidRDefault="00A35C90" w:rsidP="00526171">
            <w:pPr>
              <w:pStyle w:val="ListParagraph"/>
              <w:numPr>
                <w:ilvl w:val="0"/>
                <w:numId w:val="12"/>
              </w:numPr>
              <w:ind w:left="450"/>
            </w:pPr>
            <w:r w:rsidRPr="007C2D51">
              <w:t>Other capital projects</w:t>
            </w:r>
          </w:p>
        </w:tc>
        <w:tc>
          <w:tcPr>
            <w:tcW w:w="1296" w:type="dxa"/>
            <w:noWrap/>
            <w:vAlign w:val="bottom"/>
          </w:tcPr>
          <w:p w:rsidR="00A35C90" w:rsidRPr="007C2D51" w:rsidRDefault="00A35C90" w:rsidP="001C01AD">
            <w:pPr>
              <w:jc w:val="center"/>
              <w:cnfStyle w:val="000000000000"/>
            </w:pPr>
            <w:r w:rsidRPr="007C2D51">
              <w:t>N/A</w:t>
            </w:r>
          </w:p>
        </w:tc>
        <w:tc>
          <w:tcPr>
            <w:tcW w:w="1296" w:type="dxa"/>
            <w:noWrap/>
            <w:vAlign w:val="bottom"/>
          </w:tcPr>
          <w:p w:rsidR="00A35C90" w:rsidRPr="007C2D51" w:rsidRDefault="00A35C90" w:rsidP="001C01AD">
            <w:pPr>
              <w:jc w:val="center"/>
              <w:cnfStyle w:val="000000000000"/>
            </w:pPr>
            <w:r w:rsidRPr="007C2D51">
              <w:t>N/A</w:t>
            </w:r>
          </w:p>
        </w:tc>
        <w:tc>
          <w:tcPr>
            <w:tcW w:w="1296" w:type="dxa"/>
            <w:noWrap/>
            <w:vAlign w:val="bottom"/>
          </w:tcPr>
          <w:p w:rsidR="00A35C90" w:rsidRPr="007C2D51" w:rsidRDefault="00F24865" w:rsidP="001C01AD">
            <w:pPr>
              <w:jc w:val="center"/>
              <w:cnfStyle w:val="000000000000"/>
            </w:pPr>
            <w:r w:rsidRPr="007C2D51">
              <w:t>N/A</w:t>
            </w:r>
          </w:p>
        </w:tc>
        <w:tc>
          <w:tcPr>
            <w:tcW w:w="1296" w:type="dxa"/>
            <w:noWrap/>
            <w:vAlign w:val="bottom"/>
          </w:tcPr>
          <w:p w:rsidR="00A35C90" w:rsidRPr="007C2D51" w:rsidRDefault="00A35C90" w:rsidP="001C01AD">
            <w:pPr>
              <w:jc w:val="center"/>
              <w:cnfStyle w:val="000000000000"/>
            </w:pPr>
            <w:r w:rsidRPr="007C2D51">
              <w:t xml:space="preserve">Various, including bicycle sharing, </w:t>
            </w:r>
            <w:r w:rsidR="00F24865" w:rsidRPr="007C2D51">
              <w:t>route sign</w:t>
            </w:r>
            <w:r w:rsidRPr="007C2D51">
              <w:t>s</w:t>
            </w:r>
          </w:p>
        </w:tc>
        <w:tc>
          <w:tcPr>
            <w:tcW w:w="1296" w:type="dxa"/>
            <w:noWrap/>
            <w:vAlign w:val="bottom"/>
          </w:tcPr>
          <w:p w:rsidR="00A35C90" w:rsidRPr="007C2D51" w:rsidRDefault="00A35C90" w:rsidP="001C01AD">
            <w:pPr>
              <w:jc w:val="center"/>
              <w:cnfStyle w:val="000000000000"/>
            </w:pPr>
            <w:r w:rsidRPr="007C2D51">
              <w:t>N/A</w:t>
            </w:r>
          </w:p>
        </w:tc>
      </w:tr>
      <w:tr w:rsidR="00A35C90" w:rsidRPr="007C2D51" w:rsidTr="00F15767">
        <w:trPr>
          <w:cnfStyle w:val="000000100000"/>
          <w:trHeight w:val="300"/>
        </w:trPr>
        <w:tc>
          <w:tcPr>
            <w:cnfStyle w:val="001000000000"/>
            <w:tcW w:w="2880" w:type="dxa"/>
            <w:tcBorders>
              <w:top w:val="none" w:sz="0" w:space="0" w:color="auto"/>
              <w:left w:val="none" w:sz="0" w:space="0" w:color="auto"/>
              <w:bottom w:val="none" w:sz="0" w:space="0" w:color="auto"/>
            </w:tcBorders>
            <w:shd w:val="clear" w:color="auto" w:fill="475A8D" w:themeFill="accent6"/>
            <w:noWrap/>
            <w:vAlign w:val="bottom"/>
          </w:tcPr>
          <w:p w:rsidR="00A35C90" w:rsidRPr="007C2D51" w:rsidRDefault="00B20AAD" w:rsidP="00A35C90">
            <w:pPr>
              <w:rPr>
                <w:color w:val="FFFFFF" w:themeColor="background1"/>
              </w:rPr>
            </w:pPr>
            <w:r w:rsidRPr="007C2D51">
              <w:rPr>
                <w:color w:val="FFFFFF" w:themeColor="background1"/>
              </w:rPr>
              <w:t>IV. Planning Studies</w:t>
            </w:r>
          </w:p>
        </w:tc>
        <w:tc>
          <w:tcPr>
            <w:tcW w:w="1296" w:type="dxa"/>
            <w:tcBorders>
              <w:top w:val="none" w:sz="0" w:space="0" w:color="auto"/>
              <w:bottom w:val="none" w:sz="0" w:space="0" w:color="auto"/>
            </w:tcBorders>
            <w:shd w:val="clear" w:color="auto" w:fill="475A8D" w:themeFill="accent6"/>
            <w:noWrap/>
            <w:vAlign w:val="bottom"/>
          </w:tcPr>
          <w:p w:rsidR="00A35C90" w:rsidRPr="007C2D51" w:rsidRDefault="00A35C90" w:rsidP="001C01AD">
            <w:pPr>
              <w:jc w:val="center"/>
              <w:cnfStyle w:val="000000100000"/>
              <w:rPr>
                <w:color w:val="FFFFFF" w:themeColor="background1"/>
              </w:rPr>
            </w:pPr>
          </w:p>
        </w:tc>
        <w:tc>
          <w:tcPr>
            <w:tcW w:w="1296" w:type="dxa"/>
            <w:tcBorders>
              <w:top w:val="none" w:sz="0" w:space="0" w:color="auto"/>
              <w:bottom w:val="none" w:sz="0" w:space="0" w:color="auto"/>
            </w:tcBorders>
            <w:shd w:val="clear" w:color="auto" w:fill="475A8D" w:themeFill="accent6"/>
            <w:noWrap/>
            <w:vAlign w:val="bottom"/>
          </w:tcPr>
          <w:p w:rsidR="00A35C90" w:rsidRPr="007C2D51" w:rsidRDefault="00A35C90" w:rsidP="001C01AD">
            <w:pPr>
              <w:jc w:val="center"/>
              <w:cnfStyle w:val="000000100000"/>
              <w:rPr>
                <w:color w:val="FFFFFF" w:themeColor="background1"/>
              </w:rPr>
            </w:pPr>
          </w:p>
        </w:tc>
        <w:tc>
          <w:tcPr>
            <w:tcW w:w="1296" w:type="dxa"/>
            <w:tcBorders>
              <w:top w:val="none" w:sz="0" w:space="0" w:color="auto"/>
              <w:bottom w:val="none" w:sz="0" w:space="0" w:color="auto"/>
            </w:tcBorders>
            <w:shd w:val="clear" w:color="auto" w:fill="475A8D" w:themeFill="accent6"/>
            <w:noWrap/>
            <w:vAlign w:val="bottom"/>
          </w:tcPr>
          <w:p w:rsidR="00A35C90" w:rsidRPr="007C2D51" w:rsidRDefault="00A35C90" w:rsidP="001C01AD">
            <w:pPr>
              <w:jc w:val="center"/>
              <w:cnfStyle w:val="000000100000"/>
              <w:rPr>
                <w:color w:val="FFFFFF" w:themeColor="background1"/>
              </w:rPr>
            </w:pPr>
          </w:p>
        </w:tc>
        <w:tc>
          <w:tcPr>
            <w:tcW w:w="1296" w:type="dxa"/>
            <w:tcBorders>
              <w:top w:val="none" w:sz="0" w:space="0" w:color="auto"/>
              <w:bottom w:val="none" w:sz="0" w:space="0" w:color="auto"/>
            </w:tcBorders>
            <w:shd w:val="clear" w:color="auto" w:fill="475A8D" w:themeFill="accent6"/>
            <w:noWrap/>
            <w:vAlign w:val="bottom"/>
          </w:tcPr>
          <w:p w:rsidR="00A35C90" w:rsidRPr="007C2D51" w:rsidRDefault="00A35C90" w:rsidP="001C01AD">
            <w:pPr>
              <w:jc w:val="center"/>
              <w:cnfStyle w:val="000000100000"/>
              <w:rPr>
                <w:color w:val="FFFFFF" w:themeColor="background1"/>
              </w:rPr>
            </w:pPr>
          </w:p>
        </w:tc>
        <w:tc>
          <w:tcPr>
            <w:tcW w:w="1296" w:type="dxa"/>
            <w:tcBorders>
              <w:top w:val="none" w:sz="0" w:space="0" w:color="auto"/>
              <w:bottom w:val="none" w:sz="0" w:space="0" w:color="auto"/>
              <w:right w:val="none" w:sz="0" w:space="0" w:color="auto"/>
            </w:tcBorders>
            <w:shd w:val="clear" w:color="auto" w:fill="475A8D" w:themeFill="accent6"/>
            <w:noWrap/>
            <w:vAlign w:val="bottom"/>
          </w:tcPr>
          <w:p w:rsidR="00A35C90" w:rsidRPr="007C2D51" w:rsidRDefault="00A35C90" w:rsidP="001C01AD">
            <w:pPr>
              <w:jc w:val="center"/>
              <w:cnfStyle w:val="000000100000"/>
              <w:rPr>
                <w:color w:val="FFFFFF" w:themeColor="background1"/>
              </w:rPr>
            </w:pPr>
          </w:p>
        </w:tc>
      </w:tr>
      <w:tr w:rsidR="00B20AAD" w:rsidRPr="007C2D51" w:rsidTr="00F15767">
        <w:trPr>
          <w:trHeight w:val="300"/>
        </w:trPr>
        <w:tc>
          <w:tcPr>
            <w:cnfStyle w:val="001000000000"/>
            <w:tcW w:w="2880" w:type="dxa"/>
            <w:shd w:val="clear" w:color="auto" w:fill="auto"/>
            <w:noWrap/>
            <w:vAlign w:val="bottom"/>
          </w:tcPr>
          <w:p w:rsidR="00B20AAD" w:rsidRPr="007C2D51" w:rsidRDefault="00B20AAD" w:rsidP="00526171">
            <w:pPr>
              <w:pStyle w:val="ListParagraph"/>
              <w:numPr>
                <w:ilvl w:val="0"/>
                <w:numId w:val="30"/>
              </w:numPr>
            </w:pPr>
            <w:r w:rsidRPr="007C2D51">
              <w:t>Feasibility studies</w:t>
            </w:r>
          </w:p>
        </w:tc>
        <w:tc>
          <w:tcPr>
            <w:tcW w:w="1296" w:type="dxa"/>
            <w:shd w:val="clear" w:color="auto" w:fill="auto"/>
            <w:noWrap/>
            <w:vAlign w:val="bottom"/>
          </w:tcPr>
          <w:p w:rsidR="00B20AAD" w:rsidRPr="007C2D51" w:rsidRDefault="001C01AD" w:rsidP="001C01AD">
            <w:pPr>
              <w:jc w:val="center"/>
              <w:cnfStyle w:val="000000000000"/>
            </w:pPr>
            <w:r w:rsidRPr="007C2D51">
              <w:t>Coordinated planning</w:t>
            </w:r>
          </w:p>
        </w:tc>
        <w:tc>
          <w:tcPr>
            <w:tcW w:w="1296" w:type="dxa"/>
            <w:shd w:val="clear" w:color="auto" w:fill="auto"/>
            <w:noWrap/>
            <w:vAlign w:val="bottom"/>
          </w:tcPr>
          <w:p w:rsidR="00B20AAD" w:rsidRPr="007C2D51" w:rsidRDefault="001C01AD" w:rsidP="001C01AD">
            <w:pPr>
              <w:jc w:val="center"/>
              <w:cnfStyle w:val="000000000000"/>
            </w:pPr>
            <w:r w:rsidRPr="007C2D51">
              <w:t>Feasibility study</w:t>
            </w:r>
          </w:p>
        </w:tc>
        <w:tc>
          <w:tcPr>
            <w:tcW w:w="1296" w:type="dxa"/>
            <w:shd w:val="clear" w:color="auto" w:fill="auto"/>
            <w:noWrap/>
            <w:vAlign w:val="bottom"/>
          </w:tcPr>
          <w:p w:rsidR="00B20AAD" w:rsidRPr="007C2D51" w:rsidRDefault="001C01AD" w:rsidP="001C01AD">
            <w:pPr>
              <w:jc w:val="center"/>
              <w:cnfStyle w:val="000000000000"/>
            </w:pPr>
            <w:r w:rsidRPr="007C2D51">
              <w:t>N/A</w:t>
            </w:r>
          </w:p>
        </w:tc>
        <w:tc>
          <w:tcPr>
            <w:tcW w:w="1296" w:type="dxa"/>
            <w:shd w:val="clear" w:color="auto" w:fill="auto"/>
            <w:noWrap/>
            <w:vAlign w:val="bottom"/>
          </w:tcPr>
          <w:p w:rsidR="00B20AAD" w:rsidRPr="007C2D51" w:rsidRDefault="001C01AD" w:rsidP="001C01AD">
            <w:pPr>
              <w:jc w:val="center"/>
              <w:cnfStyle w:val="000000000000"/>
            </w:pPr>
            <w:r w:rsidRPr="007C2D51">
              <w:t>Mobility planning</w:t>
            </w:r>
          </w:p>
        </w:tc>
        <w:tc>
          <w:tcPr>
            <w:tcW w:w="1296" w:type="dxa"/>
            <w:shd w:val="clear" w:color="auto" w:fill="auto"/>
            <w:noWrap/>
            <w:vAlign w:val="bottom"/>
          </w:tcPr>
          <w:p w:rsidR="00B20AAD" w:rsidRPr="007C2D51" w:rsidRDefault="001C01AD" w:rsidP="001C01AD">
            <w:pPr>
              <w:jc w:val="center"/>
              <w:cnfStyle w:val="000000000000"/>
            </w:pPr>
            <w:r w:rsidRPr="007C2D51">
              <w:t>Needs assessment</w:t>
            </w:r>
          </w:p>
        </w:tc>
      </w:tr>
      <w:tr w:rsidR="00B20AAD" w:rsidRPr="007C2D51" w:rsidTr="00F15767">
        <w:trPr>
          <w:cnfStyle w:val="000000100000"/>
          <w:trHeight w:val="300"/>
        </w:trPr>
        <w:tc>
          <w:tcPr>
            <w:cnfStyle w:val="001000000000"/>
            <w:tcW w:w="2880" w:type="dxa"/>
            <w:tcBorders>
              <w:top w:val="none" w:sz="0" w:space="0" w:color="auto"/>
              <w:left w:val="none" w:sz="0" w:space="0" w:color="auto"/>
              <w:bottom w:val="none" w:sz="0" w:space="0" w:color="auto"/>
            </w:tcBorders>
            <w:shd w:val="clear" w:color="auto" w:fill="475A8D" w:themeFill="accent6"/>
            <w:noWrap/>
            <w:vAlign w:val="bottom"/>
          </w:tcPr>
          <w:p w:rsidR="00B20AAD" w:rsidRPr="007C2D51" w:rsidRDefault="00B20AAD" w:rsidP="00B20AAD"/>
        </w:tc>
        <w:tc>
          <w:tcPr>
            <w:tcW w:w="1296" w:type="dxa"/>
            <w:tcBorders>
              <w:top w:val="none" w:sz="0" w:space="0" w:color="auto"/>
              <w:bottom w:val="none" w:sz="0" w:space="0" w:color="auto"/>
            </w:tcBorders>
            <w:shd w:val="clear" w:color="auto" w:fill="475A8D" w:themeFill="accent6"/>
            <w:noWrap/>
            <w:vAlign w:val="bottom"/>
          </w:tcPr>
          <w:p w:rsidR="00B20AAD" w:rsidRPr="007C2D51" w:rsidRDefault="00B20AAD" w:rsidP="00A35C90">
            <w:pPr>
              <w:jc w:val="right"/>
              <w:cnfStyle w:val="000000100000"/>
            </w:pPr>
          </w:p>
        </w:tc>
        <w:tc>
          <w:tcPr>
            <w:tcW w:w="1296" w:type="dxa"/>
            <w:tcBorders>
              <w:top w:val="none" w:sz="0" w:space="0" w:color="auto"/>
              <w:bottom w:val="none" w:sz="0" w:space="0" w:color="auto"/>
            </w:tcBorders>
            <w:shd w:val="clear" w:color="auto" w:fill="475A8D" w:themeFill="accent6"/>
            <w:noWrap/>
            <w:vAlign w:val="bottom"/>
          </w:tcPr>
          <w:p w:rsidR="00B20AAD" w:rsidRPr="007C2D51" w:rsidRDefault="00B20AAD" w:rsidP="00A35C90">
            <w:pPr>
              <w:jc w:val="right"/>
              <w:cnfStyle w:val="000000100000"/>
            </w:pPr>
          </w:p>
        </w:tc>
        <w:tc>
          <w:tcPr>
            <w:tcW w:w="1296" w:type="dxa"/>
            <w:tcBorders>
              <w:top w:val="none" w:sz="0" w:space="0" w:color="auto"/>
              <w:bottom w:val="none" w:sz="0" w:space="0" w:color="auto"/>
            </w:tcBorders>
            <w:shd w:val="clear" w:color="auto" w:fill="475A8D" w:themeFill="accent6"/>
            <w:noWrap/>
            <w:vAlign w:val="bottom"/>
          </w:tcPr>
          <w:p w:rsidR="00B20AAD" w:rsidRPr="007C2D51" w:rsidRDefault="00B20AAD" w:rsidP="00A35C90">
            <w:pPr>
              <w:jc w:val="right"/>
              <w:cnfStyle w:val="000000100000"/>
            </w:pPr>
          </w:p>
        </w:tc>
        <w:tc>
          <w:tcPr>
            <w:tcW w:w="1296" w:type="dxa"/>
            <w:tcBorders>
              <w:top w:val="none" w:sz="0" w:space="0" w:color="auto"/>
              <w:bottom w:val="none" w:sz="0" w:space="0" w:color="auto"/>
            </w:tcBorders>
            <w:shd w:val="clear" w:color="auto" w:fill="475A8D" w:themeFill="accent6"/>
            <w:noWrap/>
            <w:vAlign w:val="bottom"/>
          </w:tcPr>
          <w:p w:rsidR="00B20AAD" w:rsidRPr="007C2D51" w:rsidRDefault="00B20AAD" w:rsidP="00A35C90">
            <w:pPr>
              <w:jc w:val="right"/>
              <w:cnfStyle w:val="000000100000"/>
            </w:pPr>
          </w:p>
        </w:tc>
        <w:tc>
          <w:tcPr>
            <w:tcW w:w="1296" w:type="dxa"/>
            <w:tcBorders>
              <w:top w:val="none" w:sz="0" w:space="0" w:color="auto"/>
              <w:bottom w:val="none" w:sz="0" w:space="0" w:color="auto"/>
              <w:right w:val="none" w:sz="0" w:space="0" w:color="auto"/>
            </w:tcBorders>
            <w:shd w:val="clear" w:color="auto" w:fill="475A8D" w:themeFill="accent6"/>
            <w:noWrap/>
            <w:vAlign w:val="bottom"/>
          </w:tcPr>
          <w:p w:rsidR="00B20AAD" w:rsidRPr="007C2D51" w:rsidRDefault="00B20AAD" w:rsidP="00A35C90">
            <w:pPr>
              <w:jc w:val="right"/>
              <w:cnfStyle w:val="000000100000"/>
            </w:pPr>
          </w:p>
        </w:tc>
      </w:tr>
    </w:tbl>
    <w:p w:rsidR="005045AB" w:rsidRPr="007C2D51" w:rsidRDefault="005045AB"/>
    <w:p w:rsidR="00A63037" w:rsidRPr="007C2D51" w:rsidRDefault="00A63037" w:rsidP="00ED0471">
      <w:bookmarkStart w:id="147" w:name="_Toc242869884"/>
      <w:bookmarkStart w:id="148" w:name="_Toc244660216"/>
      <w:bookmarkStart w:id="149" w:name="OLE_LINK9"/>
      <w:bookmarkStart w:id="150" w:name="OLE_LINK10"/>
      <w:r w:rsidRPr="007C2D51">
        <w:t xml:space="preserve">Trips </w:t>
      </w:r>
      <w:r w:rsidR="00D03A9F" w:rsidRPr="007C2D51">
        <w:t>are</w:t>
      </w:r>
      <w:r w:rsidRPr="007C2D51">
        <w:t xml:space="preserve"> one-way trips.</w:t>
      </w:r>
    </w:p>
    <w:p w:rsidR="00ED0471" w:rsidRPr="007C2D51" w:rsidRDefault="00ED0471" w:rsidP="00ED0471">
      <w:r w:rsidRPr="007C2D51">
        <w:t>Note that grayed-out cells were not available for data entry.</w:t>
      </w:r>
    </w:p>
    <w:p w:rsidR="004B55ED" w:rsidRPr="007C2D51" w:rsidRDefault="004B55ED" w:rsidP="00D03A9F">
      <w:r w:rsidRPr="007C2D51">
        <w:br w:type="page"/>
      </w:r>
    </w:p>
    <w:p w:rsidR="005045AB" w:rsidRPr="007C2D51" w:rsidRDefault="005045AB" w:rsidP="005606E4">
      <w:pPr>
        <w:pStyle w:val="Heading1"/>
      </w:pPr>
      <w:bookmarkStart w:id="151" w:name="_Toc304965702"/>
      <w:r w:rsidRPr="007C2D51">
        <w:lastRenderedPageBreak/>
        <w:t>Conclusions</w:t>
      </w:r>
      <w:bookmarkEnd w:id="147"/>
      <w:bookmarkEnd w:id="148"/>
      <w:bookmarkEnd w:id="151"/>
    </w:p>
    <w:bookmarkEnd w:id="149"/>
    <w:bookmarkEnd w:id="150"/>
    <w:p w:rsidR="005045AB" w:rsidRPr="007C2D51" w:rsidRDefault="005045AB" w:rsidP="00CE7C6F">
      <w:pPr>
        <w:pStyle w:val="BodyText"/>
      </w:pPr>
      <w:r w:rsidRPr="007C2D51">
        <w:t xml:space="preserve">This report includes the results of the data analysis for </w:t>
      </w:r>
      <w:r w:rsidR="00850F54" w:rsidRPr="007C2D51">
        <w:t xml:space="preserve">the FTA </w:t>
      </w:r>
      <w:r w:rsidRPr="007C2D51">
        <w:t xml:space="preserve">JARC program for the FY </w:t>
      </w:r>
      <w:r w:rsidR="00D56012" w:rsidRPr="007C2D51">
        <w:t>2010</w:t>
      </w:r>
      <w:r w:rsidR="00850F54" w:rsidRPr="007C2D51">
        <w:t xml:space="preserve"> reporting period, which corresponds to the federal fisc</w:t>
      </w:r>
      <w:r w:rsidRPr="007C2D51">
        <w:t>al year beginning on October 1</w:t>
      </w:r>
      <w:r w:rsidR="00850F54" w:rsidRPr="007C2D51">
        <w:t>, 200</w:t>
      </w:r>
      <w:r w:rsidR="00D56012" w:rsidRPr="007C2D51">
        <w:t>9</w:t>
      </w:r>
      <w:r w:rsidR="00850F54" w:rsidRPr="007C2D51">
        <w:t>,</w:t>
      </w:r>
      <w:r w:rsidRPr="007C2D51">
        <w:t xml:space="preserve"> and ending on September 30</w:t>
      </w:r>
      <w:r w:rsidR="00850F54" w:rsidRPr="007C2D51">
        <w:t>, 20</w:t>
      </w:r>
      <w:r w:rsidR="00D56012" w:rsidRPr="007C2D51">
        <w:t>10</w:t>
      </w:r>
      <w:r w:rsidR="00CE332B" w:rsidRPr="007C2D51">
        <w:t xml:space="preserve">.  </w:t>
      </w:r>
      <w:r w:rsidRPr="007C2D51">
        <w:t xml:space="preserve">The program goals correspond to </w:t>
      </w:r>
      <w:r w:rsidR="00850F54" w:rsidRPr="007C2D51">
        <w:t>f</w:t>
      </w:r>
      <w:r w:rsidRPr="007C2D51">
        <w:t>ederal performance measurements required by regulations</w:t>
      </w:r>
      <w:r w:rsidR="00CE332B" w:rsidRPr="007C2D51">
        <w:t xml:space="preserve">.  </w:t>
      </w:r>
    </w:p>
    <w:p w:rsidR="005045AB" w:rsidRPr="007C2D51" w:rsidRDefault="005045AB" w:rsidP="00BE3A28">
      <w:pPr>
        <w:pStyle w:val="Heading2"/>
      </w:pPr>
      <w:bookmarkStart w:id="152" w:name="_Toc244660217"/>
      <w:bookmarkStart w:id="153" w:name="_Toc304965703"/>
      <w:r w:rsidRPr="007C2D51">
        <w:t>JARC Highlights</w:t>
      </w:r>
      <w:bookmarkEnd w:id="152"/>
      <w:bookmarkEnd w:id="153"/>
    </w:p>
    <w:p w:rsidR="005045AB" w:rsidRPr="007C2D51" w:rsidRDefault="005045AB" w:rsidP="00CE7C6F">
      <w:pPr>
        <w:pStyle w:val="BodyText"/>
      </w:pPr>
      <w:r w:rsidRPr="007C2D51">
        <w:t xml:space="preserve">Grantees reported a total of </w:t>
      </w:r>
      <w:r w:rsidR="00AC637B" w:rsidRPr="007C2D51">
        <w:t>1,027</w:t>
      </w:r>
      <w:r w:rsidRPr="007C2D51">
        <w:t xml:space="preserve"> active JARC-funded services for FY</w:t>
      </w:r>
      <w:r w:rsidR="00F913AC" w:rsidRPr="007C2D51">
        <w:t xml:space="preserve"> 20</w:t>
      </w:r>
      <w:r w:rsidR="00AC637B" w:rsidRPr="007C2D51">
        <w:t>10</w:t>
      </w:r>
      <w:r w:rsidR="00CE332B" w:rsidRPr="007C2D51">
        <w:t xml:space="preserve">.  </w:t>
      </w:r>
    </w:p>
    <w:p w:rsidR="00AC637B" w:rsidRPr="007C2D51" w:rsidRDefault="00AC637B" w:rsidP="00AC637B">
      <w:pPr>
        <w:pStyle w:val="ListBullet"/>
      </w:pPr>
      <w:bookmarkStart w:id="154" w:name="_Toc244660219"/>
      <w:r w:rsidRPr="007C2D51">
        <w:t>JARC-supported services provided 55.3 million one-way trips.</w:t>
      </w:r>
    </w:p>
    <w:p w:rsidR="00AC637B" w:rsidRPr="007C2D51" w:rsidRDefault="00AC637B" w:rsidP="00AC637B">
      <w:pPr>
        <w:pStyle w:val="ListBullet"/>
      </w:pPr>
      <w:r w:rsidRPr="007C2D51">
        <w:t xml:space="preserve">JARC-supported services made 53.6 million jobs accessible, which included 26.5 million low-wage jobs.  In addition, 15.9 million jobs were likely reached during the service year.  </w:t>
      </w:r>
    </w:p>
    <w:p w:rsidR="00AC637B" w:rsidRPr="007C2D51" w:rsidRDefault="00022E2F" w:rsidP="00AC637B">
      <w:pPr>
        <w:pStyle w:val="ListBullet"/>
      </w:pPr>
      <w:r>
        <w:pict>
          <v:shape id="_x0000_s1045" type="#_x0000_t65" style="position:absolute;left:0;text-align:left;margin-left:2766.4pt;margin-top:0;width:197.2pt;height:140.25pt;z-index:251743232;mso-position-horizontal:right;mso-position-horizontal-relative:margin;mso-position-vertical:center;mso-position-vertical-relative:margin" fillcolor="white [3201]" strokecolor="#fed36b [1941]" strokeweight="1pt">
            <v:fill color2="#fee29c [1301]" focusposition="1" focussize="" focus="100%" type="gradient"/>
            <v:shadow on="t" type="perspective" color="#825c00 [1605]" opacity=".5" offset="1pt" offset2="-3pt"/>
            <v:textbox>
              <w:txbxContent>
                <w:p w:rsidR="00F15767" w:rsidRPr="00077DCE" w:rsidRDefault="00F15767">
                  <w:pPr>
                    <w:rPr>
                      <w:i/>
                    </w:rPr>
                  </w:pPr>
                  <w:r w:rsidRPr="00077DCE">
                    <w:rPr>
                      <w:i/>
                    </w:rPr>
                    <w:t>A recent survey of riders indicated that approximately 70% would be unemployed were it not for the transportation service provided to their work place. These individuals simply have no other transportation options available to them.</w:t>
                  </w:r>
                </w:p>
                <w:p w:rsidR="00F15767" w:rsidRDefault="00F15767">
                  <w:r>
                    <w:t>DuPage County</w:t>
                  </w:r>
                  <w:r>
                    <w:br/>
                    <w:t xml:space="preserve">Regional Transportation Authority (IL) </w:t>
                  </w:r>
                </w:p>
              </w:txbxContent>
            </v:textbox>
            <w10:wrap type="square" anchorx="margin" anchory="margin"/>
          </v:shape>
        </w:pict>
      </w:r>
      <w:r w:rsidR="00AC637B" w:rsidRPr="007C2D51">
        <w:t xml:space="preserve">Out of the active JARC-funded services, most were trip-based (79%).  The remaining projects comprised information-based programs (12%), capital investments (8%), and planning studies (1%).  </w:t>
      </w:r>
    </w:p>
    <w:p w:rsidR="00AC637B" w:rsidRPr="007C2D51" w:rsidRDefault="00AC637B" w:rsidP="00AC637B">
      <w:pPr>
        <w:pStyle w:val="ListBullet"/>
      </w:pPr>
      <w:r w:rsidRPr="007C2D51">
        <w:t>Fixed routes accounted for 39% of the JARC services but 86% of all one-way trips.</w:t>
      </w:r>
    </w:p>
    <w:p w:rsidR="00AC637B" w:rsidRPr="007C2D51" w:rsidRDefault="00AC637B" w:rsidP="00AC637B">
      <w:pPr>
        <w:pStyle w:val="ListBullet"/>
      </w:pPr>
      <w:r w:rsidRPr="007C2D51">
        <w:t>Demand response was the second most commonly reported service (23%) but generated only 6% of the trips.</w:t>
      </w:r>
    </w:p>
    <w:p w:rsidR="00AC637B" w:rsidRPr="007C2D51" w:rsidRDefault="00AC637B" w:rsidP="00AC637B">
      <w:pPr>
        <w:pStyle w:val="ListBullet"/>
      </w:pPr>
      <w:r w:rsidRPr="007C2D51">
        <w:t>Just under half of JARC-supported services operated in large urbanized areas (47%) and 30% could be found in non-urbanized or rural communities.  The balance shifts for one-way trips, however. About 82% of trips generated by JARC-supported services were in large urbanized areas and 7% in rural settings.</w:t>
      </w:r>
    </w:p>
    <w:p w:rsidR="00AC637B" w:rsidRPr="007C2D51" w:rsidRDefault="00AC637B" w:rsidP="00AC637B">
      <w:pPr>
        <w:pStyle w:val="ListBullet"/>
      </w:pPr>
      <w:r w:rsidRPr="007C2D51">
        <w:t xml:space="preserve">Mobility managers generated more than 375,000 one-way trips and initiated 347,000 customer contacts.  </w:t>
      </w:r>
    </w:p>
    <w:p w:rsidR="00AC637B" w:rsidRPr="007C2D51" w:rsidRDefault="00AC637B" w:rsidP="00AC637B">
      <w:pPr>
        <w:pStyle w:val="ListBullet"/>
      </w:pPr>
      <w:r w:rsidRPr="007C2D51">
        <w:t xml:space="preserve">Agencies added almost 50 vehicles, which generated more than 112,000 one-way trips.  About 70% of the trips were associated with programs designed to </w:t>
      </w:r>
      <w:r w:rsidRPr="007C2D51">
        <w:rPr>
          <w:i/>
        </w:rPr>
        <w:t>improve access / connections</w:t>
      </w:r>
      <w:r w:rsidRPr="007C2D51">
        <w:t>.</w:t>
      </w:r>
    </w:p>
    <w:p w:rsidR="00AC637B" w:rsidRPr="007C2D51" w:rsidRDefault="00AC637B" w:rsidP="00AC637B">
      <w:pPr>
        <w:pStyle w:val="ListBullet"/>
      </w:pPr>
      <w:r w:rsidRPr="007C2D51">
        <w:t>Grant recipients provided almost 1,700 car loans to individuals, which generated more than 265,000 one-way trips.</w:t>
      </w:r>
    </w:p>
    <w:p w:rsidR="00AC637B" w:rsidRPr="007C2D51" w:rsidRDefault="00AC637B" w:rsidP="00AC637B">
      <w:pPr>
        <w:pStyle w:val="ListBullet"/>
      </w:pPr>
      <w:r w:rsidRPr="007C2D51">
        <w:t xml:space="preserve">The most commonly selected goals were </w:t>
      </w:r>
      <w:r w:rsidRPr="007C2D51">
        <w:rPr>
          <w:i/>
        </w:rPr>
        <w:t>expanded geographic coverage</w:t>
      </w:r>
      <w:r w:rsidRPr="007C2D51">
        <w:t xml:space="preserve"> (30%), </w:t>
      </w:r>
      <w:r w:rsidRPr="007C2D51">
        <w:rPr>
          <w:i/>
        </w:rPr>
        <w:t>improved access/connections</w:t>
      </w:r>
      <w:r w:rsidRPr="007C2D51">
        <w:t xml:space="preserve"> (30%), and </w:t>
      </w:r>
      <w:r w:rsidRPr="007C2D51">
        <w:rPr>
          <w:i/>
        </w:rPr>
        <w:t xml:space="preserve">extended service hours or days </w:t>
      </w:r>
      <w:r w:rsidRPr="007C2D51">
        <w:t xml:space="preserve">(21%).  </w:t>
      </w:r>
    </w:p>
    <w:p w:rsidR="00E12384" w:rsidRPr="007C2D51" w:rsidRDefault="00E12384" w:rsidP="00CE7C6F">
      <w:pPr>
        <w:pStyle w:val="BodyText"/>
      </w:pPr>
      <w:r w:rsidRPr="007C2D51">
        <w:t>While the numbers associated with non-trip-based services like mobility managers and vehicle-loan programs are small in relation to one-way trips and jobs accessed, they represent very real mobility benefits at a local level</w:t>
      </w:r>
      <w:r w:rsidR="00CE332B" w:rsidRPr="007C2D51">
        <w:t xml:space="preserve">.  </w:t>
      </w:r>
      <w:r w:rsidRPr="007C2D51">
        <w:t>By using the matrix approach described in this report, FTA can capture this information and ensure that the benefits of these non-traditional programs are not overshadowed by the measures of one-way trips and jobs accessed</w:t>
      </w:r>
      <w:r w:rsidR="00CE332B" w:rsidRPr="007C2D51">
        <w:t xml:space="preserve">.  </w:t>
      </w:r>
    </w:p>
    <w:p w:rsidR="005045AB" w:rsidRPr="007C2D51" w:rsidRDefault="005045AB" w:rsidP="00AB34CA">
      <w:pPr>
        <w:pStyle w:val="Heading2"/>
      </w:pPr>
      <w:bookmarkStart w:id="155" w:name="_Toc304965704"/>
      <w:r w:rsidRPr="007C2D51">
        <w:lastRenderedPageBreak/>
        <w:t>Program Profiles</w:t>
      </w:r>
      <w:bookmarkEnd w:id="154"/>
      <w:bookmarkEnd w:id="155"/>
    </w:p>
    <w:p w:rsidR="005045AB" w:rsidRPr="007C2D51" w:rsidRDefault="005045AB" w:rsidP="00CE7C6F">
      <w:pPr>
        <w:pStyle w:val="BodyText"/>
      </w:pPr>
      <w:r w:rsidRPr="007C2D51">
        <w:t>Finally, FTA continued to collect program profiles, or summaries, for each JARC service</w:t>
      </w:r>
      <w:r w:rsidR="00CE332B" w:rsidRPr="007C2D51">
        <w:t xml:space="preserve">.  </w:t>
      </w:r>
      <w:r w:rsidRPr="007C2D51">
        <w:t>While ridership and jobs-accessed statistics allow FTA to provide a national summary of the JARC</w:t>
      </w:r>
      <w:r w:rsidR="004F799B" w:rsidRPr="007C2D51">
        <w:t xml:space="preserve"> program</w:t>
      </w:r>
      <w:r w:rsidRPr="007C2D51">
        <w:t>, the profiles allow the grantees to represent the human side of these transportation programs</w:t>
      </w:r>
      <w:r w:rsidR="00CE332B" w:rsidRPr="007C2D51">
        <w:t xml:space="preserve">.  </w:t>
      </w:r>
      <w:r w:rsidRPr="007C2D51">
        <w:t>These qualitative descriptions complement the data collection and provide an additional avenue for understanding the impacts and benefits of both grant programs</w:t>
      </w:r>
      <w:r w:rsidR="00CE332B" w:rsidRPr="007C2D51">
        <w:t xml:space="preserve">.  </w:t>
      </w:r>
    </w:p>
    <w:p w:rsidR="00C739EF" w:rsidRPr="007C2D51" w:rsidRDefault="005045AB" w:rsidP="00CE7C6F">
      <w:pPr>
        <w:pStyle w:val="BodyText"/>
      </w:pPr>
      <w:r w:rsidRPr="007C2D51">
        <w:t>The profiles provide a rich source of detailed information about the JARC program and are provided in their entirety under separate cover</w:t>
      </w:r>
      <w:r w:rsidR="00CE332B" w:rsidRPr="007C2D51">
        <w:t xml:space="preserve">.  </w:t>
      </w:r>
      <w:r w:rsidR="00F913AC" w:rsidRPr="007C2D51">
        <w:t>For convenience, they are organized in 10 separate documents based on the FTA regions</w:t>
      </w:r>
      <w:r w:rsidR="00CE332B" w:rsidRPr="007C2D51">
        <w:t xml:space="preserve">.  </w:t>
      </w:r>
      <w:r w:rsidRPr="007C2D51">
        <w:t>In addition, relevant excerpts have been incorporated throughout this summary report</w:t>
      </w:r>
      <w:r w:rsidR="00CE332B" w:rsidRPr="007C2D51">
        <w:t xml:space="preserve">.  </w:t>
      </w:r>
      <w:r w:rsidRPr="007C2D51">
        <w:t xml:space="preserve">As the program profiles made abundantly clear, the JARC program </w:t>
      </w:r>
      <w:r w:rsidR="004E7755" w:rsidRPr="007C2D51">
        <w:t xml:space="preserve">allows transportation providers to </w:t>
      </w:r>
      <w:r w:rsidRPr="007C2D51">
        <w:t xml:space="preserve">connect with </w:t>
      </w:r>
      <w:r w:rsidR="004E7755" w:rsidRPr="007C2D51">
        <w:t xml:space="preserve">their </w:t>
      </w:r>
      <w:r w:rsidRPr="007C2D51">
        <w:t>riders and customers on</w:t>
      </w:r>
      <w:r w:rsidR="004F799B" w:rsidRPr="007C2D51">
        <w:t xml:space="preserve"> a human scale.</w:t>
      </w:r>
    </w:p>
    <w:p w:rsidR="004E7755" w:rsidRPr="007C2D51" w:rsidRDefault="004E7755" w:rsidP="00CE7C6F">
      <w:pPr>
        <w:pStyle w:val="BodyText"/>
      </w:pPr>
    </w:p>
    <w:p w:rsidR="004E7755" w:rsidRPr="007C2D51" w:rsidRDefault="004E7755" w:rsidP="00CE7C6F">
      <w:pPr>
        <w:pStyle w:val="BodyText"/>
        <w:sectPr w:rsidR="004E7755" w:rsidRPr="007C2D51">
          <w:pgSz w:w="12240" w:h="15840"/>
          <w:pgMar w:top="1440" w:right="1440" w:bottom="1440" w:left="1440" w:header="720" w:footer="720" w:gutter="0"/>
          <w:pgNumType w:start="1"/>
          <w:cols w:space="720"/>
          <w:docGrid w:linePitch="360"/>
        </w:sectPr>
      </w:pPr>
    </w:p>
    <w:p w:rsidR="00C739EF" w:rsidRPr="007C2D51" w:rsidRDefault="00C739EF" w:rsidP="005606E4">
      <w:pPr>
        <w:pStyle w:val="Appendix"/>
      </w:pPr>
      <w:r w:rsidRPr="007C2D51">
        <w:lastRenderedPageBreak/>
        <w:t>Appendix A</w:t>
      </w:r>
      <w:r w:rsidRPr="007C2D51">
        <w:br/>
      </w:r>
      <w:r w:rsidR="000C4941" w:rsidRPr="007C2D51">
        <w:t>JARC</w:t>
      </w:r>
      <w:r w:rsidRPr="007C2D51">
        <w:t xml:space="preserve"> Service Matri</w:t>
      </w:r>
      <w:r w:rsidR="00822136" w:rsidRPr="007C2D51">
        <w:t>x</w:t>
      </w:r>
    </w:p>
    <w:p w:rsidR="00C739EF" w:rsidRPr="007C2D51" w:rsidRDefault="00C739EF" w:rsidP="00CE7C6F">
      <w:pPr>
        <w:pStyle w:val="BodyText"/>
      </w:pPr>
      <w:r w:rsidRPr="007C2D51">
        <w:t xml:space="preserve">The following information describes in more detail how the JARC </w:t>
      </w:r>
      <w:r w:rsidR="00822136" w:rsidRPr="007C2D51">
        <w:t>service matrix was deve</w:t>
      </w:r>
      <w:r w:rsidRPr="007C2D51">
        <w:t>loped and how JARC grant recipients</w:t>
      </w:r>
      <w:r w:rsidR="00822136" w:rsidRPr="007C2D51">
        <w:t xml:space="preserve"> use it</w:t>
      </w:r>
      <w:r w:rsidRPr="007C2D51">
        <w:t xml:space="preserve"> for annual Program Performance Evaluation (PPE) reporting purposes.</w:t>
      </w:r>
    </w:p>
    <w:p w:rsidR="00C739EF" w:rsidRPr="007C2D51" w:rsidRDefault="00C739EF" w:rsidP="00CE7C6F">
      <w:pPr>
        <w:pStyle w:val="BodyText"/>
      </w:pPr>
      <w:r w:rsidRPr="007C2D51">
        <w:t xml:space="preserve">A JARC service matrix was initially developed through a collaborative effort between the JARC </w:t>
      </w:r>
      <w:r w:rsidR="003A70DC" w:rsidRPr="007C2D51">
        <w:t xml:space="preserve">Evaluation Team </w:t>
      </w:r>
      <w:r w:rsidRPr="007C2D51">
        <w:t>and the Community Transportation Association of America’s Joblinks Advisory Committee</w:t>
      </w:r>
      <w:r w:rsidR="00CE332B" w:rsidRPr="007C2D51">
        <w:t xml:space="preserve">.  </w:t>
      </w:r>
      <w:r w:rsidRPr="007C2D51">
        <w:t>The matrix was later refined working with the JARC</w:t>
      </w:r>
      <w:r w:rsidR="004E7755" w:rsidRPr="007C2D51">
        <w:t xml:space="preserve"> / </w:t>
      </w:r>
      <w:r w:rsidRPr="007C2D51">
        <w:t>New Freedom Advisory Committee, formed to assist the evaluation team with refinement of the JARC and later New Freedom reporting process.</w:t>
      </w:r>
    </w:p>
    <w:p w:rsidR="00693C38" w:rsidRPr="007C2D51" w:rsidRDefault="00C739EF" w:rsidP="00CE7C6F">
      <w:pPr>
        <w:pStyle w:val="BodyText"/>
      </w:pPr>
      <w:r w:rsidRPr="007C2D51">
        <w:t xml:space="preserve">The intent of the matrix reporting approach was </w:t>
      </w:r>
      <w:r w:rsidR="006A6289" w:rsidRPr="007C2D51">
        <w:t>two-fold</w:t>
      </w:r>
      <w:r w:rsidR="00693C38" w:rsidRPr="007C2D51">
        <w:t>:</w:t>
      </w:r>
    </w:p>
    <w:p w:rsidR="00A166FB" w:rsidRPr="007C2D51" w:rsidRDefault="00693C38">
      <w:pPr>
        <w:pStyle w:val="ListBullet"/>
      </w:pPr>
      <w:r w:rsidRPr="007C2D51">
        <w:t>Make reporting easier for grant recipients</w:t>
      </w:r>
    </w:p>
    <w:p w:rsidR="00A166FB" w:rsidRPr="007C2D51" w:rsidRDefault="00693C38">
      <w:pPr>
        <w:pStyle w:val="ListBullet"/>
      </w:pPr>
      <w:r w:rsidRPr="007C2D51">
        <w:t xml:space="preserve">Capture </w:t>
      </w:r>
      <w:r w:rsidR="00F64654" w:rsidRPr="007C2D51">
        <w:t xml:space="preserve">performance </w:t>
      </w:r>
      <w:r w:rsidRPr="007C2D51">
        <w:t xml:space="preserve">information about </w:t>
      </w:r>
      <w:r w:rsidR="00F64654" w:rsidRPr="007C2D51">
        <w:t>non-traditional programs</w:t>
      </w:r>
    </w:p>
    <w:p w:rsidR="00693C38" w:rsidRPr="007C2D51" w:rsidRDefault="006A6289" w:rsidP="00CE7C6F">
      <w:pPr>
        <w:pStyle w:val="BodyText"/>
      </w:pPr>
      <w:r w:rsidRPr="007C2D51">
        <w:t xml:space="preserve">First, the </w:t>
      </w:r>
      <w:r w:rsidR="00693C38" w:rsidRPr="007C2D51">
        <w:t xml:space="preserve">service </w:t>
      </w:r>
      <w:r w:rsidRPr="007C2D51">
        <w:t xml:space="preserve">matrix was designed </w:t>
      </w:r>
      <w:r w:rsidR="00C739EF" w:rsidRPr="007C2D51">
        <w:t>to make it easier for grantees to report on services provided</w:t>
      </w:r>
      <w:r w:rsidR="00CE332B" w:rsidRPr="007C2D51">
        <w:t xml:space="preserve">.  </w:t>
      </w:r>
      <w:r w:rsidRPr="007C2D51">
        <w:t xml:space="preserve">Once they selected the primary goal and service type, grantees were directed to a data entry form </w:t>
      </w:r>
      <w:r w:rsidR="00693C38" w:rsidRPr="007C2D51">
        <w:t>that included only those questions relevant to the s</w:t>
      </w:r>
      <w:r w:rsidRPr="007C2D51">
        <w:t xml:space="preserve">ervice type / goal combination.  </w:t>
      </w:r>
      <w:r w:rsidR="00693C38" w:rsidRPr="007C2D51">
        <w:t xml:space="preserve">For example, grantees reporting demand response services were asked to report the number of one-way trips provided, while those providing travel training were asked to indicate the number of individuals trained. </w:t>
      </w:r>
    </w:p>
    <w:p w:rsidR="00693C38" w:rsidRPr="007C2D51" w:rsidRDefault="00693C38" w:rsidP="00CE7C6F">
      <w:pPr>
        <w:pStyle w:val="BodyText"/>
      </w:pPr>
      <w:r w:rsidRPr="007C2D51">
        <w:t>Second</w:t>
      </w:r>
      <w:r w:rsidR="00C739EF" w:rsidRPr="007C2D51">
        <w:t xml:space="preserve">, </w:t>
      </w:r>
      <w:r w:rsidR="0099153A" w:rsidRPr="007C2D51">
        <w:t>the matrix structure represents the diversity of JARC-funded programs.</w:t>
      </w:r>
      <w:r w:rsidR="000B6365" w:rsidRPr="007C2D51">
        <w:t xml:space="preserve"> </w:t>
      </w:r>
      <w:r w:rsidR="0099153A" w:rsidRPr="007C2D51">
        <w:t>The numbers associated with non-trip-based services like mobility managers and vehicle-loan programs are small in relation to one-way trips and jobs accessed, but they represent very real mobility benefits at a local level.  The matrix approach allows FTA to capture this information and ensure that the benefits of these non-traditional programs are not overshadowed by the measures of one-way trips and jobs accessed.</w:t>
      </w:r>
      <w:r w:rsidR="00F64654" w:rsidRPr="007C2D51">
        <w:t xml:space="preserve">  </w:t>
      </w:r>
    </w:p>
    <w:p w:rsidR="00C739EF" w:rsidRPr="007C2D51" w:rsidRDefault="00C739EF" w:rsidP="00CE7C6F">
      <w:pPr>
        <w:pStyle w:val="BodyText"/>
      </w:pPr>
      <w:r w:rsidRPr="007C2D51">
        <w:t xml:space="preserve">A copy of the JARC reporting matrix </w:t>
      </w:r>
      <w:r w:rsidR="000E2239" w:rsidRPr="007C2D51">
        <w:t>follows</w:t>
      </w:r>
      <w:r w:rsidR="00CE332B" w:rsidRPr="007C2D51">
        <w:t xml:space="preserve">.  </w:t>
      </w:r>
      <w:r w:rsidRPr="007C2D51">
        <w:t>The matrix includes five primary goals (columns A-E) that were identified to be core elements of JARC-funded services</w:t>
      </w:r>
      <w:r w:rsidR="00CE332B" w:rsidRPr="007C2D51">
        <w:t xml:space="preserve">.  </w:t>
      </w:r>
      <w:r w:rsidRPr="007C2D51">
        <w:t xml:space="preserve">The rows are grouped by the </w:t>
      </w:r>
      <w:r w:rsidR="00FD7B94" w:rsidRPr="007C2D51">
        <w:t>four</w:t>
      </w:r>
      <w:r w:rsidRPr="007C2D51">
        <w:t xml:space="preserve"> categories of projects – (I) trip-based services, (II) information-based services, (III) capital investment projects</w:t>
      </w:r>
      <w:r w:rsidR="00FD7B94" w:rsidRPr="007C2D51">
        <w:t>, and (IV) planning studies</w:t>
      </w:r>
      <w:r w:rsidR="00CE332B" w:rsidRPr="007C2D51">
        <w:t xml:space="preserve">.  </w:t>
      </w:r>
      <w:r w:rsidRPr="007C2D51">
        <w:t>Each category includes a list of services or projects that are commonly provided in each category and supported by the JARC program</w:t>
      </w:r>
      <w:r w:rsidR="00CE332B" w:rsidRPr="007C2D51">
        <w:t xml:space="preserve">.  </w:t>
      </w:r>
      <w:r w:rsidRPr="007C2D51">
        <w:t>The cells within the table indicate the primary reporting information to be provided by each type of service, according to the primary goal related to the service</w:t>
      </w:r>
      <w:r w:rsidR="00CE332B" w:rsidRPr="007C2D51">
        <w:t xml:space="preserve">.  </w:t>
      </w:r>
      <w:r w:rsidRPr="007C2D51">
        <w:t>The JARC matrix was first implemented with the FY 2006 reporting period.</w:t>
      </w:r>
    </w:p>
    <w:p w:rsidR="00C739EF" w:rsidRPr="007C2D51" w:rsidRDefault="00C739EF" w:rsidP="00CE7C6F">
      <w:pPr>
        <w:pStyle w:val="BodyText"/>
      </w:pPr>
      <w:r w:rsidRPr="007C2D51">
        <w:t>Beginning with the FY 2007 / FY 2008 reporting period, with the assistance of the JARC</w:t>
      </w:r>
      <w:r w:rsidR="004E7755" w:rsidRPr="007C2D51">
        <w:t xml:space="preserve"> </w:t>
      </w:r>
      <w:r w:rsidRPr="007C2D51">
        <w:t>/</w:t>
      </w:r>
      <w:r w:rsidR="004E7755" w:rsidRPr="007C2D51">
        <w:t xml:space="preserve"> </w:t>
      </w:r>
      <w:r w:rsidRPr="007C2D51">
        <w:t>New Freedom Advisory Committee the JARC matrix reporting approach was expanded to include a companion matrix for the New Freedom program</w:t>
      </w:r>
      <w:r w:rsidR="00CE332B" w:rsidRPr="007C2D51">
        <w:t xml:space="preserve">.  </w:t>
      </w:r>
      <w:r w:rsidRPr="007C2D51">
        <w:t xml:space="preserve">The NF matrix is similarly organized with the same </w:t>
      </w:r>
      <w:r w:rsidR="004E7755" w:rsidRPr="007C2D51">
        <w:t xml:space="preserve">four </w:t>
      </w:r>
      <w:r w:rsidRPr="007C2D51">
        <w:t xml:space="preserve">categories of projects and the same set of five project goals as the JARC </w:t>
      </w:r>
      <w:r w:rsidRPr="007C2D51">
        <w:lastRenderedPageBreak/>
        <w:t>reporting matrix</w:t>
      </w:r>
      <w:r w:rsidR="00CE332B" w:rsidRPr="007C2D51">
        <w:t xml:space="preserve">.  </w:t>
      </w:r>
      <w:r w:rsidRPr="007C2D51">
        <w:t xml:space="preserve">However, the list of </w:t>
      </w:r>
      <w:r w:rsidR="00D42E10" w:rsidRPr="007C2D51">
        <w:t xml:space="preserve">service types </w:t>
      </w:r>
      <w:r w:rsidRPr="007C2D51">
        <w:t xml:space="preserve">was modified to reflect allowable </w:t>
      </w:r>
      <w:r w:rsidR="00D42E10" w:rsidRPr="007C2D51">
        <w:t xml:space="preserve">service types </w:t>
      </w:r>
      <w:r w:rsidRPr="007C2D51">
        <w:t>for New Freedom funding as outlined in FTA Circular 9045.1 and subsequent guidance</w:t>
      </w:r>
      <w:r w:rsidR="00CE332B" w:rsidRPr="007C2D51">
        <w:t xml:space="preserve">.  </w:t>
      </w:r>
    </w:p>
    <w:p w:rsidR="00C739EF" w:rsidRPr="007C2D51" w:rsidRDefault="00C739EF" w:rsidP="00CE7C6F">
      <w:pPr>
        <w:pStyle w:val="BodyText"/>
      </w:pPr>
      <w:r w:rsidRPr="007C2D51">
        <w:t xml:space="preserve">For PPE reporting purposes, the </w:t>
      </w:r>
      <w:r w:rsidR="00822136" w:rsidRPr="007C2D51">
        <w:t>matrix is</w:t>
      </w:r>
      <w:r w:rsidRPr="007C2D51">
        <w:t xml:space="preserve"> used to identify the primary goal for each JARC-funded service operated during the reporting year and to report output and outcome information related to the services provided as required to complete the federal Program Performance Evaluation</w:t>
      </w:r>
      <w:r w:rsidR="00CE332B" w:rsidRPr="007C2D51">
        <w:t xml:space="preserve">.  </w:t>
      </w:r>
    </w:p>
    <w:p w:rsidR="00C739EF" w:rsidRPr="007C2D51" w:rsidRDefault="00C739EF" w:rsidP="00CE7C6F">
      <w:pPr>
        <w:pStyle w:val="BodyText"/>
      </w:pPr>
      <w:r w:rsidRPr="007C2D51">
        <w:t xml:space="preserve">In addition to the measures shown in the table (i.e., # one-way trips, # customer contacts, # units, # vehicles added, and so on), grantees also are asked to provide additional descriptive information about the service area, length of fixed route, and the number of jobs </w:t>
      </w:r>
      <w:r w:rsidR="000E2239" w:rsidRPr="007C2D51">
        <w:t>targeted (if known</w:t>
      </w:r>
      <w:r w:rsidRPr="007C2D51">
        <w:t>)</w:t>
      </w:r>
      <w:r w:rsidR="00CE332B" w:rsidRPr="007C2D51">
        <w:t xml:space="preserve">.  </w:t>
      </w:r>
      <w:r w:rsidR="00822136" w:rsidRPr="007C2D51">
        <w:t xml:space="preserve">The </w:t>
      </w:r>
      <w:r w:rsidR="000E2239" w:rsidRPr="007C2D51">
        <w:t>evaluation t</w:t>
      </w:r>
      <w:r w:rsidRPr="007C2D51">
        <w:t xml:space="preserve">eam uses this information in combination with Census data to develop an aggregated national estimate of </w:t>
      </w:r>
      <w:r w:rsidR="000E2239" w:rsidRPr="007C2D51">
        <w:t>jobs made accessible by JARC-supported services</w:t>
      </w:r>
      <w:r w:rsidR="00CE332B" w:rsidRPr="007C2D51">
        <w:t xml:space="preserve">.  </w:t>
      </w:r>
    </w:p>
    <w:p w:rsidR="00C739EF" w:rsidRPr="007C2D51" w:rsidRDefault="00C739EF" w:rsidP="00CE7C6F">
      <w:pPr>
        <w:pStyle w:val="BodyText"/>
      </w:pPr>
      <w:r w:rsidRPr="007C2D51">
        <w:t xml:space="preserve">To facilitate completion of the PPE forms, grant recipients were provided specific information via </w:t>
      </w:r>
      <w:r w:rsidR="00822136" w:rsidRPr="007C2D51">
        <w:t>an</w:t>
      </w:r>
      <w:r w:rsidR="000E2239" w:rsidRPr="007C2D51">
        <w:t xml:space="preserve"> on-line support site, e</w:t>
      </w:r>
      <w:r w:rsidRPr="007C2D51">
        <w:t>mail and phone support, and webinar training on how to use the reporting tools</w:t>
      </w:r>
      <w:r w:rsidR="00CE332B" w:rsidRPr="007C2D51">
        <w:t xml:space="preserve">.  </w:t>
      </w:r>
      <w:r w:rsidRPr="007C2D51">
        <w:t>Definitions were provided to help guide grantees in their choice of service and goal combinations</w:t>
      </w:r>
      <w:r w:rsidR="00CE332B" w:rsidRPr="007C2D51">
        <w:t xml:space="preserve">.  </w:t>
      </w:r>
      <w:r w:rsidRPr="007C2D51">
        <w:t>For example</w:t>
      </w:r>
      <w:r w:rsidR="000E2239" w:rsidRPr="007C2D51">
        <w:t>,</w:t>
      </w:r>
      <w:r w:rsidRPr="007C2D51">
        <w:t xml:space="preserve"> trip-based services that are categorized as “flexible routing” include route deviation, point deviation, and other community circulators that may go off route to pick up individuals on a request basis</w:t>
      </w:r>
      <w:r w:rsidR="00CE332B" w:rsidRPr="007C2D51">
        <w:t xml:space="preserve">.  </w:t>
      </w:r>
      <w:r w:rsidRPr="007C2D51">
        <w:t>A “user-side subsidy” refers to individuals whose trip costs are subsidized by JARC funds including taxi vouchers, mileage reimbursements, underwriting the cost of vanpool seats, and so on</w:t>
      </w:r>
      <w:r w:rsidR="00CE332B" w:rsidRPr="007C2D51">
        <w:t xml:space="preserve">.  </w:t>
      </w:r>
      <w:r w:rsidRPr="007C2D51">
        <w:t>In contrast, trips provided through a “demand response” service would involve payment to an agency to subsidize the cost of running the vehicle, and not provide a direct subsidy to the individual user.</w:t>
      </w:r>
    </w:p>
    <w:p w:rsidR="00C739EF" w:rsidRPr="007C2D51" w:rsidRDefault="00C739EF" w:rsidP="00CE7C6F">
      <w:pPr>
        <w:pStyle w:val="BodyText"/>
      </w:pPr>
      <w:r w:rsidRPr="007C2D51">
        <w:t>“Mobility managers” are an emerging service approach with a variety of responsibilities</w:t>
      </w:r>
      <w:r w:rsidR="00CE332B" w:rsidRPr="007C2D51">
        <w:t xml:space="preserve">.  </w:t>
      </w:r>
      <w:r w:rsidRPr="007C2D51">
        <w:t>For example, in some cases, a mobility manager is a clearinghouse of information about transportation services provided locally</w:t>
      </w:r>
      <w:r w:rsidR="00CE332B" w:rsidRPr="007C2D51">
        <w:t xml:space="preserve">.  </w:t>
      </w:r>
      <w:r w:rsidRPr="007C2D51">
        <w:t>Other mobility managers may schedule trips, but have nothing to do with the responsibility of providing (or paying for a trip)</w:t>
      </w:r>
      <w:r w:rsidR="00CE332B" w:rsidRPr="007C2D51">
        <w:t xml:space="preserve">.  </w:t>
      </w:r>
      <w:r w:rsidRPr="007C2D51">
        <w:t>In these two cases, it would be most appropriate to report the number of customer contacts as a performance measure</w:t>
      </w:r>
      <w:r w:rsidR="00CE332B" w:rsidRPr="007C2D51">
        <w:t xml:space="preserve">.  </w:t>
      </w:r>
      <w:r w:rsidRPr="007C2D51">
        <w:t>However, some mobility managers also oversee the actual provision of service either by contracting with a provider or directly operating service themselves</w:t>
      </w:r>
      <w:r w:rsidR="00CE332B" w:rsidRPr="007C2D51">
        <w:t xml:space="preserve">.  </w:t>
      </w:r>
      <w:r w:rsidRPr="007C2D51">
        <w:t xml:space="preserve">In the latter case, it would be appropriate for the mobility manager service to report both the number of customer contacts enabled by the </w:t>
      </w:r>
      <w:r w:rsidR="00822136" w:rsidRPr="007C2D51">
        <w:t>JARC</w:t>
      </w:r>
      <w:r w:rsidRPr="007C2D51">
        <w:t xml:space="preserve"> program, as well as the number of one-way trips provided</w:t>
      </w:r>
      <w:r w:rsidR="00CE332B" w:rsidRPr="007C2D51">
        <w:t xml:space="preserve">.  </w:t>
      </w:r>
      <w:r w:rsidRPr="007C2D51">
        <w:t>It also should be noted that although FTA allows for “mobility managers” to be funded as a capital program, given the nature of the service for JARC reporting purposes they are consi</w:t>
      </w:r>
      <w:r w:rsidR="000E2239" w:rsidRPr="007C2D51">
        <w:t>dered information-based services</w:t>
      </w:r>
      <w:r w:rsidRPr="007C2D51">
        <w:t>.</w:t>
      </w:r>
    </w:p>
    <w:p w:rsidR="00C739EF" w:rsidRPr="007C2D51" w:rsidRDefault="00C739EF" w:rsidP="00CE7C6F">
      <w:pPr>
        <w:pStyle w:val="BodyText"/>
      </w:pPr>
      <w:r w:rsidRPr="007C2D51">
        <w:t>Another example that requires additional explanation is “one-on-one training,” included under the category of information-based services</w:t>
      </w:r>
      <w:r w:rsidR="00CE332B" w:rsidRPr="007C2D51">
        <w:t xml:space="preserve">.  </w:t>
      </w:r>
      <w:r w:rsidRPr="007C2D51">
        <w:t>“One-on-one training” could include teaching an individual on how to use fixed route bus service or providing instruction on how to care for and maintain a vehicle</w:t>
      </w:r>
      <w:r w:rsidR="00CE332B" w:rsidRPr="007C2D51">
        <w:t xml:space="preserve">.  </w:t>
      </w:r>
      <w:r w:rsidRPr="007C2D51">
        <w:t>“Trip/itinerary planning” is another specific form of assistance that provides individual assistance</w:t>
      </w:r>
      <w:r w:rsidR="00CE332B" w:rsidRPr="007C2D51">
        <w:t xml:space="preserve">.  </w:t>
      </w:r>
    </w:p>
    <w:p w:rsidR="00D65DB1" w:rsidRPr="007C2D51" w:rsidRDefault="00C739EF" w:rsidP="00CE7C6F">
      <w:pPr>
        <w:pStyle w:val="BodyText"/>
      </w:pPr>
      <w:r w:rsidRPr="007C2D51">
        <w:t xml:space="preserve">Finally, capital investment projects could range from providing vehicles to individuals through low-interest loan programs, providing a vehicle for an agency </w:t>
      </w:r>
      <w:r w:rsidR="000E2239" w:rsidRPr="007C2D51">
        <w:t xml:space="preserve">to transport </w:t>
      </w:r>
      <w:r w:rsidRPr="007C2D51">
        <w:t xml:space="preserve">its customers, or </w:t>
      </w:r>
      <w:r w:rsidRPr="007C2D51">
        <w:lastRenderedPageBreak/>
        <w:t>vanpool vehicles if the cost of the vehicle lease is underwritten</w:t>
      </w:r>
      <w:r w:rsidR="00CE332B" w:rsidRPr="007C2D51">
        <w:t xml:space="preserve">.  </w:t>
      </w:r>
      <w:r w:rsidRPr="007C2D51">
        <w:t>In these cases, grantees would be asked to report the number of units (vehicles) provided and if available the number of one-way trips taken by JARC-</w:t>
      </w:r>
      <w:r w:rsidR="001D6E41" w:rsidRPr="007C2D51">
        <w:t>supported</w:t>
      </w:r>
      <w:r w:rsidRPr="007C2D51">
        <w:t xml:space="preserve"> participants</w:t>
      </w:r>
      <w:r w:rsidR="00CE332B" w:rsidRPr="007C2D51">
        <w:t xml:space="preserve">.  </w:t>
      </w:r>
      <w:r w:rsidRPr="007C2D51">
        <w:t xml:space="preserve">Other capital investments </w:t>
      </w:r>
      <w:r w:rsidR="000E2239" w:rsidRPr="007C2D51">
        <w:t xml:space="preserve">include amenities, such as </w:t>
      </w:r>
      <w:r w:rsidRPr="007C2D51">
        <w:t>adding bus shelters to waiting areas</w:t>
      </w:r>
      <w:r w:rsidR="00822136" w:rsidRPr="007C2D51">
        <w:t xml:space="preserve"> or</w:t>
      </w:r>
      <w:r w:rsidRPr="007C2D51">
        <w:t xml:space="preserve"> bicycle racks on buses to allow access to a transit system</w:t>
      </w:r>
      <w:r w:rsidR="00CE332B" w:rsidRPr="007C2D51">
        <w:t xml:space="preserve">.  </w:t>
      </w:r>
      <w:r w:rsidR="00D65DB1" w:rsidRPr="007C2D51">
        <w:br w:type="page"/>
      </w:r>
    </w:p>
    <w:p w:rsidR="00D65DB1" w:rsidRPr="007C2D51" w:rsidRDefault="00D65DB1" w:rsidP="00D65DB1">
      <w:pPr>
        <w:pStyle w:val="Caption"/>
      </w:pPr>
      <w:r w:rsidRPr="007C2D51">
        <w:lastRenderedPageBreak/>
        <w:t>JARC Service Matrix</w:t>
      </w:r>
    </w:p>
    <w:tbl>
      <w:tblPr>
        <w:tblStyle w:val="LightList-Accent6"/>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80"/>
        <w:gridCol w:w="1296"/>
        <w:gridCol w:w="1296"/>
        <w:gridCol w:w="1296"/>
        <w:gridCol w:w="1296"/>
        <w:gridCol w:w="1296"/>
      </w:tblGrid>
      <w:tr w:rsidR="00D65DB1" w:rsidRPr="007C2D51" w:rsidTr="00F15767">
        <w:trPr>
          <w:cnfStyle w:val="100000000000"/>
          <w:trHeight w:val="300"/>
          <w:jc w:val="center"/>
        </w:trPr>
        <w:tc>
          <w:tcPr>
            <w:cnfStyle w:val="001000000000"/>
            <w:tcW w:w="2880" w:type="dxa"/>
            <w:noWrap/>
            <w:vAlign w:val="bottom"/>
          </w:tcPr>
          <w:p w:rsidR="00D65DB1" w:rsidRPr="007C2D51" w:rsidRDefault="00D65DB1" w:rsidP="006D0A38"/>
        </w:tc>
        <w:tc>
          <w:tcPr>
            <w:tcW w:w="6480" w:type="dxa"/>
            <w:gridSpan w:val="5"/>
            <w:noWrap/>
            <w:vAlign w:val="bottom"/>
          </w:tcPr>
          <w:p w:rsidR="00D65DB1" w:rsidRPr="007C2D51" w:rsidRDefault="00D65DB1" w:rsidP="004E64C7">
            <w:pPr>
              <w:jc w:val="center"/>
              <w:cnfStyle w:val="100000000000"/>
            </w:pPr>
            <w:r w:rsidRPr="007C2D51">
              <w:t>Primary Goal</w:t>
            </w:r>
          </w:p>
        </w:tc>
      </w:tr>
      <w:tr w:rsidR="00D65DB1" w:rsidRPr="007C2D51" w:rsidTr="00F15767">
        <w:trPr>
          <w:cnfStyle w:val="000000100000"/>
          <w:trHeight w:val="300"/>
          <w:jc w:val="center"/>
        </w:trPr>
        <w:tc>
          <w:tcPr>
            <w:cnfStyle w:val="001000000000"/>
            <w:tcW w:w="2880" w:type="dxa"/>
            <w:tcBorders>
              <w:top w:val="none" w:sz="0" w:space="0" w:color="auto"/>
              <w:left w:val="none" w:sz="0" w:space="0" w:color="auto"/>
              <w:bottom w:val="none" w:sz="0" w:space="0" w:color="auto"/>
            </w:tcBorders>
            <w:noWrap/>
            <w:vAlign w:val="bottom"/>
          </w:tcPr>
          <w:p w:rsidR="00D65DB1" w:rsidRPr="007C2D51" w:rsidRDefault="00D65DB1" w:rsidP="006D0A38">
            <w:r w:rsidRPr="007C2D51">
              <w:t>Service Type</w:t>
            </w:r>
          </w:p>
        </w:tc>
        <w:tc>
          <w:tcPr>
            <w:tcW w:w="1296" w:type="dxa"/>
            <w:tcBorders>
              <w:top w:val="none" w:sz="0" w:space="0" w:color="auto"/>
              <w:bottom w:val="none" w:sz="0" w:space="0" w:color="auto"/>
            </w:tcBorders>
            <w:noWrap/>
            <w:vAlign w:val="bottom"/>
          </w:tcPr>
          <w:p w:rsidR="00D65DB1" w:rsidRPr="007C2D51" w:rsidRDefault="00D65DB1" w:rsidP="004E64C7">
            <w:pPr>
              <w:jc w:val="center"/>
              <w:cnfStyle w:val="000000100000"/>
            </w:pPr>
            <w:r w:rsidRPr="007C2D51">
              <w:t>(A)</w:t>
            </w:r>
            <w:r w:rsidRPr="007C2D51">
              <w:br/>
              <w:t>Expanded geographic coverage</w:t>
            </w:r>
          </w:p>
        </w:tc>
        <w:tc>
          <w:tcPr>
            <w:tcW w:w="1296" w:type="dxa"/>
            <w:tcBorders>
              <w:top w:val="none" w:sz="0" w:space="0" w:color="auto"/>
              <w:bottom w:val="none" w:sz="0" w:space="0" w:color="auto"/>
            </w:tcBorders>
            <w:noWrap/>
            <w:vAlign w:val="bottom"/>
          </w:tcPr>
          <w:p w:rsidR="00D65DB1" w:rsidRPr="007C2D51" w:rsidRDefault="00D65DB1" w:rsidP="004E64C7">
            <w:pPr>
              <w:jc w:val="center"/>
              <w:cnfStyle w:val="000000100000"/>
            </w:pPr>
            <w:r w:rsidRPr="007C2D51">
              <w:t>(B)</w:t>
            </w:r>
            <w:r w:rsidRPr="007C2D51">
              <w:br/>
              <w:t>Extended hours/days of service</w:t>
            </w:r>
          </w:p>
        </w:tc>
        <w:tc>
          <w:tcPr>
            <w:tcW w:w="1296" w:type="dxa"/>
            <w:tcBorders>
              <w:top w:val="none" w:sz="0" w:space="0" w:color="auto"/>
              <w:bottom w:val="none" w:sz="0" w:space="0" w:color="auto"/>
            </w:tcBorders>
            <w:noWrap/>
            <w:vAlign w:val="bottom"/>
          </w:tcPr>
          <w:p w:rsidR="00D65DB1" w:rsidRPr="007C2D51" w:rsidRDefault="00D65DB1" w:rsidP="004E64C7">
            <w:pPr>
              <w:jc w:val="center"/>
              <w:cnfStyle w:val="000000100000"/>
            </w:pPr>
            <w:r w:rsidRPr="007C2D51">
              <w:t>(C)</w:t>
            </w:r>
            <w:r w:rsidRPr="007C2D51">
              <w:br/>
              <w:t>Improved system capacity</w:t>
            </w:r>
          </w:p>
        </w:tc>
        <w:tc>
          <w:tcPr>
            <w:tcW w:w="1296" w:type="dxa"/>
            <w:tcBorders>
              <w:top w:val="none" w:sz="0" w:space="0" w:color="auto"/>
              <w:bottom w:val="none" w:sz="0" w:space="0" w:color="auto"/>
            </w:tcBorders>
            <w:noWrap/>
            <w:vAlign w:val="bottom"/>
          </w:tcPr>
          <w:p w:rsidR="00D65DB1" w:rsidRPr="007C2D51" w:rsidRDefault="00D65DB1" w:rsidP="004E64C7">
            <w:pPr>
              <w:jc w:val="center"/>
              <w:cnfStyle w:val="000000100000"/>
            </w:pPr>
            <w:r w:rsidRPr="007C2D51">
              <w:t>(D)</w:t>
            </w:r>
            <w:r w:rsidRPr="007C2D51">
              <w:br/>
              <w:t>Improved access/</w:t>
            </w:r>
          </w:p>
          <w:p w:rsidR="00D65DB1" w:rsidRPr="007C2D51" w:rsidRDefault="00D65DB1" w:rsidP="004E64C7">
            <w:pPr>
              <w:jc w:val="center"/>
              <w:cnfStyle w:val="000000100000"/>
            </w:pPr>
            <w:r w:rsidRPr="007C2D51">
              <w:t>connections</w:t>
            </w:r>
          </w:p>
        </w:tc>
        <w:tc>
          <w:tcPr>
            <w:tcW w:w="1296" w:type="dxa"/>
            <w:tcBorders>
              <w:top w:val="none" w:sz="0" w:space="0" w:color="auto"/>
              <w:bottom w:val="none" w:sz="0" w:space="0" w:color="auto"/>
              <w:right w:val="none" w:sz="0" w:space="0" w:color="auto"/>
            </w:tcBorders>
            <w:noWrap/>
            <w:vAlign w:val="bottom"/>
          </w:tcPr>
          <w:p w:rsidR="00D65DB1" w:rsidRPr="007C2D51" w:rsidRDefault="00D65DB1" w:rsidP="004E64C7">
            <w:pPr>
              <w:jc w:val="center"/>
              <w:cnfStyle w:val="000000100000"/>
            </w:pPr>
            <w:r w:rsidRPr="007C2D51">
              <w:t>(E)</w:t>
            </w:r>
            <w:r w:rsidRPr="007C2D51">
              <w:br/>
              <w:t>Improved customer knowledge</w:t>
            </w:r>
          </w:p>
        </w:tc>
      </w:tr>
      <w:tr w:rsidR="00D65DB1" w:rsidRPr="007C2D51" w:rsidTr="00F15767">
        <w:trPr>
          <w:trHeight w:val="300"/>
          <w:jc w:val="center"/>
        </w:trPr>
        <w:tc>
          <w:tcPr>
            <w:cnfStyle w:val="001000000000"/>
            <w:tcW w:w="2880" w:type="dxa"/>
            <w:shd w:val="clear" w:color="auto" w:fill="475A8D" w:themeFill="accent6"/>
            <w:noWrap/>
            <w:vAlign w:val="bottom"/>
          </w:tcPr>
          <w:p w:rsidR="00D65DB1" w:rsidRPr="007C2D51" w:rsidRDefault="00D65DB1" w:rsidP="006D0A38">
            <w:pPr>
              <w:rPr>
                <w:color w:val="FFFFFF" w:themeColor="background1"/>
              </w:rPr>
            </w:pPr>
            <w:r w:rsidRPr="007C2D51">
              <w:rPr>
                <w:color w:val="FFFFFF" w:themeColor="background1"/>
              </w:rPr>
              <w:t>I</w:t>
            </w:r>
            <w:r w:rsidR="00CE332B" w:rsidRPr="007C2D51">
              <w:rPr>
                <w:color w:val="FFFFFF" w:themeColor="background1"/>
              </w:rPr>
              <w:t xml:space="preserve">.  </w:t>
            </w:r>
            <w:r w:rsidRPr="007C2D51">
              <w:rPr>
                <w:color w:val="FFFFFF" w:themeColor="background1"/>
              </w:rPr>
              <w:t>Trip-Based</w:t>
            </w:r>
          </w:p>
        </w:tc>
        <w:tc>
          <w:tcPr>
            <w:tcW w:w="1296" w:type="dxa"/>
            <w:shd w:val="clear" w:color="auto" w:fill="475A8D" w:themeFill="accent6"/>
            <w:noWrap/>
            <w:vAlign w:val="bottom"/>
          </w:tcPr>
          <w:p w:rsidR="00D65DB1" w:rsidRPr="007C2D51" w:rsidRDefault="00D65DB1" w:rsidP="006D0A38">
            <w:pPr>
              <w:jc w:val="center"/>
              <w:cnfStyle w:val="000000000000"/>
              <w:rPr>
                <w:color w:val="FFFFFF" w:themeColor="background1"/>
              </w:rPr>
            </w:pPr>
          </w:p>
        </w:tc>
        <w:tc>
          <w:tcPr>
            <w:tcW w:w="1296" w:type="dxa"/>
            <w:shd w:val="clear" w:color="auto" w:fill="475A8D" w:themeFill="accent6"/>
            <w:noWrap/>
            <w:vAlign w:val="bottom"/>
          </w:tcPr>
          <w:p w:rsidR="00D65DB1" w:rsidRPr="007C2D51" w:rsidRDefault="00D65DB1" w:rsidP="006D0A38">
            <w:pPr>
              <w:jc w:val="center"/>
              <w:cnfStyle w:val="000000000000"/>
              <w:rPr>
                <w:color w:val="FFFFFF" w:themeColor="background1"/>
              </w:rPr>
            </w:pPr>
          </w:p>
        </w:tc>
        <w:tc>
          <w:tcPr>
            <w:tcW w:w="1296" w:type="dxa"/>
            <w:shd w:val="clear" w:color="auto" w:fill="475A8D" w:themeFill="accent6"/>
            <w:noWrap/>
            <w:vAlign w:val="bottom"/>
          </w:tcPr>
          <w:p w:rsidR="00D65DB1" w:rsidRPr="007C2D51" w:rsidRDefault="00D65DB1" w:rsidP="006D0A38">
            <w:pPr>
              <w:jc w:val="center"/>
              <w:cnfStyle w:val="000000000000"/>
              <w:rPr>
                <w:color w:val="FFFFFF" w:themeColor="background1"/>
              </w:rPr>
            </w:pPr>
          </w:p>
        </w:tc>
        <w:tc>
          <w:tcPr>
            <w:tcW w:w="1296" w:type="dxa"/>
            <w:shd w:val="clear" w:color="auto" w:fill="475A8D" w:themeFill="accent6"/>
            <w:noWrap/>
            <w:vAlign w:val="bottom"/>
          </w:tcPr>
          <w:p w:rsidR="00D65DB1" w:rsidRPr="007C2D51" w:rsidRDefault="00D65DB1" w:rsidP="006D0A38">
            <w:pPr>
              <w:jc w:val="center"/>
              <w:cnfStyle w:val="000000000000"/>
              <w:rPr>
                <w:color w:val="FFFFFF" w:themeColor="background1"/>
              </w:rPr>
            </w:pPr>
          </w:p>
        </w:tc>
        <w:tc>
          <w:tcPr>
            <w:tcW w:w="1296" w:type="dxa"/>
            <w:shd w:val="clear" w:color="auto" w:fill="475A8D" w:themeFill="accent6"/>
            <w:noWrap/>
            <w:vAlign w:val="bottom"/>
          </w:tcPr>
          <w:p w:rsidR="00D65DB1" w:rsidRPr="007C2D51" w:rsidRDefault="00D65DB1" w:rsidP="006D0A38">
            <w:pPr>
              <w:jc w:val="center"/>
              <w:cnfStyle w:val="000000000000"/>
              <w:rPr>
                <w:color w:val="FFFFFF" w:themeColor="background1"/>
              </w:rPr>
            </w:pPr>
          </w:p>
        </w:tc>
      </w:tr>
      <w:tr w:rsidR="001178B1" w:rsidRPr="007C2D51" w:rsidTr="00F15767">
        <w:trPr>
          <w:cnfStyle w:val="000000100000"/>
          <w:trHeight w:val="300"/>
          <w:jc w:val="center"/>
        </w:trPr>
        <w:tc>
          <w:tcPr>
            <w:cnfStyle w:val="001000000000"/>
            <w:tcW w:w="2880" w:type="dxa"/>
            <w:tcBorders>
              <w:top w:val="none" w:sz="0" w:space="0" w:color="auto"/>
              <w:left w:val="none" w:sz="0" w:space="0" w:color="auto"/>
              <w:bottom w:val="none" w:sz="0" w:space="0" w:color="auto"/>
            </w:tcBorders>
            <w:noWrap/>
            <w:vAlign w:val="bottom"/>
          </w:tcPr>
          <w:p w:rsidR="001178B1" w:rsidRPr="007C2D51" w:rsidRDefault="001178B1" w:rsidP="006D0A38">
            <w:r w:rsidRPr="007C2D51">
              <w:t>Fixed route</w:t>
            </w:r>
          </w:p>
        </w:tc>
        <w:tc>
          <w:tcPr>
            <w:tcW w:w="1296" w:type="dxa"/>
            <w:tcBorders>
              <w:top w:val="none" w:sz="0" w:space="0" w:color="auto"/>
              <w:bottom w:val="none" w:sz="0" w:space="0" w:color="auto"/>
            </w:tcBorders>
            <w:noWrap/>
            <w:vAlign w:val="bottom"/>
          </w:tcPr>
          <w:p w:rsidR="001178B1" w:rsidRPr="007C2D51" w:rsidRDefault="001178B1" w:rsidP="006D0A38">
            <w:pPr>
              <w:jc w:val="center"/>
              <w:cnfStyle w:val="000000100000"/>
            </w:pPr>
            <w:r w:rsidRPr="007C2D51">
              <w:t># one-way trips</w:t>
            </w:r>
          </w:p>
        </w:tc>
        <w:tc>
          <w:tcPr>
            <w:tcW w:w="1296" w:type="dxa"/>
            <w:tcBorders>
              <w:top w:val="none" w:sz="0" w:space="0" w:color="auto"/>
              <w:bottom w:val="none" w:sz="0" w:space="0" w:color="auto"/>
            </w:tcBorders>
            <w:noWrap/>
            <w:vAlign w:val="bottom"/>
          </w:tcPr>
          <w:p w:rsidR="001178B1" w:rsidRPr="007C2D51" w:rsidRDefault="001178B1" w:rsidP="006D0A38">
            <w:pPr>
              <w:jc w:val="center"/>
              <w:cnfStyle w:val="000000100000"/>
            </w:pPr>
            <w:r w:rsidRPr="007C2D51">
              <w:t># one-way trips</w:t>
            </w:r>
          </w:p>
        </w:tc>
        <w:tc>
          <w:tcPr>
            <w:tcW w:w="1296" w:type="dxa"/>
            <w:tcBorders>
              <w:top w:val="none" w:sz="0" w:space="0" w:color="auto"/>
              <w:bottom w:val="none" w:sz="0" w:space="0" w:color="auto"/>
            </w:tcBorders>
            <w:noWrap/>
            <w:vAlign w:val="bottom"/>
          </w:tcPr>
          <w:p w:rsidR="001178B1" w:rsidRPr="007C2D51" w:rsidRDefault="001178B1" w:rsidP="006D0A38">
            <w:pPr>
              <w:jc w:val="center"/>
              <w:cnfStyle w:val="000000100000"/>
            </w:pPr>
            <w:r w:rsidRPr="007C2D51">
              <w:t># one-way trips</w:t>
            </w:r>
          </w:p>
        </w:tc>
        <w:tc>
          <w:tcPr>
            <w:tcW w:w="1296" w:type="dxa"/>
            <w:tcBorders>
              <w:top w:val="none" w:sz="0" w:space="0" w:color="auto"/>
              <w:bottom w:val="none" w:sz="0" w:space="0" w:color="auto"/>
            </w:tcBorders>
            <w:noWrap/>
            <w:vAlign w:val="bottom"/>
          </w:tcPr>
          <w:p w:rsidR="001178B1" w:rsidRPr="007C2D51" w:rsidRDefault="001178B1" w:rsidP="006D0A38">
            <w:pPr>
              <w:jc w:val="center"/>
              <w:cnfStyle w:val="000000100000"/>
            </w:pPr>
            <w:r w:rsidRPr="007C2D51">
              <w:t># one-way trips</w:t>
            </w:r>
          </w:p>
        </w:tc>
        <w:tc>
          <w:tcPr>
            <w:tcW w:w="1296" w:type="dxa"/>
            <w:tcBorders>
              <w:top w:val="none" w:sz="0" w:space="0" w:color="auto"/>
              <w:bottom w:val="none" w:sz="0" w:space="0" w:color="auto"/>
              <w:right w:val="none" w:sz="0" w:space="0" w:color="auto"/>
            </w:tcBorders>
            <w:shd w:val="clear" w:color="auto" w:fill="D9D9D9" w:themeFill="background1" w:themeFillShade="D9"/>
            <w:noWrap/>
            <w:vAlign w:val="bottom"/>
          </w:tcPr>
          <w:p w:rsidR="001178B1" w:rsidRPr="007C2D51" w:rsidRDefault="001178B1" w:rsidP="006D0A38">
            <w:pPr>
              <w:jc w:val="center"/>
              <w:cnfStyle w:val="000000100000"/>
            </w:pPr>
          </w:p>
        </w:tc>
      </w:tr>
      <w:tr w:rsidR="001178B1" w:rsidRPr="007C2D51" w:rsidTr="00F15767">
        <w:trPr>
          <w:trHeight w:val="300"/>
          <w:jc w:val="center"/>
        </w:trPr>
        <w:tc>
          <w:tcPr>
            <w:cnfStyle w:val="001000000000"/>
            <w:tcW w:w="2880" w:type="dxa"/>
            <w:noWrap/>
            <w:vAlign w:val="bottom"/>
          </w:tcPr>
          <w:p w:rsidR="001178B1" w:rsidRPr="007C2D51" w:rsidRDefault="001178B1" w:rsidP="006D0A38">
            <w:r w:rsidRPr="007C2D51">
              <w:t>Flexible routing</w:t>
            </w:r>
          </w:p>
        </w:tc>
        <w:tc>
          <w:tcPr>
            <w:tcW w:w="1296" w:type="dxa"/>
            <w:noWrap/>
            <w:vAlign w:val="bottom"/>
          </w:tcPr>
          <w:p w:rsidR="001178B1" w:rsidRPr="007C2D51" w:rsidRDefault="001178B1" w:rsidP="006D0A38">
            <w:pPr>
              <w:jc w:val="center"/>
              <w:cnfStyle w:val="000000000000"/>
            </w:pPr>
            <w:r w:rsidRPr="007C2D51">
              <w:t># one-way trips</w:t>
            </w:r>
          </w:p>
        </w:tc>
        <w:tc>
          <w:tcPr>
            <w:tcW w:w="1296" w:type="dxa"/>
            <w:noWrap/>
            <w:vAlign w:val="bottom"/>
          </w:tcPr>
          <w:p w:rsidR="001178B1" w:rsidRPr="007C2D51" w:rsidRDefault="001178B1" w:rsidP="006D0A38">
            <w:pPr>
              <w:jc w:val="center"/>
              <w:cnfStyle w:val="000000000000"/>
            </w:pPr>
            <w:r w:rsidRPr="007C2D51">
              <w:t># one-way trips</w:t>
            </w:r>
          </w:p>
        </w:tc>
        <w:tc>
          <w:tcPr>
            <w:tcW w:w="1296" w:type="dxa"/>
            <w:noWrap/>
            <w:vAlign w:val="bottom"/>
          </w:tcPr>
          <w:p w:rsidR="001178B1" w:rsidRPr="007C2D51" w:rsidRDefault="001178B1" w:rsidP="006D0A38">
            <w:pPr>
              <w:jc w:val="center"/>
              <w:cnfStyle w:val="000000000000"/>
            </w:pPr>
            <w:r w:rsidRPr="007C2D51">
              <w:t># one-way trips</w:t>
            </w:r>
          </w:p>
        </w:tc>
        <w:tc>
          <w:tcPr>
            <w:tcW w:w="1296" w:type="dxa"/>
            <w:noWrap/>
            <w:vAlign w:val="bottom"/>
          </w:tcPr>
          <w:p w:rsidR="001178B1" w:rsidRPr="007C2D51" w:rsidRDefault="001178B1" w:rsidP="006D0A38">
            <w:pPr>
              <w:jc w:val="center"/>
              <w:cnfStyle w:val="000000000000"/>
            </w:pPr>
            <w:r w:rsidRPr="007C2D51">
              <w:t># one-way trips</w:t>
            </w:r>
          </w:p>
        </w:tc>
        <w:tc>
          <w:tcPr>
            <w:tcW w:w="1296" w:type="dxa"/>
            <w:shd w:val="clear" w:color="auto" w:fill="D9D9D9" w:themeFill="background1" w:themeFillShade="D9"/>
            <w:noWrap/>
            <w:vAlign w:val="bottom"/>
          </w:tcPr>
          <w:p w:rsidR="001178B1" w:rsidRPr="007C2D51" w:rsidRDefault="001178B1" w:rsidP="006D0A38">
            <w:pPr>
              <w:jc w:val="center"/>
              <w:cnfStyle w:val="000000000000"/>
            </w:pPr>
          </w:p>
        </w:tc>
      </w:tr>
      <w:tr w:rsidR="001178B1" w:rsidRPr="007C2D51" w:rsidTr="00F15767">
        <w:trPr>
          <w:cnfStyle w:val="000000100000"/>
          <w:trHeight w:val="300"/>
          <w:jc w:val="center"/>
        </w:trPr>
        <w:tc>
          <w:tcPr>
            <w:cnfStyle w:val="001000000000"/>
            <w:tcW w:w="2880" w:type="dxa"/>
            <w:tcBorders>
              <w:top w:val="none" w:sz="0" w:space="0" w:color="auto"/>
              <w:left w:val="none" w:sz="0" w:space="0" w:color="auto"/>
              <w:bottom w:val="none" w:sz="0" w:space="0" w:color="auto"/>
            </w:tcBorders>
            <w:noWrap/>
            <w:vAlign w:val="bottom"/>
          </w:tcPr>
          <w:p w:rsidR="001178B1" w:rsidRPr="007C2D51" w:rsidRDefault="001178B1" w:rsidP="006D0A38">
            <w:r w:rsidRPr="007C2D51">
              <w:t>Shuttle/Feeders</w:t>
            </w:r>
          </w:p>
        </w:tc>
        <w:tc>
          <w:tcPr>
            <w:tcW w:w="1296" w:type="dxa"/>
            <w:tcBorders>
              <w:top w:val="none" w:sz="0" w:space="0" w:color="auto"/>
              <w:bottom w:val="none" w:sz="0" w:space="0" w:color="auto"/>
            </w:tcBorders>
            <w:noWrap/>
            <w:vAlign w:val="bottom"/>
          </w:tcPr>
          <w:p w:rsidR="001178B1" w:rsidRPr="007C2D51" w:rsidRDefault="001178B1" w:rsidP="006D0A38">
            <w:pPr>
              <w:jc w:val="center"/>
              <w:cnfStyle w:val="000000100000"/>
            </w:pPr>
            <w:r w:rsidRPr="007C2D51">
              <w:t># one-way trips</w:t>
            </w:r>
          </w:p>
        </w:tc>
        <w:tc>
          <w:tcPr>
            <w:tcW w:w="1296" w:type="dxa"/>
            <w:tcBorders>
              <w:top w:val="none" w:sz="0" w:space="0" w:color="auto"/>
              <w:bottom w:val="none" w:sz="0" w:space="0" w:color="auto"/>
            </w:tcBorders>
            <w:noWrap/>
            <w:vAlign w:val="bottom"/>
          </w:tcPr>
          <w:p w:rsidR="001178B1" w:rsidRPr="007C2D51" w:rsidRDefault="001178B1" w:rsidP="006D0A38">
            <w:pPr>
              <w:jc w:val="center"/>
              <w:cnfStyle w:val="000000100000"/>
            </w:pPr>
            <w:r w:rsidRPr="007C2D51">
              <w:t># one-way trips</w:t>
            </w:r>
          </w:p>
        </w:tc>
        <w:tc>
          <w:tcPr>
            <w:tcW w:w="1296" w:type="dxa"/>
            <w:tcBorders>
              <w:top w:val="none" w:sz="0" w:space="0" w:color="auto"/>
              <w:bottom w:val="none" w:sz="0" w:space="0" w:color="auto"/>
            </w:tcBorders>
            <w:noWrap/>
            <w:vAlign w:val="bottom"/>
          </w:tcPr>
          <w:p w:rsidR="001178B1" w:rsidRPr="007C2D51" w:rsidRDefault="001178B1" w:rsidP="006D0A38">
            <w:pPr>
              <w:jc w:val="center"/>
              <w:cnfStyle w:val="000000100000"/>
            </w:pPr>
            <w:r w:rsidRPr="007C2D51">
              <w:t># one-way trips</w:t>
            </w:r>
          </w:p>
        </w:tc>
        <w:tc>
          <w:tcPr>
            <w:tcW w:w="1296" w:type="dxa"/>
            <w:tcBorders>
              <w:top w:val="none" w:sz="0" w:space="0" w:color="auto"/>
              <w:bottom w:val="none" w:sz="0" w:space="0" w:color="auto"/>
            </w:tcBorders>
            <w:noWrap/>
            <w:vAlign w:val="bottom"/>
          </w:tcPr>
          <w:p w:rsidR="001178B1" w:rsidRPr="007C2D51" w:rsidRDefault="001178B1" w:rsidP="006D0A38">
            <w:pPr>
              <w:jc w:val="center"/>
              <w:cnfStyle w:val="000000100000"/>
            </w:pPr>
            <w:r w:rsidRPr="007C2D51">
              <w:t># one-way trips</w:t>
            </w:r>
          </w:p>
        </w:tc>
        <w:tc>
          <w:tcPr>
            <w:tcW w:w="1296" w:type="dxa"/>
            <w:tcBorders>
              <w:top w:val="none" w:sz="0" w:space="0" w:color="auto"/>
              <w:bottom w:val="none" w:sz="0" w:space="0" w:color="auto"/>
              <w:right w:val="none" w:sz="0" w:space="0" w:color="auto"/>
            </w:tcBorders>
            <w:shd w:val="clear" w:color="auto" w:fill="D9D9D9" w:themeFill="background1" w:themeFillShade="D9"/>
            <w:noWrap/>
            <w:vAlign w:val="bottom"/>
          </w:tcPr>
          <w:p w:rsidR="001178B1" w:rsidRPr="007C2D51" w:rsidRDefault="001178B1" w:rsidP="006D0A38">
            <w:pPr>
              <w:jc w:val="center"/>
              <w:cnfStyle w:val="000000100000"/>
            </w:pPr>
          </w:p>
        </w:tc>
      </w:tr>
      <w:tr w:rsidR="001178B1" w:rsidRPr="007C2D51" w:rsidTr="00F15767">
        <w:trPr>
          <w:trHeight w:val="300"/>
          <w:jc w:val="center"/>
        </w:trPr>
        <w:tc>
          <w:tcPr>
            <w:cnfStyle w:val="001000000000"/>
            <w:tcW w:w="2880" w:type="dxa"/>
            <w:noWrap/>
            <w:vAlign w:val="bottom"/>
          </w:tcPr>
          <w:p w:rsidR="001178B1" w:rsidRPr="007C2D51" w:rsidRDefault="001178B1" w:rsidP="006D0A38">
            <w:r w:rsidRPr="007C2D51">
              <w:t>Demand response</w:t>
            </w:r>
          </w:p>
        </w:tc>
        <w:tc>
          <w:tcPr>
            <w:tcW w:w="1296" w:type="dxa"/>
            <w:noWrap/>
            <w:vAlign w:val="bottom"/>
          </w:tcPr>
          <w:p w:rsidR="001178B1" w:rsidRPr="007C2D51" w:rsidRDefault="001178B1" w:rsidP="006D0A38">
            <w:pPr>
              <w:jc w:val="center"/>
              <w:cnfStyle w:val="000000000000"/>
            </w:pPr>
            <w:r w:rsidRPr="007C2D51">
              <w:t># one-way trips</w:t>
            </w:r>
          </w:p>
        </w:tc>
        <w:tc>
          <w:tcPr>
            <w:tcW w:w="1296" w:type="dxa"/>
            <w:noWrap/>
            <w:vAlign w:val="bottom"/>
          </w:tcPr>
          <w:p w:rsidR="001178B1" w:rsidRPr="007C2D51" w:rsidRDefault="001178B1" w:rsidP="006D0A38">
            <w:pPr>
              <w:jc w:val="center"/>
              <w:cnfStyle w:val="000000000000"/>
            </w:pPr>
            <w:r w:rsidRPr="007C2D51">
              <w:t># one-way trips</w:t>
            </w:r>
          </w:p>
        </w:tc>
        <w:tc>
          <w:tcPr>
            <w:tcW w:w="1296" w:type="dxa"/>
            <w:noWrap/>
            <w:vAlign w:val="bottom"/>
          </w:tcPr>
          <w:p w:rsidR="001178B1" w:rsidRPr="007C2D51" w:rsidRDefault="001178B1" w:rsidP="006D0A38">
            <w:pPr>
              <w:jc w:val="center"/>
              <w:cnfStyle w:val="000000000000"/>
            </w:pPr>
            <w:r w:rsidRPr="007C2D51">
              <w:t># one-way trips</w:t>
            </w:r>
          </w:p>
        </w:tc>
        <w:tc>
          <w:tcPr>
            <w:tcW w:w="1296" w:type="dxa"/>
            <w:noWrap/>
            <w:vAlign w:val="bottom"/>
          </w:tcPr>
          <w:p w:rsidR="001178B1" w:rsidRPr="007C2D51" w:rsidRDefault="001178B1" w:rsidP="006D0A38">
            <w:pPr>
              <w:jc w:val="center"/>
              <w:cnfStyle w:val="000000000000"/>
            </w:pPr>
            <w:r w:rsidRPr="007C2D51">
              <w:t># one-way trips</w:t>
            </w:r>
          </w:p>
        </w:tc>
        <w:tc>
          <w:tcPr>
            <w:tcW w:w="1296" w:type="dxa"/>
            <w:shd w:val="clear" w:color="auto" w:fill="D9D9D9" w:themeFill="background1" w:themeFillShade="D9"/>
            <w:noWrap/>
            <w:vAlign w:val="bottom"/>
          </w:tcPr>
          <w:p w:rsidR="001178B1" w:rsidRPr="007C2D51" w:rsidRDefault="001178B1" w:rsidP="006D0A38">
            <w:pPr>
              <w:jc w:val="center"/>
              <w:cnfStyle w:val="000000000000"/>
            </w:pPr>
          </w:p>
        </w:tc>
      </w:tr>
      <w:tr w:rsidR="001178B1" w:rsidRPr="007C2D51" w:rsidTr="00F15767">
        <w:trPr>
          <w:cnfStyle w:val="000000100000"/>
          <w:trHeight w:val="300"/>
          <w:jc w:val="center"/>
        </w:trPr>
        <w:tc>
          <w:tcPr>
            <w:cnfStyle w:val="001000000000"/>
            <w:tcW w:w="2880" w:type="dxa"/>
            <w:tcBorders>
              <w:top w:val="none" w:sz="0" w:space="0" w:color="auto"/>
              <w:left w:val="none" w:sz="0" w:space="0" w:color="auto"/>
              <w:bottom w:val="none" w:sz="0" w:space="0" w:color="auto"/>
            </w:tcBorders>
            <w:noWrap/>
            <w:vAlign w:val="bottom"/>
          </w:tcPr>
          <w:p w:rsidR="001178B1" w:rsidRPr="007C2D51" w:rsidRDefault="001178B1" w:rsidP="006D0A38">
            <w:r w:rsidRPr="007C2D51">
              <w:t>Vanpool service</w:t>
            </w:r>
          </w:p>
        </w:tc>
        <w:tc>
          <w:tcPr>
            <w:tcW w:w="1296" w:type="dxa"/>
            <w:tcBorders>
              <w:top w:val="none" w:sz="0" w:space="0" w:color="auto"/>
              <w:bottom w:val="none" w:sz="0" w:space="0" w:color="auto"/>
            </w:tcBorders>
            <w:shd w:val="clear" w:color="auto" w:fill="D9D9D9" w:themeFill="background1" w:themeFillShade="D9"/>
            <w:noWrap/>
            <w:vAlign w:val="bottom"/>
          </w:tcPr>
          <w:p w:rsidR="001178B1" w:rsidRPr="007C2D51" w:rsidRDefault="001178B1" w:rsidP="006D0A38">
            <w:pPr>
              <w:jc w:val="center"/>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1178B1" w:rsidRPr="007C2D51" w:rsidRDefault="001178B1" w:rsidP="006D0A38">
            <w:pPr>
              <w:jc w:val="center"/>
              <w:cnfStyle w:val="000000100000"/>
            </w:pPr>
          </w:p>
        </w:tc>
        <w:tc>
          <w:tcPr>
            <w:tcW w:w="1296" w:type="dxa"/>
            <w:tcBorders>
              <w:top w:val="none" w:sz="0" w:space="0" w:color="auto"/>
              <w:bottom w:val="none" w:sz="0" w:space="0" w:color="auto"/>
            </w:tcBorders>
            <w:noWrap/>
            <w:vAlign w:val="bottom"/>
          </w:tcPr>
          <w:p w:rsidR="001178B1" w:rsidRPr="007C2D51" w:rsidRDefault="001178B1" w:rsidP="006D0A38">
            <w:pPr>
              <w:jc w:val="center"/>
              <w:cnfStyle w:val="000000100000"/>
            </w:pPr>
            <w:r w:rsidRPr="007C2D51">
              <w:t># one-way trips</w:t>
            </w:r>
          </w:p>
        </w:tc>
        <w:tc>
          <w:tcPr>
            <w:tcW w:w="1296" w:type="dxa"/>
            <w:tcBorders>
              <w:top w:val="none" w:sz="0" w:space="0" w:color="auto"/>
              <w:bottom w:val="none" w:sz="0" w:space="0" w:color="auto"/>
            </w:tcBorders>
            <w:noWrap/>
            <w:vAlign w:val="bottom"/>
          </w:tcPr>
          <w:p w:rsidR="001178B1" w:rsidRPr="007C2D51" w:rsidRDefault="001178B1" w:rsidP="006D0A38">
            <w:pPr>
              <w:jc w:val="center"/>
              <w:cnfStyle w:val="000000100000"/>
            </w:pPr>
            <w:r w:rsidRPr="007C2D51">
              <w:t># one-way trips</w:t>
            </w:r>
          </w:p>
        </w:tc>
        <w:tc>
          <w:tcPr>
            <w:tcW w:w="1296" w:type="dxa"/>
            <w:tcBorders>
              <w:top w:val="none" w:sz="0" w:space="0" w:color="auto"/>
              <w:bottom w:val="none" w:sz="0" w:space="0" w:color="auto"/>
              <w:right w:val="none" w:sz="0" w:space="0" w:color="auto"/>
            </w:tcBorders>
            <w:shd w:val="clear" w:color="auto" w:fill="D9D9D9" w:themeFill="background1" w:themeFillShade="D9"/>
            <w:noWrap/>
            <w:vAlign w:val="bottom"/>
          </w:tcPr>
          <w:p w:rsidR="001178B1" w:rsidRPr="007C2D51" w:rsidRDefault="001178B1" w:rsidP="006D0A38">
            <w:pPr>
              <w:jc w:val="center"/>
              <w:cnfStyle w:val="000000100000"/>
            </w:pPr>
          </w:p>
        </w:tc>
      </w:tr>
      <w:tr w:rsidR="001178B1" w:rsidRPr="007C2D51" w:rsidTr="00F15767">
        <w:trPr>
          <w:trHeight w:val="300"/>
          <w:jc w:val="center"/>
        </w:trPr>
        <w:tc>
          <w:tcPr>
            <w:cnfStyle w:val="001000000000"/>
            <w:tcW w:w="2880" w:type="dxa"/>
            <w:noWrap/>
            <w:vAlign w:val="bottom"/>
          </w:tcPr>
          <w:p w:rsidR="001178B1" w:rsidRPr="007C2D51" w:rsidRDefault="001178B1" w:rsidP="006D0A38">
            <w:r w:rsidRPr="007C2D51">
              <w:t>User-side subsidy</w:t>
            </w:r>
          </w:p>
        </w:tc>
        <w:tc>
          <w:tcPr>
            <w:tcW w:w="1296" w:type="dxa"/>
            <w:noWrap/>
            <w:vAlign w:val="bottom"/>
          </w:tcPr>
          <w:p w:rsidR="001178B1" w:rsidRPr="007C2D51" w:rsidRDefault="001178B1" w:rsidP="006D0A38">
            <w:pPr>
              <w:jc w:val="center"/>
              <w:cnfStyle w:val="000000000000"/>
            </w:pPr>
            <w:r w:rsidRPr="007C2D51">
              <w:t># one-way trips</w:t>
            </w:r>
          </w:p>
        </w:tc>
        <w:tc>
          <w:tcPr>
            <w:tcW w:w="1296" w:type="dxa"/>
            <w:noWrap/>
            <w:vAlign w:val="bottom"/>
          </w:tcPr>
          <w:p w:rsidR="001178B1" w:rsidRPr="007C2D51" w:rsidRDefault="001178B1" w:rsidP="006D0A38">
            <w:pPr>
              <w:jc w:val="center"/>
              <w:cnfStyle w:val="000000000000"/>
            </w:pPr>
            <w:r w:rsidRPr="007C2D51">
              <w:t># one-way trips</w:t>
            </w:r>
          </w:p>
        </w:tc>
        <w:tc>
          <w:tcPr>
            <w:tcW w:w="1296" w:type="dxa"/>
            <w:noWrap/>
            <w:vAlign w:val="bottom"/>
          </w:tcPr>
          <w:p w:rsidR="001178B1" w:rsidRPr="007C2D51" w:rsidRDefault="001178B1" w:rsidP="006D0A38">
            <w:pPr>
              <w:jc w:val="center"/>
              <w:cnfStyle w:val="000000000000"/>
            </w:pPr>
            <w:r w:rsidRPr="007C2D51">
              <w:t># one-way trips</w:t>
            </w:r>
          </w:p>
        </w:tc>
        <w:tc>
          <w:tcPr>
            <w:tcW w:w="1296" w:type="dxa"/>
            <w:noWrap/>
            <w:vAlign w:val="bottom"/>
          </w:tcPr>
          <w:p w:rsidR="001178B1" w:rsidRPr="007C2D51" w:rsidRDefault="001178B1" w:rsidP="006D0A38">
            <w:pPr>
              <w:jc w:val="center"/>
              <w:cnfStyle w:val="000000000000"/>
            </w:pPr>
            <w:r w:rsidRPr="007C2D51">
              <w:t># one-way trips</w:t>
            </w:r>
          </w:p>
        </w:tc>
        <w:tc>
          <w:tcPr>
            <w:tcW w:w="1296" w:type="dxa"/>
            <w:shd w:val="clear" w:color="auto" w:fill="D9D9D9" w:themeFill="background1" w:themeFillShade="D9"/>
            <w:noWrap/>
            <w:vAlign w:val="bottom"/>
          </w:tcPr>
          <w:p w:rsidR="001178B1" w:rsidRPr="007C2D51" w:rsidRDefault="001178B1" w:rsidP="006D0A38">
            <w:pPr>
              <w:jc w:val="center"/>
              <w:cnfStyle w:val="000000000000"/>
            </w:pPr>
          </w:p>
        </w:tc>
      </w:tr>
      <w:tr w:rsidR="00D65DB1" w:rsidRPr="007C2D51" w:rsidTr="00F15767">
        <w:trPr>
          <w:cnfStyle w:val="000000100000"/>
          <w:trHeight w:val="300"/>
          <w:jc w:val="center"/>
        </w:trPr>
        <w:tc>
          <w:tcPr>
            <w:cnfStyle w:val="001000000000"/>
            <w:tcW w:w="2880" w:type="dxa"/>
            <w:tcBorders>
              <w:top w:val="none" w:sz="0" w:space="0" w:color="auto"/>
              <w:left w:val="none" w:sz="0" w:space="0" w:color="auto"/>
              <w:bottom w:val="none" w:sz="0" w:space="0" w:color="auto"/>
            </w:tcBorders>
            <w:shd w:val="clear" w:color="auto" w:fill="475A8D" w:themeFill="accent6"/>
            <w:noWrap/>
            <w:vAlign w:val="bottom"/>
          </w:tcPr>
          <w:p w:rsidR="00D65DB1" w:rsidRPr="007C2D51" w:rsidRDefault="00D65DB1" w:rsidP="006D0A38">
            <w:pPr>
              <w:rPr>
                <w:color w:val="FFFFFF" w:themeColor="background1"/>
              </w:rPr>
            </w:pPr>
            <w:r w:rsidRPr="007C2D51">
              <w:rPr>
                <w:color w:val="FFFFFF" w:themeColor="background1"/>
              </w:rPr>
              <w:t>II</w:t>
            </w:r>
            <w:r w:rsidR="00CE332B" w:rsidRPr="007C2D51">
              <w:rPr>
                <w:color w:val="FFFFFF" w:themeColor="background1"/>
              </w:rPr>
              <w:t xml:space="preserve">.  </w:t>
            </w:r>
            <w:r w:rsidRPr="007C2D51">
              <w:rPr>
                <w:color w:val="FFFFFF" w:themeColor="background1"/>
              </w:rPr>
              <w:t xml:space="preserve">Information-Based </w:t>
            </w:r>
          </w:p>
        </w:tc>
        <w:tc>
          <w:tcPr>
            <w:tcW w:w="1296" w:type="dxa"/>
            <w:tcBorders>
              <w:top w:val="none" w:sz="0" w:space="0" w:color="auto"/>
              <w:bottom w:val="none" w:sz="0" w:space="0" w:color="auto"/>
            </w:tcBorders>
            <w:shd w:val="clear" w:color="auto" w:fill="475A8D" w:themeFill="accent6"/>
            <w:noWrap/>
            <w:vAlign w:val="bottom"/>
          </w:tcPr>
          <w:p w:rsidR="00D65DB1" w:rsidRPr="007C2D51" w:rsidRDefault="00D65DB1" w:rsidP="006D0A38">
            <w:pPr>
              <w:jc w:val="center"/>
              <w:cnfStyle w:val="000000100000"/>
              <w:rPr>
                <w:color w:val="FFFFFF" w:themeColor="background1"/>
              </w:rPr>
            </w:pPr>
          </w:p>
        </w:tc>
        <w:tc>
          <w:tcPr>
            <w:tcW w:w="1296" w:type="dxa"/>
            <w:tcBorders>
              <w:top w:val="none" w:sz="0" w:space="0" w:color="auto"/>
              <w:bottom w:val="none" w:sz="0" w:space="0" w:color="auto"/>
            </w:tcBorders>
            <w:shd w:val="clear" w:color="auto" w:fill="475A8D" w:themeFill="accent6"/>
            <w:noWrap/>
            <w:vAlign w:val="bottom"/>
          </w:tcPr>
          <w:p w:rsidR="00D65DB1" w:rsidRPr="007C2D51" w:rsidRDefault="00D65DB1" w:rsidP="006D0A38">
            <w:pPr>
              <w:jc w:val="center"/>
              <w:cnfStyle w:val="000000100000"/>
              <w:rPr>
                <w:color w:val="FFFFFF" w:themeColor="background1"/>
              </w:rPr>
            </w:pPr>
          </w:p>
        </w:tc>
        <w:tc>
          <w:tcPr>
            <w:tcW w:w="1296" w:type="dxa"/>
            <w:tcBorders>
              <w:top w:val="none" w:sz="0" w:space="0" w:color="auto"/>
              <w:bottom w:val="none" w:sz="0" w:space="0" w:color="auto"/>
            </w:tcBorders>
            <w:shd w:val="clear" w:color="auto" w:fill="475A8D" w:themeFill="accent6"/>
            <w:noWrap/>
            <w:vAlign w:val="bottom"/>
          </w:tcPr>
          <w:p w:rsidR="00D65DB1" w:rsidRPr="007C2D51" w:rsidRDefault="00D65DB1" w:rsidP="006D0A38">
            <w:pPr>
              <w:jc w:val="center"/>
              <w:cnfStyle w:val="000000100000"/>
              <w:rPr>
                <w:color w:val="FFFFFF" w:themeColor="background1"/>
              </w:rPr>
            </w:pPr>
          </w:p>
        </w:tc>
        <w:tc>
          <w:tcPr>
            <w:tcW w:w="1296" w:type="dxa"/>
            <w:tcBorders>
              <w:top w:val="none" w:sz="0" w:space="0" w:color="auto"/>
              <w:bottom w:val="none" w:sz="0" w:space="0" w:color="auto"/>
            </w:tcBorders>
            <w:shd w:val="clear" w:color="auto" w:fill="475A8D" w:themeFill="accent6"/>
            <w:noWrap/>
            <w:vAlign w:val="bottom"/>
          </w:tcPr>
          <w:p w:rsidR="00D65DB1" w:rsidRPr="007C2D51" w:rsidRDefault="00D65DB1" w:rsidP="006D0A38">
            <w:pPr>
              <w:jc w:val="center"/>
              <w:cnfStyle w:val="000000100000"/>
              <w:rPr>
                <w:color w:val="FFFFFF" w:themeColor="background1"/>
              </w:rPr>
            </w:pPr>
          </w:p>
        </w:tc>
        <w:tc>
          <w:tcPr>
            <w:tcW w:w="1296" w:type="dxa"/>
            <w:tcBorders>
              <w:top w:val="none" w:sz="0" w:space="0" w:color="auto"/>
              <w:bottom w:val="none" w:sz="0" w:space="0" w:color="auto"/>
              <w:right w:val="none" w:sz="0" w:space="0" w:color="auto"/>
            </w:tcBorders>
            <w:shd w:val="clear" w:color="auto" w:fill="475A8D" w:themeFill="accent6"/>
            <w:noWrap/>
            <w:vAlign w:val="bottom"/>
          </w:tcPr>
          <w:p w:rsidR="00D65DB1" w:rsidRPr="007C2D51" w:rsidRDefault="00D65DB1" w:rsidP="006D0A38">
            <w:pPr>
              <w:jc w:val="center"/>
              <w:cnfStyle w:val="000000100000"/>
              <w:rPr>
                <w:color w:val="FFFFFF" w:themeColor="background1"/>
              </w:rPr>
            </w:pPr>
          </w:p>
        </w:tc>
      </w:tr>
      <w:tr w:rsidR="001178B1" w:rsidRPr="007C2D51" w:rsidTr="00F15767">
        <w:trPr>
          <w:trHeight w:val="300"/>
          <w:jc w:val="center"/>
        </w:trPr>
        <w:tc>
          <w:tcPr>
            <w:cnfStyle w:val="001000000000"/>
            <w:tcW w:w="2880" w:type="dxa"/>
            <w:noWrap/>
            <w:vAlign w:val="bottom"/>
          </w:tcPr>
          <w:p w:rsidR="001178B1" w:rsidRPr="007C2D51" w:rsidRDefault="001178B1" w:rsidP="006D0A38">
            <w:r w:rsidRPr="007C2D51">
              <w:t>Mobility manager</w:t>
            </w:r>
          </w:p>
        </w:tc>
        <w:tc>
          <w:tcPr>
            <w:tcW w:w="1296" w:type="dxa"/>
            <w:shd w:val="clear" w:color="auto" w:fill="D9D9D9" w:themeFill="background1" w:themeFillShade="D9"/>
            <w:noWrap/>
            <w:vAlign w:val="bottom"/>
          </w:tcPr>
          <w:p w:rsidR="001178B1" w:rsidRPr="007C2D51" w:rsidRDefault="001178B1" w:rsidP="006D0A38">
            <w:pPr>
              <w:jc w:val="center"/>
              <w:cnfStyle w:val="000000000000"/>
            </w:pPr>
          </w:p>
        </w:tc>
        <w:tc>
          <w:tcPr>
            <w:tcW w:w="1296" w:type="dxa"/>
            <w:shd w:val="clear" w:color="auto" w:fill="D9D9D9" w:themeFill="background1" w:themeFillShade="D9"/>
            <w:noWrap/>
            <w:vAlign w:val="bottom"/>
          </w:tcPr>
          <w:p w:rsidR="001178B1" w:rsidRPr="007C2D51" w:rsidRDefault="001178B1" w:rsidP="006D0A38">
            <w:pPr>
              <w:jc w:val="center"/>
              <w:cnfStyle w:val="000000000000"/>
            </w:pPr>
          </w:p>
        </w:tc>
        <w:tc>
          <w:tcPr>
            <w:tcW w:w="1296" w:type="dxa"/>
            <w:shd w:val="clear" w:color="auto" w:fill="D9D9D9" w:themeFill="background1" w:themeFillShade="D9"/>
            <w:noWrap/>
            <w:vAlign w:val="bottom"/>
          </w:tcPr>
          <w:p w:rsidR="001178B1" w:rsidRPr="007C2D51" w:rsidRDefault="001178B1" w:rsidP="006D0A38">
            <w:pPr>
              <w:jc w:val="center"/>
              <w:cnfStyle w:val="000000000000"/>
            </w:pPr>
          </w:p>
        </w:tc>
        <w:tc>
          <w:tcPr>
            <w:tcW w:w="1296" w:type="dxa"/>
            <w:noWrap/>
            <w:vAlign w:val="bottom"/>
          </w:tcPr>
          <w:p w:rsidR="001178B1" w:rsidRPr="007C2D51" w:rsidRDefault="001178B1" w:rsidP="006D0A38">
            <w:pPr>
              <w:jc w:val="center"/>
              <w:cnfStyle w:val="000000000000"/>
            </w:pPr>
            <w:r w:rsidRPr="007C2D51">
              <w:t># one-way trips</w:t>
            </w:r>
          </w:p>
          <w:p w:rsidR="001178B1" w:rsidRPr="007C2D51" w:rsidRDefault="001178B1" w:rsidP="006D0A38">
            <w:pPr>
              <w:jc w:val="center"/>
              <w:cnfStyle w:val="000000000000"/>
            </w:pPr>
            <w:r w:rsidRPr="007C2D51">
              <w:t>#customer contacts</w:t>
            </w:r>
          </w:p>
        </w:tc>
        <w:tc>
          <w:tcPr>
            <w:tcW w:w="1296" w:type="dxa"/>
            <w:shd w:val="clear" w:color="auto" w:fill="D9D9D9" w:themeFill="background1" w:themeFillShade="D9"/>
            <w:noWrap/>
            <w:vAlign w:val="bottom"/>
          </w:tcPr>
          <w:p w:rsidR="001178B1" w:rsidRPr="007C2D51" w:rsidRDefault="001178B1" w:rsidP="006D0A38">
            <w:pPr>
              <w:jc w:val="center"/>
              <w:cnfStyle w:val="000000000000"/>
            </w:pPr>
          </w:p>
        </w:tc>
      </w:tr>
      <w:tr w:rsidR="00D65DB1" w:rsidRPr="007C2D51" w:rsidTr="00F15767">
        <w:trPr>
          <w:cnfStyle w:val="000000100000"/>
          <w:trHeight w:val="300"/>
          <w:jc w:val="center"/>
        </w:trPr>
        <w:tc>
          <w:tcPr>
            <w:cnfStyle w:val="001000000000"/>
            <w:tcW w:w="2880" w:type="dxa"/>
            <w:tcBorders>
              <w:top w:val="none" w:sz="0" w:space="0" w:color="auto"/>
              <w:left w:val="none" w:sz="0" w:space="0" w:color="auto"/>
              <w:bottom w:val="none" w:sz="0" w:space="0" w:color="auto"/>
            </w:tcBorders>
            <w:noWrap/>
            <w:vAlign w:val="bottom"/>
          </w:tcPr>
          <w:p w:rsidR="00D65DB1" w:rsidRPr="007C2D51" w:rsidRDefault="00D65DB1" w:rsidP="006D0A38">
            <w:r w:rsidRPr="007C2D51">
              <w:t>One-stop center</w:t>
            </w:r>
          </w:p>
        </w:tc>
        <w:tc>
          <w:tcPr>
            <w:tcW w:w="1296" w:type="dxa"/>
            <w:tcBorders>
              <w:top w:val="none" w:sz="0" w:space="0" w:color="auto"/>
              <w:bottom w:val="none" w:sz="0" w:space="0" w:color="auto"/>
            </w:tcBorders>
            <w:shd w:val="clear" w:color="auto" w:fill="D9D9D9" w:themeFill="background1" w:themeFillShade="D9"/>
            <w:noWrap/>
            <w:vAlign w:val="bottom"/>
          </w:tcPr>
          <w:p w:rsidR="00D65DB1" w:rsidRPr="007C2D51" w:rsidRDefault="00D65DB1" w:rsidP="006D0A38">
            <w:pPr>
              <w:jc w:val="center"/>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D65DB1" w:rsidRPr="007C2D51" w:rsidRDefault="00D65DB1" w:rsidP="006D0A38">
            <w:pPr>
              <w:jc w:val="center"/>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D65DB1" w:rsidRPr="007C2D51" w:rsidRDefault="00D65DB1" w:rsidP="006D0A38">
            <w:pPr>
              <w:jc w:val="center"/>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D65DB1" w:rsidRPr="007C2D51" w:rsidRDefault="00D65DB1" w:rsidP="006D0A38">
            <w:pPr>
              <w:jc w:val="center"/>
              <w:cnfStyle w:val="000000100000"/>
            </w:pPr>
          </w:p>
        </w:tc>
        <w:tc>
          <w:tcPr>
            <w:tcW w:w="1296" w:type="dxa"/>
            <w:tcBorders>
              <w:top w:val="none" w:sz="0" w:space="0" w:color="auto"/>
              <w:bottom w:val="none" w:sz="0" w:space="0" w:color="auto"/>
              <w:right w:val="none" w:sz="0" w:space="0" w:color="auto"/>
            </w:tcBorders>
            <w:noWrap/>
            <w:vAlign w:val="bottom"/>
          </w:tcPr>
          <w:p w:rsidR="00D65DB1" w:rsidRPr="007C2D51" w:rsidRDefault="001178B1" w:rsidP="006D0A38">
            <w:pPr>
              <w:jc w:val="center"/>
              <w:cnfStyle w:val="000000100000"/>
            </w:pPr>
            <w:r w:rsidRPr="007C2D51">
              <w:t>#customer contacts</w:t>
            </w:r>
          </w:p>
        </w:tc>
      </w:tr>
      <w:tr w:rsidR="00D65DB1" w:rsidRPr="007C2D51" w:rsidTr="00F15767">
        <w:trPr>
          <w:trHeight w:val="300"/>
          <w:jc w:val="center"/>
        </w:trPr>
        <w:tc>
          <w:tcPr>
            <w:cnfStyle w:val="001000000000"/>
            <w:tcW w:w="2880" w:type="dxa"/>
            <w:noWrap/>
            <w:vAlign w:val="bottom"/>
          </w:tcPr>
          <w:p w:rsidR="00D65DB1" w:rsidRPr="007C2D51" w:rsidRDefault="00D65DB1" w:rsidP="006D0A38">
            <w:r w:rsidRPr="007C2D51">
              <w:t>Itinerary planning</w:t>
            </w:r>
          </w:p>
        </w:tc>
        <w:tc>
          <w:tcPr>
            <w:tcW w:w="1296" w:type="dxa"/>
            <w:shd w:val="clear" w:color="auto" w:fill="D9D9D9" w:themeFill="background1" w:themeFillShade="D9"/>
            <w:noWrap/>
            <w:vAlign w:val="bottom"/>
          </w:tcPr>
          <w:p w:rsidR="00D65DB1" w:rsidRPr="007C2D51" w:rsidRDefault="00D65DB1" w:rsidP="006D0A38">
            <w:pPr>
              <w:jc w:val="center"/>
              <w:cnfStyle w:val="000000000000"/>
            </w:pPr>
          </w:p>
        </w:tc>
        <w:tc>
          <w:tcPr>
            <w:tcW w:w="1296" w:type="dxa"/>
            <w:shd w:val="clear" w:color="auto" w:fill="D9D9D9" w:themeFill="background1" w:themeFillShade="D9"/>
            <w:noWrap/>
            <w:vAlign w:val="bottom"/>
          </w:tcPr>
          <w:p w:rsidR="00D65DB1" w:rsidRPr="007C2D51" w:rsidRDefault="00D65DB1" w:rsidP="006D0A38">
            <w:pPr>
              <w:jc w:val="center"/>
              <w:cnfStyle w:val="000000000000"/>
            </w:pPr>
          </w:p>
        </w:tc>
        <w:tc>
          <w:tcPr>
            <w:tcW w:w="1296" w:type="dxa"/>
            <w:shd w:val="clear" w:color="auto" w:fill="D9D9D9" w:themeFill="background1" w:themeFillShade="D9"/>
            <w:noWrap/>
            <w:vAlign w:val="bottom"/>
          </w:tcPr>
          <w:p w:rsidR="00D65DB1" w:rsidRPr="007C2D51" w:rsidRDefault="00D65DB1" w:rsidP="006D0A38">
            <w:pPr>
              <w:jc w:val="center"/>
              <w:cnfStyle w:val="000000000000"/>
            </w:pPr>
          </w:p>
        </w:tc>
        <w:tc>
          <w:tcPr>
            <w:tcW w:w="1296" w:type="dxa"/>
            <w:shd w:val="clear" w:color="auto" w:fill="D9D9D9" w:themeFill="background1" w:themeFillShade="D9"/>
            <w:noWrap/>
            <w:vAlign w:val="bottom"/>
          </w:tcPr>
          <w:p w:rsidR="00D65DB1" w:rsidRPr="007C2D51" w:rsidRDefault="00D65DB1" w:rsidP="006D0A38">
            <w:pPr>
              <w:jc w:val="center"/>
              <w:cnfStyle w:val="000000000000"/>
            </w:pPr>
          </w:p>
        </w:tc>
        <w:tc>
          <w:tcPr>
            <w:tcW w:w="1296" w:type="dxa"/>
            <w:noWrap/>
            <w:vAlign w:val="bottom"/>
          </w:tcPr>
          <w:p w:rsidR="00D65DB1" w:rsidRPr="007C2D51" w:rsidRDefault="001178B1" w:rsidP="006D0A38">
            <w:pPr>
              <w:jc w:val="center"/>
              <w:cnfStyle w:val="000000000000"/>
            </w:pPr>
            <w:r w:rsidRPr="007C2D51">
              <w:t>#customer contacts</w:t>
            </w:r>
          </w:p>
        </w:tc>
      </w:tr>
      <w:tr w:rsidR="00D65DB1" w:rsidRPr="007C2D51" w:rsidTr="00F15767">
        <w:trPr>
          <w:cnfStyle w:val="000000100000"/>
          <w:trHeight w:val="300"/>
          <w:jc w:val="center"/>
        </w:trPr>
        <w:tc>
          <w:tcPr>
            <w:cnfStyle w:val="001000000000"/>
            <w:tcW w:w="2880" w:type="dxa"/>
            <w:tcBorders>
              <w:top w:val="none" w:sz="0" w:space="0" w:color="auto"/>
              <w:left w:val="none" w:sz="0" w:space="0" w:color="auto"/>
              <w:bottom w:val="none" w:sz="0" w:space="0" w:color="auto"/>
            </w:tcBorders>
            <w:noWrap/>
            <w:vAlign w:val="bottom"/>
          </w:tcPr>
          <w:p w:rsidR="00D65DB1" w:rsidRPr="007C2D51" w:rsidRDefault="00D65DB1" w:rsidP="006D0A38">
            <w:r w:rsidRPr="007C2D51">
              <w:t>One-on-one transit training</w:t>
            </w:r>
          </w:p>
        </w:tc>
        <w:tc>
          <w:tcPr>
            <w:tcW w:w="1296" w:type="dxa"/>
            <w:tcBorders>
              <w:top w:val="none" w:sz="0" w:space="0" w:color="auto"/>
              <w:bottom w:val="none" w:sz="0" w:space="0" w:color="auto"/>
            </w:tcBorders>
            <w:shd w:val="clear" w:color="auto" w:fill="D9D9D9" w:themeFill="background1" w:themeFillShade="D9"/>
            <w:noWrap/>
            <w:vAlign w:val="bottom"/>
          </w:tcPr>
          <w:p w:rsidR="00D65DB1" w:rsidRPr="007C2D51" w:rsidRDefault="00D65DB1" w:rsidP="006D0A38">
            <w:pPr>
              <w:jc w:val="center"/>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D65DB1" w:rsidRPr="007C2D51" w:rsidRDefault="00D65DB1" w:rsidP="006D0A38">
            <w:pPr>
              <w:jc w:val="center"/>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D65DB1" w:rsidRPr="007C2D51" w:rsidRDefault="00D65DB1" w:rsidP="006D0A38">
            <w:pPr>
              <w:jc w:val="center"/>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D65DB1" w:rsidRPr="007C2D51" w:rsidRDefault="00D65DB1" w:rsidP="006D0A38">
            <w:pPr>
              <w:jc w:val="center"/>
              <w:cnfStyle w:val="000000100000"/>
            </w:pPr>
          </w:p>
        </w:tc>
        <w:tc>
          <w:tcPr>
            <w:tcW w:w="1296" w:type="dxa"/>
            <w:tcBorders>
              <w:top w:val="none" w:sz="0" w:space="0" w:color="auto"/>
              <w:bottom w:val="none" w:sz="0" w:space="0" w:color="auto"/>
              <w:right w:val="none" w:sz="0" w:space="0" w:color="auto"/>
            </w:tcBorders>
            <w:noWrap/>
            <w:vAlign w:val="bottom"/>
          </w:tcPr>
          <w:p w:rsidR="00D65DB1" w:rsidRPr="007C2D51" w:rsidRDefault="001178B1" w:rsidP="006D0A38">
            <w:pPr>
              <w:jc w:val="center"/>
              <w:cnfStyle w:val="000000100000"/>
            </w:pPr>
            <w:r w:rsidRPr="007C2D51">
              <w:t># trained</w:t>
            </w:r>
          </w:p>
        </w:tc>
      </w:tr>
      <w:tr w:rsidR="00D65DB1" w:rsidRPr="007C2D51" w:rsidTr="00F15767">
        <w:trPr>
          <w:trHeight w:val="300"/>
          <w:jc w:val="center"/>
        </w:trPr>
        <w:tc>
          <w:tcPr>
            <w:cnfStyle w:val="001000000000"/>
            <w:tcW w:w="2880" w:type="dxa"/>
            <w:noWrap/>
            <w:vAlign w:val="bottom"/>
          </w:tcPr>
          <w:p w:rsidR="00D65DB1" w:rsidRPr="007C2D51" w:rsidRDefault="00D65DB1" w:rsidP="006D0A38">
            <w:r w:rsidRPr="007C2D51">
              <w:t>Internet-based info</w:t>
            </w:r>
          </w:p>
        </w:tc>
        <w:tc>
          <w:tcPr>
            <w:tcW w:w="1296" w:type="dxa"/>
            <w:shd w:val="clear" w:color="auto" w:fill="D9D9D9" w:themeFill="background1" w:themeFillShade="D9"/>
            <w:noWrap/>
            <w:vAlign w:val="bottom"/>
          </w:tcPr>
          <w:p w:rsidR="00D65DB1" w:rsidRPr="007C2D51" w:rsidRDefault="00D65DB1" w:rsidP="006D0A38">
            <w:pPr>
              <w:jc w:val="center"/>
              <w:cnfStyle w:val="000000000000"/>
            </w:pPr>
          </w:p>
        </w:tc>
        <w:tc>
          <w:tcPr>
            <w:tcW w:w="1296" w:type="dxa"/>
            <w:shd w:val="clear" w:color="auto" w:fill="D9D9D9" w:themeFill="background1" w:themeFillShade="D9"/>
            <w:noWrap/>
            <w:vAlign w:val="bottom"/>
          </w:tcPr>
          <w:p w:rsidR="00D65DB1" w:rsidRPr="007C2D51" w:rsidRDefault="00D65DB1" w:rsidP="006D0A38">
            <w:pPr>
              <w:jc w:val="center"/>
              <w:cnfStyle w:val="000000000000"/>
            </w:pPr>
          </w:p>
        </w:tc>
        <w:tc>
          <w:tcPr>
            <w:tcW w:w="1296" w:type="dxa"/>
            <w:shd w:val="clear" w:color="auto" w:fill="D9D9D9" w:themeFill="background1" w:themeFillShade="D9"/>
            <w:noWrap/>
            <w:vAlign w:val="bottom"/>
          </w:tcPr>
          <w:p w:rsidR="00D65DB1" w:rsidRPr="007C2D51" w:rsidRDefault="00D65DB1" w:rsidP="006D0A38">
            <w:pPr>
              <w:jc w:val="center"/>
              <w:cnfStyle w:val="000000000000"/>
            </w:pPr>
          </w:p>
        </w:tc>
        <w:tc>
          <w:tcPr>
            <w:tcW w:w="1296" w:type="dxa"/>
            <w:shd w:val="clear" w:color="auto" w:fill="D9D9D9" w:themeFill="background1" w:themeFillShade="D9"/>
            <w:noWrap/>
            <w:vAlign w:val="bottom"/>
          </w:tcPr>
          <w:p w:rsidR="00D65DB1" w:rsidRPr="007C2D51" w:rsidRDefault="00D65DB1" w:rsidP="006D0A38">
            <w:pPr>
              <w:jc w:val="center"/>
              <w:cnfStyle w:val="000000000000"/>
            </w:pPr>
          </w:p>
        </w:tc>
        <w:tc>
          <w:tcPr>
            <w:tcW w:w="1296" w:type="dxa"/>
            <w:noWrap/>
            <w:vAlign w:val="bottom"/>
          </w:tcPr>
          <w:p w:rsidR="00D65DB1" w:rsidRPr="007C2D51" w:rsidRDefault="001178B1" w:rsidP="006D0A38">
            <w:pPr>
              <w:jc w:val="center"/>
              <w:cnfStyle w:val="000000000000"/>
            </w:pPr>
            <w:r w:rsidRPr="007C2D51">
              <w:t>#customer contacts</w:t>
            </w:r>
          </w:p>
        </w:tc>
      </w:tr>
      <w:tr w:rsidR="00D65DB1" w:rsidRPr="007C2D51" w:rsidTr="00F15767">
        <w:trPr>
          <w:cnfStyle w:val="000000100000"/>
          <w:trHeight w:val="300"/>
          <w:jc w:val="center"/>
        </w:trPr>
        <w:tc>
          <w:tcPr>
            <w:cnfStyle w:val="001000000000"/>
            <w:tcW w:w="2880" w:type="dxa"/>
            <w:tcBorders>
              <w:top w:val="none" w:sz="0" w:space="0" w:color="auto"/>
              <w:left w:val="none" w:sz="0" w:space="0" w:color="auto"/>
              <w:bottom w:val="none" w:sz="0" w:space="0" w:color="auto"/>
            </w:tcBorders>
            <w:noWrap/>
            <w:vAlign w:val="bottom"/>
          </w:tcPr>
          <w:p w:rsidR="00D65DB1" w:rsidRPr="007C2D51" w:rsidRDefault="00D65DB1" w:rsidP="006D0A38">
            <w:r w:rsidRPr="007C2D51">
              <w:t>Materials and marketing</w:t>
            </w:r>
          </w:p>
        </w:tc>
        <w:tc>
          <w:tcPr>
            <w:tcW w:w="1296" w:type="dxa"/>
            <w:tcBorders>
              <w:top w:val="none" w:sz="0" w:space="0" w:color="auto"/>
              <w:bottom w:val="none" w:sz="0" w:space="0" w:color="auto"/>
            </w:tcBorders>
            <w:shd w:val="clear" w:color="auto" w:fill="D9D9D9" w:themeFill="background1" w:themeFillShade="D9"/>
            <w:noWrap/>
            <w:vAlign w:val="bottom"/>
          </w:tcPr>
          <w:p w:rsidR="00D65DB1" w:rsidRPr="007C2D51" w:rsidRDefault="00D65DB1" w:rsidP="006D0A38">
            <w:pPr>
              <w:jc w:val="center"/>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D65DB1" w:rsidRPr="007C2D51" w:rsidRDefault="00D65DB1" w:rsidP="006D0A38">
            <w:pPr>
              <w:jc w:val="center"/>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D65DB1" w:rsidRPr="007C2D51" w:rsidRDefault="00D65DB1" w:rsidP="006D0A38">
            <w:pPr>
              <w:jc w:val="center"/>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D65DB1" w:rsidRPr="007C2D51" w:rsidRDefault="00D65DB1" w:rsidP="006D0A38">
            <w:pPr>
              <w:jc w:val="center"/>
              <w:cnfStyle w:val="000000100000"/>
            </w:pPr>
          </w:p>
        </w:tc>
        <w:tc>
          <w:tcPr>
            <w:tcW w:w="1296" w:type="dxa"/>
            <w:tcBorders>
              <w:top w:val="none" w:sz="0" w:space="0" w:color="auto"/>
              <w:bottom w:val="none" w:sz="0" w:space="0" w:color="auto"/>
              <w:right w:val="none" w:sz="0" w:space="0" w:color="auto"/>
            </w:tcBorders>
            <w:noWrap/>
            <w:vAlign w:val="bottom"/>
          </w:tcPr>
          <w:p w:rsidR="00D65DB1" w:rsidRPr="007C2D51" w:rsidRDefault="001178B1" w:rsidP="006D0A38">
            <w:pPr>
              <w:jc w:val="center"/>
              <w:cnfStyle w:val="000000100000"/>
            </w:pPr>
            <w:r w:rsidRPr="007C2D51">
              <w:t>descriptive</w:t>
            </w:r>
          </w:p>
        </w:tc>
      </w:tr>
      <w:tr w:rsidR="00D65DB1" w:rsidRPr="007C2D51" w:rsidTr="00F15767">
        <w:trPr>
          <w:trHeight w:val="300"/>
          <w:jc w:val="center"/>
        </w:trPr>
        <w:tc>
          <w:tcPr>
            <w:cnfStyle w:val="001000000000"/>
            <w:tcW w:w="2880" w:type="dxa"/>
            <w:noWrap/>
            <w:vAlign w:val="bottom"/>
          </w:tcPr>
          <w:p w:rsidR="00D65DB1" w:rsidRPr="007C2D51" w:rsidRDefault="00D65DB1" w:rsidP="006D0A38">
            <w:r w:rsidRPr="007C2D51">
              <w:t>Transportation resource training</w:t>
            </w:r>
          </w:p>
        </w:tc>
        <w:tc>
          <w:tcPr>
            <w:tcW w:w="1296" w:type="dxa"/>
            <w:shd w:val="clear" w:color="auto" w:fill="D9D9D9" w:themeFill="background1" w:themeFillShade="D9"/>
            <w:noWrap/>
            <w:vAlign w:val="bottom"/>
          </w:tcPr>
          <w:p w:rsidR="00D65DB1" w:rsidRPr="007C2D51" w:rsidRDefault="00D65DB1" w:rsidP="006D0A38">
            <w:pPr>
              <w:jc w:val="center"/>
              <w:cnfStyle w:val="000000000000"/>
            </w:pPr>
          </w:p>
        </w:tc>
        <w:tc>
          <w:tcPr>
            <w:tcW w:w="1296" w:type="dxa"/>
            <w:shd w:val="clear" w:color="auto" w:fill="D9D9D9" w:themeFill="background1" w:themeFillShade="D9"/>
            <w:noWrap/>
            <w:vAlign w:val="bottom"/>
          </w:tcPr>
          <w:p w:rsidR="00D65DB1" w:rsidRPr="007C2D51" w:rsidRDefault="00D65DB1" w:rsidP="006D0A38">
            <w:pPr>
              <w:jc w:val="center"/>
              <w:cnfStyle w:val="000000000000"/>
            </w:pPr>
          </w:p>
        </w:tc>
        <w:tc>
          <w:tcPr>
            <w:tcW w:w="1296" w:type="dxa"/>
            <w:shd w:val="clear" w:color="auto" w:fill="D9D9D9" w:themeFill="background1" w:themeFillShade="D9"/>
            <w:noWrap/>
            <w:vAlign w:val="bottom"/>
          </w:tcPr>
          <w:p w:rsidR="00D65DB1" w:rsidRPr="007C2D51" w:rsidRDefault="00D65DB1" w:rsidP="006D0A38">
            <w:pPr>
              <w:jc w:val="center"/>
              <w:cnfStyle w:val="000000000000"/>
            </w:pPr>
          </w:p>
        </w:tc>
        <w:tc>
          <w:tcPr>
            <w:tcW w:w="1296" w:type="dxa"/>
            <w:shd w:val="clear" w:color="auto" w:fill="D9D9D9" w:themeFill="background1" w:themeFillShade="D9"/>
            <w:noWrap/>
            <w:vAlign w:val="bottom"/>
          </w:tcPr>
          <w:p w:rsidR="00D65DB1" w:rsidRPr="007C2D51" w:rsidRDefault="00D65DB1" w:rsidP="006D0A38">
            <w:pPr>
              <w:jc w:val="center"/>
              <w:cnfStyle w:val="000000000000"/>
            </w:pPr>
          </w:p>
        </w:tc>
        <w:tc>
          <w:tcPr>
            <w:tcW w:w="1296" w:type="dxa"/>
            <w:noWrap/>
            <w:vAlign w:val="bottom"/>
          </w:tcPr>
          <w:p w:rsidR="00D65DB1" w:rsidRPr="007C2D51" w:rsidRDefault="001178B1" w:rsidP="006D0A38">
            <w:pPr>
              <w:jc w:val="center"/>
              <w:cnfStyle w:val="000000000000"/>
            </w:pPr>
            <w:r w:rsidRPr="007C2D51">
              <w:t># trained</w:t>
            </w:r>
          </w:p>
        </w:tc>
      </w:tr>
      <w:tr w:rsidR="00D65DB1" w:rsidRPr="007C2D51" w:rsidTr="00F15767">
        <w:trPr>
          <w:cnfStyle w:val="000000100000"/>
          <w:trHeight w:val="300"/>
          <w:jc w:val="center"/>
        </w:trPr>
        <w:tc>
          <w:tcPr>
            <w:cnfStyle w:val="001000000000"/>
            <w:tcW w:w="2880" w:type="dxa"/>
            <w:tcBorders>
              <w:top w:val="none" w:sz="0" w:space="0" w:color="auto"/>
              <w:left w:val="none" w:sz="0" w:space="0" w:color="auto"/>
              <w:bottom w:val="none" w:sz="0" w:space="0" w:color="auto"/>
            </w:tcBorders>
            <w:shd w:val="clear" w:color="auto" w:fill="475A8D" w:themeFill="accent6"/>
            <w:noWrap/>
            <w:vAlign w:val="bottom"/>
          </w:tcPr>
          <w:p w:rsidR="00D65DB1" w:rsidRPr="007C2D51" w:rsidRDefault="00D65DB1" w:rsidP="006D0A38">
            <w:pPr>
              <w:rPr>
                <w:color w:val="FFFFFF" w:themeColor="background1"/>
              </w:rPr>
            </w:pPr>
            <w:r w:rsidRPr="007C2D51">
              <w:rPr>
                <w:color w:val="FFFFFF" w:themeColor="background1"/>
              </w:rPr>
              <w:t>III</w:t>
            </w:r>
            <w:r w:rsidR="00CE332B" w:rsidRPr="007C2D51">
              <w:rPr>
                <w:color w:val="FFFFFF" w:themeColor="background1"/>
              </w:rPr>
              <w:t xml:space="preserve">.  </w:t>
            </w:r>
            <w:r w:rsidRPr="007C2D51">
              <w:rPr>
                <w:color w:val="FFFFFF" w:themeColor="background1"/>
              </w:rPr>
              <w:t>Capital Investment</w:t>
            </w:r>
          </w:p>
        </w:tc>
        <w:tc>
          <w:tcPr>
            <w:tcW w:w="1296" w:type="dxa"/>
            <w:tcBorders>
              <w:top w:val="none" w:sz="0" w:space="0" w:color="auto"/>
              <w:bottom w:val="none" w:sz="0" w:space="0" w:color="auto"/>
            </w:tcBorders>
            <w:shd w:val="clear" w:color="auto" w:fill="475A8D" w:themeFill="accent6"/>
            <w:noWrap/>
            <w:vAlign w:val="bottom"/>
          </w:tcPr>
          <w:p w:rsidR="00D65DB1" w:rsidRPr="007C2D51" w:rsidRDefault="00D65DB1" w:rsidP="006D0A38">
            <w:pPr>
              <w:jc w:val="center"/>
              <w:cnfStyle w:val="000000100000"/>
              <w:rPr>
                <w:color w:val="FFFFFF" w:themeColor="background1"/>
              </w:rPr>
            </w:pPr>
          </w:p>
        </w:tc>
        <w:tc>
          <w:tcPr>
            <w:tcW w:w="1296" w:type="dxa"/>
            <w:tcBorders>
              <w:top w:val="none" w:sz="0" w:space="0" w:color="auto"/>
              <w:bottom w:val="none" w:sz="0" w:space="0" w:color="auto"/>
            </w:tcBorders>
            <w:shd w:val="clear" w:color="auto" w:fill="475A8D" w:themeFill="accent6"/>
            <w:noWrap/>
            <w:vAlign w:val="bottom"/>
          </w:tcPr>
          <w:p w:rsidR="00D65DB1" w:rsidRPr="007C2D51" w:rsidRDefault="00D65DB1" w:rsidP="006D0A38">
            <w:pPr>
              <w:jc w:val="center"/>
              <w:cnfStyle w:val="000000100000"/>
              <w:rPr>
                <w:color w:val="FFFFFF" w:themeColor="background1"/>
              </w:rPr>
            </w:pPr>
          </w:p>
        </w:tc>
        <w:tc>
          <w:tcPr>
            <w:tcW w:w="1296" w:type="dxa"/>
            <w:tcBorders>
              <w:top w:val="none" w:sz="0" w:space="0" w:color="auto"/>
              <w:bottom w:val="none" w:sz="0" w:space="0" w:color="auto"/>
            </w:tcBorders>
            <w:shd w:val="clear" w:color="auto" w:fill="475A8D" w:themeFill="accent6"/>
            <w:noWrap/>
            <w:vAlign w:val="bottom"/>
          </w:tcPr>
          <w:p w:rsidR="00D65DB1" w:rsidRPr="007C2D51" w:rsidRDefault="00D65DB1" w:rsidP="006D0A38">
            <w:pPr>
              <w:jc w:val="center"/>
              <w:cnfStyle w:val="000000100000"/>
              <w:rPr>
                <w:color w:val="FFFFFF" w:themeColor="background1"/>
              </w:rPr>
            </w:pPr>
          </w:p>
        </w:tc>
        <w:tc>
          <w:tcPr>
            <w:tcW w:w="1296" w:type="dxa"/>
            <w:tcBorders>
              <w:top w:val="none" w:sz="0" w:space="0" w:color="auto"/>
              <w:bottom w:val="none" w:sz="0" w:space="0" w:color="auto"/>
            </w:tcBorders>
            <w:shd w:val="clear" w:color="auto" w:fill="475A8D" w:themeFill="accent6"/>
            <w:noWrap/>
            <w:vAlign w:val="bottom"/>
          </w:tcPr>
          <w:p w:rsidR="00D65DB1" w:rsidRPr="007C2D51" w:rsidRDefault="00D65DB1" w:rsidP="006D0A38">
            <w:pPr>
              <w:jc w:val="center"/>
              <w:cnfStyle w:val="000000100000"/>
              <w:rPr>
                <w:color w:val="FFFFFF" w:themeColor="background1"/>
              </w:rPr>
            </w:pPr>
          </w:p>
        </w:tc>
        <w:tc>
          <w:tcPr>
            <w:tcW w:w="1296" w:type="dxa"/>
            <w:tcBorders>
              <w:top w:val="none" w:sz="0" w:space="0" w:color="auto"/>
              <w:bottom w:val="none" w:sz="0" w:space="0" w:color="auto"/>
              <w:right w:val="none" w:sz="0" w:space="0" w:color="auto"/>
            </w:tcBorders>
            <w:shd w:val="clear" w:color="auto" w:fill="475A8D" w:themeFill="accent6"/>
            <w:noWrap/>
            <w:vAlign w:val="bottom"/>
          </w:tcPr>
          <w:p w:rsidR="00D65DB1" w:rsidRPr="007C2D51" w:rsidRDefault="00D65DB1" w:rsidP="006D0A38">
            <w:pPr>
              <w:jc w:val="center"/>
              <w:cnfStyle w:val="000000100000"/>
              <w:rPr>
                <w:color w:val="FFFFFF" w:themeColor="background1"/>
              </w:rPr>
            </w:pPr>
          </w:p>
        </w:tc>
      </w:tr>
      <w:tr w:rsidR="00D65DB1" w:rsidRPr="007C2D51" w:rsidTr="00F15767">
        <w:trPr>
          <w:trHeight w:val="300"/>
          <w:jc w:val="center"/>
        </w:trPr>
        <w:tc>
          <w:tcPr>
            <w:cnfStyle w:val="001000000000"/>
            <w:tcW w:w="2880" w:type="dxa"/>
            <w:noWrap/>
            <w:vAlign w:val="bottom"/>
          </w:tcPr>
          <w:p w:rsidR="00D65DB1" w:rsidRPr="007C2D51" w:rsidRDefault="00D65DB1" w:rsidP="006D0A38">
            <w:r w:rsidRPr="007C2D51">
              <w:t>Vehicle for individual</w:t>
            </w:r>
          </w:p>
        </w:tc>
        <w:tc>
          <w:tcPr>
            <w:tcW w:w="1296" w:type="dxa"/>
            <w:shd w:val="clear" w:color="auto" w:fill="D9D9D9" w:themeFill="background1" w:themeFillShade="D9"/>
            <w:noWrap/>
            <w:vAlign w:val="bottom"/>
          </w:tcPr>
          <w:p w:rsidR="00D65DB1" w:rsidRPr="007C2D51" w:rsidRDefault="00D65DB1" w:rsidP="006D0A38">
            <w:pPr>
              <w:jc w:val="center"/>
              <w:cnfStyle w:val="000000000000"/>
            </w:pPr>
          </w:p>
        </w:tc>
        <w:tc>
          <w:tcPr>
            <w:tcW w:w="1296" w:type="dxa"/>
            <w:shd w:val="clear" w:color="auto" w:fill="D9D9D9" w:themeFill="background1" w:themeFillShade="D9"/>
            <w:noWrap/>
            <w:vAlign w:val="bottom"/>
          </w:tcPr>
          <w:p w:rsidR="00D65DB1" w:rsidRPr="007C2D51" w:rsidRDefault="00D65DB1" w:rsidP="006D0A38">
            <w:pPr>
              <w:jc w:val="center"/>
              <w:cnfStyle w:val="000000000000"/>
            </w:pPr>
          </w:p>
        </w:tc>
        <w:tc>
          <w:tcPr>
            <w:tcW w:w="1296" w:type="dxa"/>
            <w:shd w:val="clear" w:color="auto" w:fill="D9D9D9" w:themeFill="background1" w:themeFillShade="D9"/>
            <w:noWrap/>
            <w:vAlign w:val="bottom"/>
          </w:tcPr>
          <w:p w:rsidR="00D65DB1" w:rsidRPr="007C2D51" w:rsidRDefault="00D65DB1" w:rsidP="006D0A38">
            <w:pPr>
              <w:jc w:val="center"/>
              <w:cnfStyle w:val="000000000000"/>
            </w:pPr>
          </w:p>
        </w:tc>
        <w:tc>
          <w:tcPr>
            <w:tcW w:w="1296" w:type="dxa"/>
            <w:shd w:val="clear" w:color="auto" w:fill="auto"/>
            <w:noWrap/>
            <w:vAlign w:val="bottom"/>
          </w:tcPr>
          <w:p w:rsidR="00D65DB1" w:rsidRPr="007C2D51" w:rsidRDefault="001178B1" w:rsidP="006D0A38">
            <w:pPr>
              <w:jc w:val="center"/>
              <w:cnfStyle w:val="000000000000"/>
            </w:pPr>
            <w:r w:rsidRPr="007C2D51">
              <w:t># one-way trips</w:t>
            </w:r>
          </w:p>
          <w:p w:rsidR="001178B1" w:rsidRPr="007C2D51" w:rsidRDefault="001178B1" w:rsidP="006D0A38">
            <w:pPr>
              <w:jc w:val="center"/>
              <w:cnfStyle w:val="000000000000"/>
            </w:pPr>
            <w:r w:rsidRPr="007C2D51">
              <w:t>#vehicles</w:t>
            </w:r>
          </w:p>
        </w:tc>
        <w:tc>
          <w:tcPr>
            <w:tcW w:w="1296" w:type="dxa"/>
            <w:shd w:val="clear" w:color="auto" w:fill="D9D9D9" w:themeFill="background1" w:themeFillShade="D9"/>
            <w:noWrap/>
            <w:vAlign w:val="bottom"/>
          </w:tcPr>
          <w:p w:rsidR="00D65DB1" w:rsidRPr="007C2D51" w:rsidRDefault="00D65DB1" w:rsidP="006D0A38">
            <w:pPr>
              <w:jc w:val="center"/>
              <w:cnfStyle w:val="000000000000"/>
            </w:pPr>
          </w:p>
        </w:tc>
      </w:tr>
      <w:tr w:rsidR="00496FC4" w:rsidRPr="007C2D51" w:rsidTr="00F15767">
        <w:trPr>
          <w:cnfStyle w:val="000000100000"/>
          <w:trHeight w:val="300"/>
          <w:jc w:val="center"/>
        </w:trPr>
        <w:tc>
          <w:tcPr>
            <w:cnfStyle w:val="001000000000"/>
            <w:tcW w:w="2880" w:type="dxa"/>
            <w:tcBorders>
              <w:top w:val="none" w:sz="0" w:space="0" w:color="auto"/>
              <w:left w:val="none" w:sz="0" w:space="0" w:color="auto"/>
              <w:bottom w:val="none" w:sz="0" w:space="0" w:color="auto"/>
            </w:tcBorders>
            <w:noWrap/>
            <w:vAlign w:val="bottom"/>
          </w:tcPr>
          <w:p w:rsidR="00496FC4" w:rsidRPr="007C2D51" w:rsidRDefault="00496FC4" w:rsidP="006D0A38">
            <w:r w:rsidRPr="007C2D51">
              <w:t>Vehicle for agency</w:t>
            </w:r>
          </w:p>
        </w:tc>
        <w:tc>
          <w:tcPr>
            <w:tcW w:w="1296" w:type="dxa"/>
            <w:tcBorders>
              <w:top w:val="none" w:sz="0" w:space="0" w:color="auto"/>
              <w:bottom w:val="none" w:sz="0" w:space="0" w:color="auto"/>
            </w:tcBorders>
            <w:shd w:val="clear" w:color="auto" w:fill="auto"/>
            <w:noWrap/>
            <w:vAlign w:val="bottom"/>
          </w:tcPr>
          <w:p w:rsidR="00496FC4" w:rsidRPr="007C2D51" w:rsidRDefault="00496FC4" w:rsidP="006D0A38">
            <w:pPr>
              <w:jc w:val="center"/>
              <w:cnfStyle w:val="000000100000"/>
            </w:pPr>
            <w:r w:rsidRPr="007C2D51">
              <w:t># one-way trips</w:t>
            </w:r>
          </w:p>
          <w:p w:rsidR="00496FC4" w:rsidRPr="007C2D51" w:rsidRDefault="00496FC4" w:rsidP="006D0A38">
            <w:pPr>
              <w:jc w:val="center"/>
              <w:cnfStyle w:val="000000100000"/>
            </w:pPr>
            <w:r w:rsidRPr="007C2D51">
              <w:t>#vehicles</w:t>
            </w:r>
          </w:p>
        </w:tc>
        <w:tc>
          <w:tcPr>
            <w:tcW w:w="1296" w:type="dxa"/>
            <w:tcBorders>
              <w:top w:val="none" w:sz="0" w:space="0" w:color="auto"/>
              <w:bottom w:val="none" w:sz="0" w:space="0" w:color="auto"/>
            </w:tcBorders>
            <w:shd w:val="clear" w:color="auto" w:fill="auto"/>
            <w:noWrap/>
            <w:vAlign w:val="bottom"/>
          </w:tcPr>
          <w:p w:rsidR="00496FC4" w:rsidRPr="007C2D51" w:rsidRDefault="00496FC4" w:rsidP="006D0A38">
            <w:pPr>
              <w:jc w:val="center"/>
              <w:cnfStyle w:val="000000100000"/>
            </w:pPr>
            <w:r w:rsidRPr="007C2D51">
              <w:t># one-way trips</w:t>
            </w:r>
          </w:p>
          <w:p w:rsidR="00496FC4" w:rsidRPr="007C2D51" w:rsidRDefault="00496FC4" w:rsidP="006D0A38">
            <w:pPr>
              <w:jc w:val="center"/>
              <w:cnfStyle w:val="000000100000"/>
            </w:pPr>
            <w:r w:rsidRPr="007C2D51">
              <w:t>#vehicles</w:t>
            </w:r>
          </w:p>
        </w:tc>
        <w:tc>
          <w:tcPr>
            <w:tcW w:w="1296" w:type="dxa"/>
            <w:tcBorders>
              <w:top w:val="none" w:sz="0" w:space="0" w:color="auto"/>
              <w:bottom w:val="none" w:sz="0" w:space="0" w:color="auto"/>
            </w:tcBorders>
            <w:shd w:val="clear" w:color="auto" w:fill="auto"/>
            <w:noWrap/>
            <w:vAlign w:val="bottom"/>
          </w:tcPr>
          <w:p w:rsidR="00496FC4" w:rsidRPr="007C2D51" w:rsidRDefault="00496FC4" w:rsidP="006D0A38">
            <w:pPr>
              <w:jc w:val="center"/>
              <w:cnfStyle w:val="000000100000"/>
            </w:pPr>
            <w:r w:rsidRPr="007C2D51">
              <w:t># one-way trips</w:t>
            </w:r>
          </w:p>
          <w:p w:rsidR="00496FC4" w:rsidRPr="007C2D51" w:rsidRDefault="00496FC4" w:rsidP="006D0A38">
            <w:pPr>
              <w:jc w:val="center"/>
              <w:cnfStyle w:val="000000100000"/>
            </w:pPr>
            <w:r w:rsidRPr="007C2D51">
              <w:t>#vehicles</w:t>
            </w:r>
          </w:p>
        </w:tc>
        <w:tc>
          <w:tcPr>
            <w:tcW w:w="1296" w:type="dxa"/>
            <w:tcBorders>
              <w:top w:val="none" w:sz="0" w:space="0" w:color="auto"/>
              <w:bottom w:val="none" w:sz="0" w:space="0" w:color="auto"/>
            </w:tcBorders>
            <w:shd w:val="clear" w:color="auto" w:fill="D9D9D9" w:themeFill="background1" w:themeFillShade="D9"/>
            <w:noWrap/>
            <w:vAlign w:val="bottom"/>
          </w:tcPr>
          <w:p w:rsidR="00496FC4" w:rsidRPr="007C2D51" w:rsidRDefault="00496FC4" w:rsidP="006D0A38">
            <w:pPr>
              <w:jc w:val="center"/>
              <w:cnfStyle w:val="000000100000"/>
            </w:pPr>
          </w:p>
        </w:tc>
        <w:tc>
          <w:tcPr>
            <w:tcW w:w="1296" w:type="dxa"/>
            <w:tcBorders>
              <w:top w:val="none" w:sz="0" w:space="0" w:color="auto"/>
              <w:bottom w:val="none" w:sz="0" w:space="0" w:color="auto"/>
              <w:right w:val="none" w:sz="0" w:space="0" w:color="auto"/>
            </w:tcBorders>
            <w:shd w:val="clear" w:color="auto" w:fill="D9D9D9" w:themeFill="background1" w:themeFillShade="D9"/>
            <w:noWrap/>
            <w:vAlign w:val="bottom"/>
          </w:tcPr>
          <w:p w:rsidR="00496FC4" w:rsidRPr="007C2D51" w:rsidRDefault="00496FC4" w:rsidP="006D0A38">
            <w:pPr>
              <w:jc w:val="center"/>
              <w:cnfStyle w:val="000000100000"/>
            </w:pPr>
          </w:p>
        </w:tc>
      </w:tr>
      <w:tr w:rsidR="00496FC4" w:rsidRPr="007C2D51" w:rsidTr="00F15767">
        <w:trPr>
          <w:trHeight w:val="300"/>
          <w:jc w:val="center"/>
        </w:trPr>
        <w:tc>
          <w:tcPr>
            <w:cnfStyle w:val="001000000000"/>
            <w:tcW w:w="2880" w:type="dxa"/>
            <w:noWrap/>
            <w:vAlign w:val="bottom"/>
          </w:tcPr>
          <w:p w:rsidR="00496FC4" w:rsidRPr="007C2D51" w:rsidRDefault="00496FC4" w:rsidP="006D0A38">
            <w:r w:rsidRPr="007C2D51">
              <w:t>Vanpool vehicles</w:t>
            </w:r>
          </w:p>
        </w:tc>
        <w:tc>
          <w:tcPr>
            <w:tcW w:w="1296" w:type="dxa"/>
            <w:shd w:val="clear" w:color="auto" w:fill="D9D9D9" w:themeFill="background1" w:themeFillShade="D9"/>
            <w:noWrap/>
            <w:vAlign w:val="bottom"/>
          </w:tcPr>
          <w:p w:rsidR="00496FC4" w:rsidRPr="007C2D51" w:rsidRDefault="00496FC4" w:rsidP="006D0A38">
            <w:pPr>
              <w:jc w:val="center"/>
              <w:cnfStyle w:val="000000000000"/>
            </w:pPr>
          </w:p>
        </w:tc>
        <w:tc>
          <w:tcPr>
            <w:tcW w:w="1296" w:type="dxa"/>
            <w:shd w:val="clear" w:color="auto" w:fill="D9D9D9" w:themeFill="background1" w:themeFillShade="D9"/>
            <w:noWrap/>
            <w:vAlign w:val="bottom"/>
          </w:tcPr>
          <w:p w:rsidR="00496FC4" w:rsidRPr="007C2D51" w:rsidRDefault="00496FC4" w:rsidP="006D0A38">
            <w:pPr>
              <w:jc w:val="center"/>
              <w:cnfStyle w:val="000000000000"/>
            </w:pPr>
          </w:p>
        </w:tc>
        <w:tc>
          <w:tcPr>
            <w:tcW w:w="1296" w:type="dxa"/>
            <w:shd w:val="clear" w:color="auto" w:fill="auto"/>
            <w:noWrap/>
            <w:vAlign w:val="bottom"/>
          </w:tcPr>
          <w:p w:rsidR="00496FC4" w:rsidRPr="007C2D51" w:rsidRDefault="00496FC4" w:rsidP="006D0A38">
            <w:pPr>
              <w:jc w:val="center"/>
              <w:cnfStyle w:val="000000000000"/>
            </w:pPr>
            <w:r w:rsidRPr="007C2D51">
              <w:t># one-way trips</w:t>
            </w:r>
          </w:p>
          <w:p w:rsidR="00496FC4" w:rsidRPr="007C2D51" w:rsidRDefault="00496FC4" w:rsidP="006D0A38">
            <w:pPr>
              <w:jc w:val="center"/>
              <w:cnfStyle w:val="000000000000"/>
            </w:pPr>
            <w:r w:rsidRPr="007C2D51">
              <w:t>#vehicles</w:t>
            </w:r>
          </w:p>
        </w:tc>
        <w:tc>
          <w:tcPr>
            <w:tcW w:w="1296" w:type="dxa"/>
            <w:noWrap/>
            <w:vAlign w:val="bottom"/>
          </w:tcPr>
          <w:p w:rsidR="00496FC4" w:rsidRPr="007C2D51" w:rsidRDefault="00496FC4" w:rsidP="006D0A38">
            <w:pPr>
              <w:jc w:val="center"/>
              <w:cnfStyle w:val="000000000000"/>
            </w:pPr>
            <w:r w:rsidRPr="007C2D51">
              <w:t># one-way trips</w:t>
            </w:r>
          </w:p>
          <w:p w:rsidR="00496FC4" w:rsidRPr="007C2D51" w:rsidRDefault="00496FC4" w:rsidP="006D0A38">
            <w:pPr>
              <w:jc w:val="center"/>
              <w:cnfStyle w:val="000000000000"/>
            </w:pPr>
            <w:r w:rsidRPr="007C2D51">
              <w:t>#vehicles</w:t>
            </w:r>
          </w:p>
        </w:tc>
        <w:tc>
          <w:tcPr>
            <w:tcW w:w="1296" w:type="dxa"/>
            <w:shd w:val="clear" w:color="auto" w:fill="D9D9D9" w:themeFill="background1" w:themeFillShade="D9"/>
            <w:noWrap/>
            <w:vAlign w:val="bottom"/>
          </w:tcPr>
          <w:p w:rsidR="00496FC4" w:rsidRPr="007C2D51" w:rsidRDefault="00496FC4" w:rsidP="006D0A38">
            <w:pPr>
              <w:jc w:val="center"/>
              <w:cnfStyle w:val="000000000000"/>
            </w:pPr>
          </w:p>
        </w:tc>
      </w:tr>
      <w:tr w:rsidR="00496FC4" w:rsidRPr="007C2D51" w:rsidTr="00F15767">
        <w:trPr>
          <w:cnfStyle w:val="000000100000"/>
          <w:trHeight w:val="300"/>
          <w:jc w:val="center"/>
        </w:trPr>
        <w:tc>
          <w:tcPr>
            <w:cnfStyle w:val="001000000000"/>
            <w:tcW w:w="2880" w:type="dxa"/>
            <w:tcBorders>
              <w:top w:val="none" w:sz="0" w:space="0" w:color="auto"/>
              <w:left w:val="none" w:sz="0" w:space="0" w:color="auto"/>
              <w:bottom w:val="none" w:sz="0" w:space="0" w:color="auto"/>
            </w:tcBorders>
            <w:noWrap/>
            <w:vAlign w:val="bottom"/>
          </w:tcPr>
          <w:p w:rsidR="00496FC4" w:rsidRPr="007C2D51" w:rsidRDefault="00496FC4" w:rsidP="006D0A38">
            <w:r w:rsidRPr="007C2D51">
              <w:t>Car-sharing</w:t>
            </w:r>
          </w:p>
        </w:tc>
        <w:tc>
          <w:tcPr>
            <w:tcW w:w="1296" w:type="dxa"/>
            <w:tcBorders>
              <w:top w:val="none" w:sz="0" w:space="0" w:color="auto"/>
              <w:bottom w:val="none" w:sz="0" w:space="0" w:color="auto"/>
            </w:tcBorders>
            <w:noWrap/>
            <w:vAlign w:val="bottom"/>
          </w:tcPr>
          <w:p w:rsidR="00496FC4" w:rsidRPr="007C2D51" w:rsidRDefault="00496FC4" w:rsidP="006D0A38">
            <w:pPr>
              <w:jc w:val="center"/>
              <w:cnfStyle w:val="000000100000"/>
            </w:pPr>
            <w:r w:rsidRPr="007C2D51">
              <w:t># one-way trips</w:t>
            </w:r>
          </w:p>
          <w:p w:rsidR="00496FC4" w:rsidRPr="007C2D51" w:rsidRDefault="00496FC4" w:rsidP="006D0A38">
            <w:pPr>
              <w:jc w:val="center"/>
              <w:cnfStyle w:val="000000100000"/>
            </w:pPr>
            <w:r w:rsidRPr="007C2D51">
              <w:t>#vehicles</w:t>
            </w:r>
          </w:p>
        </w:tc>
        <w:tc>
          <w:tcPr>
            <w:tcW w:w="1296" w:type="dxa"/>
            <w:tcBorders>
              <w:top w:val="none" w:sz="0" w:space="0" w:color="auto"/>
              <w:bottom w:val="none" w:sz="0" w:space="0" w:color="auto"/>
            </w:tcBorders>
            <w:shd w:val="clear" w:color="auto" w:fill="D9D9D9" w:themeFill="background1" w:themeFillShade="D9"/>
            <w:noWrap/>
            <w:vAlign w:val="bottom"/>
          </w:tcPr>
          <w:p w:rsidR="00496FC4" w:rsidRPr="007C2D51" w:rsidRDefault="00496FC4" w:rsidP="006D0A38">
            <w:pPr>
              <w:jc w:val="center"/>
              <w:cnfStyle w:val="000000100000"/>
            </w:pPr>
          </w:p>
        </w:tc>
        <w:tc>
          <w:tcPr>
            <w:tcW w:w="1296" w:type="dxa"/>
            <w:tcBorders>
              <w:top w:val="none" w:sz="0" w:space="0" w:color="auto"/>
              <w:bottom w:val="none" w:sz="0" w:space="0" w:color="auto"/>
            </w:tcBorders>
            <w:noWrap/>
            <w:vAlign w:val="bottom"/>
          </w:tcPr>
          <w:p w:rsidR="00496FC4" w:rsidRPr="007C2D51" w:rsidRDefault="00496FC4" w:rsidP="006D0A38">
            <w:pPr>
              <w:jc w:val="center"/>
              <w:cnfStyle w:val="000000100000"/>
            </w:pPr>
            <w:r w:rsidRPr="007C2D51">
              <w:t># one-way trips</w:t>
            </w:r>
          </w:p>
          <w:p w:rsidR="00496FC4" w:rsidRPr="007C2D51" w:rsidRDefault="00496FC4" w:rsidP="006D0A38">
            <w:pPr>
              <w:jc w:val="center"/>
              <w:cnfStyle w:val="000000100000"/>
            </w:pPr>
            <w:r w:rsidRPr="007C2D51">
              <w:t>#vehicles</w:t>
            </w:r>
          </w:p>
        </w:tc>
        <w:tc>
          <w:tcPr>
            <w:tcW w:w="1296" w:type="dxa"/>
            <w:tcBorders>
              <w:top w:val="none" w:sz="0" w:space="0" w:color="auto"/>
              <w:bottom w:val="none" w:sz="0" w:space="0" w:color="auto"/>
            </w:tcBorders>
            <w:shd w:val="clear" w:color="auto" w:fill="D9D9D9" w:themeFill="background1" w:themeFillShade="D9"/>
            <w:noWrap/>
            <w:vAlign w:val="bottom"/>
          </w:tcPr>
          <w:p w:rsidR="00496FC4" w:rsidRPr="007C2D51" w:rsidRDefault="00496FC4" w:rsidP="006D0A38">
            <w:pPr>
              <w:jc w:val="center"/>
              <w:cnfStyle w:val="000000100000"/>
            </w:pPr>
          </w:p>
        </w:tc>
        <w:tc>
          <w:tcPr>
            <w:tcW w:w="1296" w:type="dxa"/>
            <w:tcBorders>
              <w:top w:val="none" w:sz="0" w:space="0" w:color="auto"/>
              <w:bottom w:val="none" w:sz="0" w:space="0" w:color="auto"/>
              <w:right w:val="none" w:sz="0" w:space="0" w:color="auto"/>
            </w:tcBorders>
            <w:shd w:val="clear" w:color="auto" w:fill="D9D9D9" w:themeFill="background1" w:themeFillShade="D9"/>
            <w:noWrap/>
            <w:vAlign w:val="bottom"/>
          </w:tcPr>
          <w:p w:rsidR="00496FC4" w:rsidRPr="007C2D51" w:rsidRDefault="00496FC4" w:rsidP="006D0A38">
            <w:pPr>
              <w:jc w:val="center"/>
              <w:cnfStyle w:val="000000100000"/>
            </w:pPr>
          </w:p>
        </w:tc>
      </w:tr>
      <w:tr w:rsidR="00496FC4" w:rsidRPr="007C2D51" w:rsidTr="00F15767">
        <w:trPr>
          <w:trHeight w:val="300"/>
          <w:jc w:val="center"/>
        </w:trPr>
        <w:tc>
          <w:tcPr>
            <w:cnfStyle w:val="001000000000"/>
            <w:tcW w:w="2880" w:type="dxa"/>
            <w:noWrap/>
            <w:vAlign w:val="bottom"/>
          </w:tcPr>
          <w:p w:rsidR="00496FC4" w:rsidRPr="007C2D51" w:rsidRDefault="00496FC4" w:rsidP="006D0A38">
            <w:r w:rsidRPr="007C2D51">
              <w:t>ITS investments</w:t>
            </w:r>
          </w:p>
        </w:tc>
        <w:tc>
          <w:tcPr>
            <w:tcW w:w="1296" w:type="dxa"/>
            <w:shd w:val="clear" w:color="auto" w:fill="D9D9D9" w:themeFill="background1" w:themeFillShade="D9"/>
            <w:noWrap/>
            <w:vAlign w:val="bottom"/>
          </w:tcPr>
          <w:p w:rsidR="00496FC4" w:rsidRPr="007C2D51" w:rsidRDefault="00496FC4" w:rsidP="006D0A38">
            <w:pPr>
              <w:jc w:val="center"/>
              <w:cnfStyle w:val="000000000000"/>
            </w:pPr>
          </w:p>
        </w:tc>
        <w:tc>
          <w:tcPr>
            <w:tcW w:w="1296" w:type="dxa"/>
            <w:shd w:val="clear" w:color="auto" w:fill="D9D9D9" w:themeFill="background1" w:themeFillShade="D9"/>
            <w:noWrap/>
            <w:vAlign w:val="bottom"/>
          </w:tcPr>
          <w:p w:rsidR="00496FC4" w:rsidRPr="007C2D51" w:rsidRDefault="00496FC4" w:rsidP="006D0A38">
            <w:pPr>
              <w:jc w:val="center"/>
              <w:cnfStyle w:val="000000000000"/>
            </w:pPr>
          </w:p>
        </w:tc>
        <w:tc>
          <w:tcPr>
            <w:tcW w:w="1296" w:type="dxa"/>
            <w:noWrap/>
            <w:vAlign w:val="bottom"/>
          </w:tcPr>
          <w:p w:rsidR="00496FC4" w:rsidRPr="007C2D51" w:rsidRDefault="00496FC4" w:rsidP="006D0A38">
            <w:pPr>
              <w:jc w:val="center"/>
              <w:cnfStyle w:val="000000000000"/>
            </w:pPr>
            <w:r w:rsidRPr="007C2D51">
              <w:t>descriptive</w:t>
            </w:r>
          </w:p>
        </w:tc>
        <w:tc>
          <w:tcPr>
            <w:tcW w:w="1296" w:type="dxa"/>
            <w:noWrap/>
            <w:vAlign w:val="bottom"/>
          </w:tcPr>
          <w:p w:rsidR="00496FC4" w:rsidRPr="007C2D51" w:rsidRDefault="00496FC4" w:rsidP="006D0A38">
            <w:pPr>
              <w:jc w:val="center"/>
              <w:cnfStyle w:val="000000000000"/>
            </w:pPr>
            <w:r w:rsidRPr="007C2D51">
              <w:t>descriptive</w:t>
            </w:r>
          </w:p>
        </w:tc>
        <w:tc>
          <w:tcPr>
            <w:tcW w:w="1296" w:type="dxa"/>
            <w:noWrap/>
            <w:vAlign w:val="bottom"/>
          </w:tcPr>
          <w:p w:rsidR="00496FC4" w:rsidRPr="007C2D51" w:rsidRDefault="00496FC4" w:rsidP="006D0A38">
            <w:pPr>
              <w:jc w:val="center"/>
              <w:cnfStyle w:val="000000000000"/>
            </w:pPr>
            <w:r w:rsidRPr="007C2D51">
              <w:t>descriptive</w:t>
            </w:r>
          </w:p>
        </w:tc>
      </w:tr>
      <w:tr w:rsidR="00496FC4" w:rsidRPr="007C2D51" w:rsidTr="00F15767">
        <w:trPr>
          <w:cnfStyle w:val="000000100000"/>
          <w:trHeight w:val="300"/>
          <w:jc w:val="center"/>
        </w:trPr>
        <w:tc>
          <w:tcPr>
            <w:cnfStyle w:val="001000000000"/>
            <w:tcW w:w="2880" w:type="dxa"/>
            <w:tcBorders>
              <w:top w:val="none" w:sz="0" w:space="0" w:color="auto"/>
              <w:left w:val="none" w:sz="0" w:space="0" w:color="auto"/>
              <w:bottom w:val="none" w:sz="0" w:space="0" w:color="auto"/>
            </w:tcBorders>
            <w:noWrap/>
            <w:vAlign w:val="bottom"/>
          </w:tcPr>
          <w:p w:rsidR="00496FC4" w:rsidRPr="007C2D51" w:rsidRDefault="00496FC4" w:rsidP="006D0A38">
            <w:r w:rsidRPr="007C2D51">
              <w:t>Other capital projects</w:t>
            </w:r>
          </w:p>
        </w:tc>
        <w:tc>
          <w:tcPr>
            <w:tcW w:w="1296" w:type="dxa"/>
            <w:tcBorders>
              <w:top w:val="none" w:sz="0" w:space="0" w:color="auto"/>
              <w:bottom w:val="none" w:sz="0" w:space="0" w:color="auto"/>
            </w:tcBorders>
            <w:noWrap/>
            <w:vAlign w:val="bottom"/>
          </w:tcPr>
          <w:p w:rsidR="00496FC4" w:rsidRPr="007C2D51" w:rsidRDefault="00496FC4" w:rsidP="006D0A38">
            <w:pPr>
              <w:jc w:val="center"/>
              <w:cnfStyle w:val="000000100000"/>
            </w:pPr>
            <w:r w:rsidRPr="007C2D51">
              <w:t>descriptive</w:t>
            </w:r>
          </w:p>
        </w:tc>
        <w:tc>
          <w:tcPr>
            <w:tcW w:w="1296" w:type="dxa"/>
            <w:tcBorders>
              <w:top w:val="none" w:sz="0" w:space="0" w:color="auto"/>
              <w:bottom w:val="none" w:sz="0" w:space="0" w:color="auto"/>
            </w:tcBorders>
            <w:noWrap/>
            <w:vAlign w:val="bottom"/>
          </w:tcPr>
          <w:p w:rsidR="00496FC4" w:rsidRPr="007C2D51" w:rsidRDefault="00496FC4" w:rsidP="006D0A38">
            <w:pPr>
              <w:jc w:val="center"/>
              <w:cnfStyle w:val="000000100000"/>
            </w:pPr>
            <w:r w:rsidRPr="007C2D51">
              <w:t>descriptive</w:t>
            </w:r>
          </w:p>
        </w:tc>
        <w:tc>
          <w:tcPr>
            <w:tcW w:w="1296" w:type="dxa"/>
            <w:tcBorders>
              <w:top w:val="none" w:sz="0" w:space="0" w:color="auto"/>
              <w:bottom w:val="none" w:sz="0" w:space="0" w:color="auto"/>
            </w:tcBorders>
            <w:noWrap/>
            <w:vAlign w:val="bottom"/>
          </w:tcPr>
          <w:p w:rsidR="00496FC4" w:rsidRPr="007C2D51" w:rsidRDefault="00496FC4" w:rsidP="006D0A38">
            <w:pPr>
              <w:jc w:val="center"/>
              <w:cnfStyle w:val="000000100000"/>
            </w:pPr>
            <w:r w:rsidRPr="007C2D51">
              <w:t>descriptive</w:t>
            </w:r>
          </w:p>
        </w:tc>
        <w:tc>
          <w:tcPr>
            <w:tcW w:w="1296" w:type="dxa"/>
            <w:tcBorders>
              <w:top w:val="none" w:sz="0" w:space="0" w:color="auto"/>
              <w:bottom w:val="none" w:sz="0" w:space="0" w:color="auto"/>
            </w:tcBorders>
            <w:noWrap/>
            <w:vAlign w:val="bottom"/>
          </w:tcPr>
          <w:p w:rsidR="00496FC4" w:rsidRPr="007C2D51" w:rsidRDefault="00496FC4" w:rsidP="006D0A38">
            <w:pPr>
              <w:jc w:val="center"/>
              <w:cnfStyle w:val="000000100000"/>
            </w:pPr>
            <w:r w:rsidRPr="007C2D51">
              <w:t>descriptive</w:t>
            </w:r>
          </w:p>
        </w:tc>
        <w:tc>
          <w:tcPr>
            <w:tcW w:w="1296" w:type="dxa"/>
            <w:tcBorders>
              <w:top w:val="none" w:sz="0" w:space="0" w:color="auto"/>
              <w:bottom w:val="none" w:sz="0" w:space="0" w:color="auto"/>
              <w:right w:val="none" w:sz="0" w:space="0" w:color="auto"/>
            </w:tcBorders>
            <w:noWrap/>
            <w:vAlign w:val="bottom"/>
          </w:tcPr>
          <w:p w:rsidR="00496FC4" w:rsidRPr="007C2D51" w:rsidRDefault="00496FC4" w:rsidP="006D0A38">
            <w:pPr>
              <w:jc w:val="center"/>
              <w:cnfStyle w:val="000000100000"/>
            </w:pPr>
            <w:r w:rsidRPr="007C2D51">
              <w:t>descriptive</w:t>
            </w:r>
          </w:p>
        </w:tc>
      </w:tr>
      <w:tr w:rsidR="001F5334" w:rsidRPr="007C2D51" w:rsidTr="00F15767">
        <w:trPr>
          <w:trHeight w:val="300"/>
          <w:jc w:val="center"/>
        </w:trPr>
        <w:tc>
          <w:tcPr>
            <w:cnfStyle w:val="001000000000"/>
            <w:tcW w:w="2880" w:type="dxa"/>
            <w:shd w:val="clear" w:color="auto" w:fill="475A8D" w:themeFill="accent6"/>
            <w:noWrap/>
            <w:vAlign w:val="bottom"/>
          </w:tcPr>
          <w:p w:rsidR="001F5334" w:rsidRPr="007C2D51" w:rsidRDefault="001F5334" w:rsidP="00A06D32">
            <w:pPr>
              <w:rPr>
                <w:color w:val="FFFFFF" w:themeColor="background1"/>
              </w:rPr>
            </w:pPr>
            <w:r w:rsidRPr="007C2D51">
              <w:rPr>
                <w:color w:val="FFFFFF" w:themeColor="background1"/>
              </w:rPr>
              <w:t>IV. Planning Projects</w:t>
            </w:r>
          </w:p>
        </w:tc>
        <w:tc>
          <w:tcPr>
            <w:tcW w:w="1296" w:type="dxa"/>
            <w:shd w:val="clear" w:color="auto" w:fill="475A8D" w:themeFill="accent6"/>
            <w:noWrap/>
            <w:vAlign w:val="bottom"/>
          </w:tcPr>
          <w:p w:rsidR="001F5334" w:rsidRPr="007C2D51" w:rsidRDefault="001F5334" w:rsidP="00A06D32">
            <w:pPr>
              <w:jc w:val="center"/>
              <w:cnfStyle w:val="000000000000"/>
              <w:rPr>
                <w:color w:val="FFFFFF" w:themeColor="background1"/>
              </w:rPr>
            </w:pPr>
          </w:p>
        </w:tc>
        <w:tc>
          <w:tcPr>
            <w:tcW w:w="1296" w:type="dxa"/>
            <w:shd w:val="clear" w:color="auto" w:fill="475A8D" w:themeFill="accent6"/>
            <w:noWrap/>
            <w:vAlign w:val="bottom"/>
          </w:tcPr>
          <w:p w:rsidR="001F5334" w:rsidRPr="007C2D51" w:rsidRDefault="001F5334" w:rsidP="00A06D32">
            <w:pPr>
              <w:jc w:val="center"/>
              <w:cnfStyle w:val="000000000000"/>
              <w:rPr>
                <w:color w:val="FFFFFF" w:themeColor="background1"/>
              </w:rPr>
            </w:pPr>
          </w:p>
        </w:tc>
        <w:tc>
          <w:tcPr>
            <w:tcW w:w="1296" w:type="dxa"/>
            <w:shd w:val="clear" w:color="auto" w:fill="475A8D" w:themeFill="accent6"/>
            <w:noWrap/>
            <w:vAlign w:val="bottom"/>
          </w:tcPr>
          <w:p w:rsidR="001F5334" w:rsidRPr="007C2D51" w:rsidRDefault="001F5334" w:rsidP="00A06D32">
            <w:pPr>
              <w:jc w:val="center"/>
              <w:cnfStyle w:val="000000000000"/>
              <w:rPr>
                <w:color w:val="FFFFFF" w:themeColor="background1"/>
              </w:rPr>
            </w:pPr>
          </w:p>
        </w:tc>
        <w:tc>
          <w:tcPr>
            <w:tcW w:w="1296" w:type="dxa"/>
            <w:shd w:val="clear" w:color="auto" w:fill="475A8D" w:themeFill="accent6"/>
            <w:noWrap/>
            <w:vAlign w:val="bottom"/>
          </w:tcPr>
          <w:p w:rsidR="001F5334" w:rsidRPr="007C2D51" w:rsidRDefault="001F5334" w:rsidP="00A06D32">
            <w:pPr>
              <w:jc w:val="center"/>
              <w:cnfStyle w:val="000000000000"/>
              <w:rPr>
                <w:color w:val="FFFFFF" w:themeColor="background1"/>
              </w:rPr>
            </w:pPr>
          </w:p>
        </w:tc>
        <w:tc>
          <w:tcPr>
            <w:tcW w:w="1296" w:type="dxa"/>
            <w:shd w:val="clear" w:color="auto" w:fill="475A8D" w:themeFill="accent6"/>
            <w:noWrap/>
            <w:vAlign w:val="bottom"/>
          </w:tcPr>
          <w:p w:rsidR="001F5334" w:rsidRPr="007C2D51" w:rsidRDefault="001F5334" w:rsidP="00A06D32">
            <w:pPr>
              <w:jc w:val="center"/>
              <w:cnfStyle w:val="000000000000"/>
              <w:rPr>
                <w:color w:val="FFFFFF" w:themeColor="background1"/>
              </w:rPr>
            </w:pPr>
          </w:p>
        </w:tc>
      </w:tr>
      <w:tr w:rsidR="001F5334" w:rsidRPr="007C2D51" w:rsidTr="00F15767">
        <w:trPr>
          <w:cnfStyle w:val="000000100000"/>
          <w:trHeight w:val="300"/>
          <w:jc w:val="center"/>
        </w:trPr>
        <w:tc>
          <w:tcPr>
            <w:cnfStyle w:val="001000000000"/>
            <w:tcW w:w="2880" w:type="dxa"/>
            <w:tcBorders>
              <w:top w:val="none" w:sz="0" w:space="0" w:color="auto"/>
              <w:left w:val="none" w:sz="0" w:space="0" w:color="auto"/>
              <w:bottom w:val="none" w:sz="0" w:space="0" w:color="auto"/>
            </w:tcBorders>
            <w:noWrap/>
            <w:vAlign w:val="bottom"/>
          </w:tcPr>
          <w:p w:rsidR="001F5334" w:rsidRPr="007C2D51" w:rsidRDefault="001F5334" w:rsidP="00526171">
            <w:pPr>
              <w:pStyle w:val="ListParagraph"/>
              <w:numPr>
                <w:ilvl w:val="0"/>
                <w:numId w:val="20"/>
              </w:numPr>
            </w:pPr>
            <w:r w:rsidRPr="007C2D51">
              <w:t>Feasibility studies</w:t>
            </w:r>
          </w:p>
        </w:tc>
        <w:tc>
          <w:tcPr>
            <w:tcW w:w="1296" w:type="dxa"/>
            <w:tcBorders>
              <w:top w:val="none" w:sz="0" w:space="0" w:color="auto"/>
              <w:bottom w:val="none" w:sz="0" w:space="0" w:color="auto"/>
            </w:tcBorders>
            <w:noWrap/>
            <w:vAlign w:val="bottom"/>
          </w:tcPr>
          <w:p w:rsidR="001F5334" w:rsidRPr="007C2D51" w:rsidRDefault="001F5334" w:rsidP="00A06D32">
            <w:pPr>
              <w:jc w:val="center"/>
              <w:cnfStyle w:val="000000100000"/>
            </w:pPr>
            <w:r w:rsidRPr="007C2D51">
              <w:t>descriptive</w:t>
            </w:r>
          </w:p>
        </w:tc>
        <w:tc>
          <w:tcPr>
            <w:tcW w:w="1296" w:type="dxa"/>
            <w:tcBorders>
              <w:top w:val="none" w:sz="0" w:space="0" w:color="auto"/>
              <w:bottom w:val="none" w:sz="0" w:space="0" w:color="auto"/>
            </w:tcBorders>
            <w:noWrap/>
            <w:vAlign w:val="bottom"/>
          </w:tcPr>
          <w:p w:rsidR="001F5334" w:rsidRPr="007C2D51" w:rsidRDefault="001F5334" w:rsidP="00A06D32">
            <w:pPr>
              <w:jc w:val="center"/>
              <w:cnfStyle w:val="000000100000"/>
            </w:pPr>
            <w:r w:rsidRPr="007C2D51">
              <w:t>descriptive</w:t>
            </w:r>
          </w:p>
        </w:tc>
        <w:tc>
          <w:tcPr>
            <w:tcW w:w="1296" w:type="dxa"/>
            <w:tcBorders>
              <w:top w:val="none" w:sz="0" w:space="0" w:color="auto"/>
              <w:bottom w:val="none" w:sz="0" w:space="0" w:color="auto"/>
            </w:tcBorders>
            <w:noWrap/>
            <w:vAlign w:val="bottom"/>
          </w:tcPr>
          <w:p w:rsidR="001F5334" w:rsidRPr="007C2D51" w:rsidRDefault="001F5334" w:rsidP="00A06D32">
            <w:pPr>
              <w:jc w:val="center"/>
              <w:cnfStyle w:val="000000100000"/>
            </w:pPr>
            <w:r w:rsidRPr="007C2D51">
              <w:t>descriptive</w:t>
            </w:r>
          </w:p>
        </w:tc>
        <w:tc>
          <w:tcPr>
            <w:tcW w:w="1296" w:type="dxa"/>
            <w:tcBorders>
              <w:top w:val="none" w:sz="0" w:space="0" w:color="auto"/>
              <w:bottom w:val="none" w:sz="0" w:space="0" w:color="auto"/>
            </w:tcBorders>
            <w:noWrap/>
            <w:vAlign w:val="bottom"/>
          </w:tcPr>
          <w:p w:rsidR="001F5334" w:rsidRPr="007C2D51" w:rsidRDefault="001F5334" w:rsidP="00A06D32">
            <w:pPr>
              <w:jc w:val="center"/>
              <w:cnfStyle w:val="000000100000"/>
            </w:pPr>
            <w:r w:rsidRPr="007C2D51">
              <w:t>descriptive</w:t>
            </w:r>
          </w:p>
        </w:tc>
        <w:tc>
          <w:tcPr>
            <w:tcW w:w="1296" w:type="dxa"/>
            <w:tcBorders>
              <w:top w:val="none" w:sz="0" w:space="0" w:color="auto"/>
              <w:bottom w:val="none" w:sz="0" w:space="0" w:color="auto"/>
              <w:right w:val="none" w:sz="0" w:space="0" w:color="auto"/>
            </w:tcBorders>
            <w:noWrap/>
            <w:vAlign w:val="bottom"/>
          </w:tcPr>
          <w:p w:rsidR="001F5334" w:rsidRPr="007C2D51" w:rsidRDefault="001F5334" w:rsidP="00A06D32">
            <w:pPr>
              <w:jc w:val="center"/>
              <w:cnfStyle w:val="000000100000"/>
            </w:pPr>
            <w:r w:rsidRPr="007C2D51">
              <w:t>descriptive</w:t>
            </w:r>
          </w:p>
        </w:tc>
      </w:tr>
    </w:tbl>
    <w:p w:rsidR="00925341" w:rsidRPr="007C2D51" w:rsidRDefault="00925341" w:rsidP="00C739EF">
      <w:pPr>
        <w:sectPr w:rsidR="00925341" w:rsidRPr="007C2D51">
          <w:footerReference w:type="default" r:id="rId30"/>
          <w:footerReference w:type="first" r:id="rId31"/>
          <w:pgSz w:w="12240" w:h="15840"/>
          <w:pgMar w:top="1440" w:right="1440" w:bottom="1440" w:left="1440" w:header="720" w:footer="720" w:gutter="0"/>
          <w:pgNumType w:start="1"/>
          <w:cols w:space="720"/>
          <w:docGrid w:linePitch="360"/>
        </w:sectPr>
      </w:pPr>
    </w:p>
    <w:p w:rsidR="004A1A8D" w:rsidRPr="007C2D51" w:rsidRDefault="004A1A8D" w:rsidP="005606E4">
      <w:pPr>
        <w:pStyle w:val="Appendix"/>
      </w:pPr>
      <w:r w:rsidRPr="007C2D51">
        <w:lastRenderedPageBreak/>
        <w:t>Appendix B</w:t>
      </w:r>
      <w:r w:rsidRPr="007C2D51">
        <w:br/>
        <w:t>Jobs-Accessed Methodology</w:t>
      </w:r>
    </w:p>
    <w:p w:rsidR="003475DA" w:rsidRPr="007C2D51" w:rsidRDefault="003475DA" w:rsidP="003475DA">
      <w:pPr>
        <w:pStyle w:val="BodyText"/>
      </w:pPr>
      <w:r w:rsidRPr="007C2D51">
        <w:t>This appendix provides background information on the elements of the methodology used to estimate jobs accessed for JARC services</w:t>
      </w:r>
      <w:r w:rsidR="00CE332B" w:rsidRPr="007C2D51">
        <w:t xml:space="preserve">.  </w:t>
      </w:r>
    </w:p>
    <w:p w:rsidR="003475DA" w:rsidRPr="007C2D51" w:rsidRDefault="003475DA" w:rsidP="003475DA">
      <w:pPr>
        <w:pStyle w:val="Heading2"/>
      </w:pPr>
      <w:bookmarkStart w:id="156" w:name="_Toc270953187"/>
      <w:bookmarkStart w:id="157" w:name="_Toc273954558"/>
      <w:bookmarkStart w:id="158" w:name="_Toc304965705"/>
      <w:r w:rsidRPr="007C2D51">
        <w:t>Assumptions</w:t>
      </w:r>
      <w:bookmarkEnd w:id="156"/>
      <w:bookmarkEnd w:id="157"/>
      <w:bookmarkEnd w:id="158"/>
    </w:p>
    <w:p w:rsidR="003475DA" w:rsidRPr="007C2D51" w:rsidRDefault="003475DA" w:rsidP="003475DA">
      <w:pPr>
        <w:pStyle w:val="BodyText"/>
      </w:pPr>
      <w:bookmarkStart w:id="159" w:name="_Toc269480049"/>
      <w:bookmarkStart w:id="160" w:name="_Toc270512700"/>
      <w:r w:rsidRPr="007C2D51">
        <w:t>Several assumptions about employment characteristics and travel patterns were made to support this analysis</w:t>
      </w:r>
      <w:r w:rsidR="00CE332B" w:rsidRPr="007C2D51">
        <w:t xml:space="preserve">.  </w:t>
      </w:r>
      <w:r w:rsidRPr="007C2D51">
        <w:t>These assumptions were initially developed for the FY 2006 analysis and refined or updated as necessary</w:t>
      </w:r>
      <w:r w:rsidR="004E7755" w:rsidRPr="007C2D51">
        <w:t xml:space="preserve"> for each subsequent reporting cycle</w:t>
      </w:r>
      <w:r w:rsidRPr="007C2D51">
        <w:t>.</w:t>
      </w:r>
    </w:p>
    <w:p w:rsidR="003475DA" w:rsidRPr="007C2D51" w:rsidRDefault="003475DA" w:rsidP="003475DA">
      <w:pPr>
        <w:pStyle w:val="ListBullet"/>
        <w:spacing w:after="200" w:line="276" w:lineRule="auto"/>
      </w:pPr>
      <w:r w:rsidRPr="007C2D51">
        <w:t>We counted every job – whether full-time or part-time – as one job</w:t>
      </w:r>
      <w:r w:rsidR="00CE332B" w:rsidRPr="007C2D51">
        <w:t xml:space="preserve">.  </w:t>
      </w:r>
      <w:r w:rsidRPr="007C2D51">
        <w:t>The distinction between full-time and part-time employment was not considered relevant for the purposes of the JARC evaluation</w:t>
      </w:r>
      <w:r w:rsidR="00CE332B" w:rsidRPr="007C2D51">
        <w:t xml:space="preserve">.  </w:t>
      </w:r>
    </w:p>
    <w:p w:rsidR="003475DA" w:rsidRPr="007C2D51" w:rsidRDefault="00D90141" w:rsidP="003475DA">
      <w:pPr>
        <w:pStyle w:val="ListBullet"/>
        <w:spacing w:after="200" w:line="276" w:lineRule="auto"/>
      </w:pPr>
      <w:r w:rsidRPr="007C2D51">
        <w:t>For the FY 2010 analysis, j</w:t>
      </w:r>
      <w:r w:rsidR="003475DA" w:rsidRPr="007C2D51">
        <w:t>obs were classified as low-wage if they paid less than $3</w:t>
      </w:r>
      <w:r w:rsidR="00FD7B94" w:rsidRPr="007C2D51">
        <w:t>3</w:t>
      </w:r>
      <w:r w:rsidR="003475DA" w:rsidRPr="007C2D51">
        <w:t>,</w:t>
      </w:r>
      <w:r w:rsidR="00FD7B94" w:rsidRPr="007C2D51">
        <w:t>075</w:t>
      </w:r>
      <w:r w:rsidR="003475DA" w:rsidRPr="007C2D51">
        <w:t xml:space="preserve"> per year or $15.</w:t>
      </w:r>
      <w:r w:rsidR="00FD7B94" w:rsidRPr="007C2D51">
        <w:t>90</w:t>
      </w:r>
      <w:r w:rsidR="003475DA" w:rsidRPr="007C2D51">
        <w:t xml:space="preserve"> per hour</w:t>
      </w:r>
      <w:r w:rsidR="00CE332B" w:rsidRPr="007C2D51">
        <w:t xml:space="preserve">.  </w:t>
      </w:r>
      <w:r w:rsidR="003475DA" w:rsidRPr="007C2D51">
        <w:t>This assumption was consistent with the goals of the JARC program, which was developed to provide transportation targeted for people at or below 150% of the federal poverty guidelines</w:t>
      </w:r>
      <w:r w:rsidR="00CE332B" w:rsidRPr="007C2D51">
        <w:t xml:space="preserve">.  </w:t>
      </w:r>
      <w:r w:rsidRPr="007C2D51">
        <w:t>T</w:t>
      </w:r>
      <w:r w:rsidR="003475DA" w:rsidRPr="007C2D51">
        <w:t>hese guidelines were set at $2</w:t>
      </w:r>
      <w:r w:rsidR="00FD7B94" w:rsidRPr="007C2D51">
        <w:t>2</w:t>
      </w:r>
      <w:r w:rsidR="003475DA" w:rsidRPr="007C2D51">
        <w:t>,</w:t>
      </w:r>
      <w:r w:rsidR="00FD7B94" w:rsidRPr="007C2D51">
        <w:t>050</w:t>
      </w:r>
      <w:r w:rsidR="003475DA" w:rsidRPr="007C2D51">
        <w:t xml:space="preserve"> a year for a family/household of four</w:t>
      </w:r>
      <w:r w:rsidRPr="007C2D51">
        <w:t xml:space="preserve"> in 2009, which was the most recent year available for the analysis</w:t>
      </w:r>
      <w:r w:rsidR="00CE332B" w:rsidRPr="007C2D51">
        <w:t xml:space="preserve">.  </w:t>
      </w:r>
    </w:p>
    <w:p w:rsidR="003475DA" w:rsidRPr="007C2D51" w:rsidRDefault="003475DA" w:rsidP="003475DA">
      <w:pPr>
        <w:pStyle w:val="ListBullet"/>
        <w:spacing w:after="200" w:line="276" w:lineRule="auto"/>
      </w:pPr>
      <w:r w:rsidRPr="007C2D51">
        <w:t>The Longitudinal Employer-Household Dynamics (LEHD) program was the primary source for jobs data</w:t>
      </w:r>
      <w:r w:rsidR="00CE332B" w:rsidRPr="007C2D51">
        <w:t xml:space="preserve">.  </w:t>
      </w:r>
      <w:r w:rsidRPr="007C2D51">
        <w:t xml:space="preserve">Developed by the </w:t>
      </w:r>
      <w:r w:rsidR="00FC1555" w:rsidRPr="007C2D51">
        <w:t xml:space="preserve">US </w:t>
      </w:r>
      <w:r w:rsidRPr="007C2D51">
        <w:t>Census, LEHD combines federal and state administrative data on employers and employees with core Census Bureau censuses and surveys</w:t>
      </w:r>
      <w:r w:rsidR="00CE332B" w:rsidRPr="007C2D51">
        <w:t xml:space="preserve">.  </w:t>
      </w:r>
    </w:p>
    <w:p w:rsidR="003475DA" w:rsidRPr="007C2D51" w:rsidRDefault="003475DA" w:rsidP="003475DA">
      <w:pPr>
        <w:pStyle w:val="ListBullet"/>
        <w:spacing w:after="200" w:line="276" w:lineRule="auto"/>
      </w:pPr>
      <w:r w:rsidRPr="007C2D51">
        <w:t>Factors were developed for the analysis based on jobs data from 200</w:t>
      </w:r>
      <w:r w:rsidR="00FD7B94" w:rsidRPr="007C2D51">
        <w:t>9</w:t>
      </w:r>
      <w:r w:rsidR="00CE332B" w:rsidRPr="007C2D51">
        <w:t xml:space="preserve">.  </w:t>
      </w:r>
      <w:r w:rsidRPr="007C2D51">
        <w:t>When quarterly data was available, the second quarter of the calendar year was used</w:t>
      </w:r>
      <w:r w:rsidR="00CE332B" w:rsidRPr="007C2D51">
        <w:t xml:space="preserve">.  </w:t>
      </w:r>
    </w:p>
    <w:p w:rsidR="003475DA" w:rsidRPr="007C2D51" w:rsidRDefault="003475DA" w:rsidP="003475DA">
      <w:pPr>
        <w:pStyle w:val="Heading2"/>
      </w:pPr>
      <w:bookmarkStart w:id="161" w:name="_Toc270953188"/>
      <w:bookmarkStart w:id="162" w:name="_Toc273954559"/>
      <w:bookmarkStart w:id="163" w:name="_Toc304965706"/>
      <w:r w:rsidRPr="007C2D51">
        <w:t>LEHD Program</w:t>
      </w:r>
      <w:bookmarkEnd w:id="159"/>
      <w:bookmarkEnd w:id="160"/>
      <w:bookmarkEnd w:id="161"/>
      <w:bookmarkEnd w:id="162"/>
      <w:bookmarkEnd w:id="163"/>
      <w:r w:rsidRPr="007C2D51">
        <w:t xml:space="preserve"> </w:t>
      </w:r>
    </w:p>
    <w:p w:rsidR="003475DA" w:rsidRPr="007C2D51" w:rsidRDefault="003475DA" w:rsidP="003475DA">
      <w:pPr>
        <w:pStyle w:val="BodyText"/>
      </w:pPr>
      <w:r w:rsidRPr="007C2D51">
        <w:t>As indicated above, the evaluation team used the data from the LEHD program to estimate jobs data</w:t>
      </w:r>
      <w:r w:rsidR="00CE332B" w:rsidRPr="007C2D51">
        <w:t xml:space="preserve">.  </w:t>
      </w:r>
      <w:r w:rsidRPr="007C2D51">
        <w:t xml:space="preserve">LEHD was developed by the </w:t>
      </w:r>
      <w:r w:rsidR="00FC1555" w:rsidRPr="007C2D51">
        <w:t xml:space="preserve">US </w:t>
      </w:r>
      <w:r w:rsidRPr="007C2D51">
        <w:t>Census and combines federal and state administrative data on employers and employees with core Census Bureau censuses and surveys</w:t>
      </w:r>
      <w:r w:rsidR="00CE332B" w:rsidRPr="007C2D51">
        <w:t xml:space="preserve">.  </w:t>
      </w:r>
      <w:r w:rsidRPr="007C2D51">
        <w:t>For some components of the analysis, the team used OnTheMap, which is an on-line interactive application using LEHD data</w:t>
      </w:r>
      <w:r w:rsidR="00CE332B" w:rsidRPr="007C2D51">
        <w:t xml:space="preserve">.  </w:t>
      </w:r>
      <w:r w:rsidRPr="007C2D51">
        <w:t>OnTheMap enables analysts to define a transit service and estimate the jobs available within a defined corridor or service area</w:t>
      </w:r>
      <w:r w:rsidR="00CE332B" w:rsidRPr="007C2D51">
        <w:t xml:space="preserve">.  </w:t>
      </w:r>
    </w:p>
    <w:p w:rsidR="003475DA" w:rsidRPr="007C2D51" w:rsidRDefault="003475DA" w:rsidP="003475DA">
      <w:pPr>
        <w:pStyle w:val="BodyText"/>
        <w:rPr>
          <w:szCs w:val="32"/>
        </w:rPr>
      </w:pPr>
      <w:r w:rsidRPr="007C2D51">
        <w:t xml:space="preserve">The information in this section is reproduced verbatim from a description provided by the </w:t>
      </w:r>
      <w:r w:rsidR="00FC1555" w:rsidRPr="007C2D51">
        <w:t>US</w:t>
      </w:r>
      <w:r w:rsidR="00CE332B" w:rsidRPr="007C2D51">
        <w:t xml:space="preserve"> </w:t>
      </w:r>
      <w:r w:rsidRPr="007C2D51">
        <w:t>Census Bureau</w:t>
      </w:r>
      <w:r w:rsidR="00CE332B" w:rsidRPr="007C2D51">
        <w:t xml:space="preserve">.  </w:t>
      </w:r>
      <w:r w:rsidRPr="007C2D51">
        <w:t xml:space="preserve">This information was originally accessed at the following link, which is no longer active: </w:t>
      </w:r>
      <w:hyperlink r:id="rId32" w:anchor="lehd" w:history="1">
        <w:r w:rsidRPr="007C2D51">
          <w:rPr>
            <w:rStyle w:val="Hyperlink"/>
          </w:rPr>
          <w:t>http://lehd.dsd.census.gov/led/about-us/FAQ.html#lehd</w:t>
        </w:r>
      </w:hyperlink>
      <w:r w:rsidRPr="007C2D51">
        <w:t xml:space="preserve"> </w:t>
      </w:r>
    </w:p>
    <w:p w:rsidR="003475DA" w:rsidRPr="007C2D51" w:rsidRDefault="003475DA" w:rsidP="00D90141">
      <w:pPr>
        <w:pStyle w:val="Heading3"/>
      </w:pPr>
      <w:r w:rsidRPr="007C2D51">
        <w:t>What is LEHD?</w:t>
      </w:r>
    </w:p>
    <w:p w:rsidR="003475DA" w:rsidRPr="007C2D51" w:rsidRDefault="006C2BE3" w:rsidP="003475DA">
      <w:pPr>
        <w:rPr>
          <w:rStyle w:val="BodyTextChar1"/>
          <w:rFonts w:asciiTheme="majorHAnsi" w:eastAsiaTheme="minorHAnsi" w:hAnsiTheme="majorHAnsi"/>
          <w:color w:val="3891A7" w:themeColor="accent1"/>
        </w:rPr>
      </w:pPr>
      <w:r w:rsidRPr="007C2D51">
        <w:rPr>
          <w:rStyle w:val="BodyTextChar1"/>
          <w:rFonts w:eastAsiaTheme="minorHAnsi"/>
        </w:rPr>
        <w:t>LEHD</w:t>
      </w:r>
      <w:r w:rsidR="003475DA" w:rsidRPr="007C2D51">
        <w:rPr>
          <w:rStyle w:val="BodyTextChar1"/>
          <w:rFonts w:eastAsiaTheme="minorHAnsi"/>
        </w:rPr>
        <w:t xml:space="preserve"> is an innovative program within the </w:t>
      </w:r>
      <w:r w:rsidR="00FC1555" w:rsidRPr="007C2D51">
        <w:rPr>
          <w:rStyle w:val="BodyTextChar1"/>
          <w:rFonts w:eastAsiaTheme="minorHAnsi"/>
        </w:rPr>
        <w:t>US</w:t>
      </w:r>
      <w:r w:rsidR="00CE332B" w:rsidRPr="007C2D51">
        <w:rPr>
          <w:rStyle w:val="BodyTextChar1"/>
          <w:rFonts w:eastAsiaTheme="minorHAnsi"/>
        </w:rPr>
        <w:t xml:space="preserve"> </w:t>
      </w:r>
      <w:r w:rsidR="003475DA" w:rsidRPr="007C2D51">
        <w:rPr>
          <w:rStyle w:val="BodyTextChar1"/>
          <w:rFonts w:eastAsiaTheme="minorHAnsi"/>
        </w:rPr>
        <w:t>Census Bureau</w:t>
      </w:r>
      <w:r w:rsidR="00CE332B" w:rsidRPr="007C2D51">
        <w:rPr>
          <w:rStyle w:val="BodyTextChar1"/>
          <w:rFonts w:eastAsiaTheme="minorHAnsi"/>
        </w:rPr>
        <w:t xml:space="preserve">.  </w:t>
      </w:r>
      <w:r w:rsidR="003475DA" w:rsidRPr="007C2D51">
        <w:rPr>
          <w:rStyle w:val="BodyTextChar1"/>
          <w:rFonts w:eastAsiaTheme="minorHAnsi"/>
        </w:rPr>
        <w:t xml:space="preserve">We use modern statistical and computing techniques to combine federal and state administrative data on employers and </w:t>
      </w:r>
      <w:r w:rsidR="003475DA" w:rsidRPr="007C2D51">
        <w:rPr>
          <w:rStyle w:val="BodyTextChar1"/>
          <w:rFonts w:eastAsiaTheme="minorHAnsi"/>
        </w:rPr>
        <w:lastRenderedPageBreak/>
        <w:t>employees with core Census Bureau censuses and surveys while protecting the confidentiality of people and firms that provide the data.</w:t>
      </w:r>
      <w:bookmarkStart w:id="164" w:name="led"/>
      <w:bookmarkEnd w:id="164"/>
    </w:p>
    <w:p w:rsidR="003475DA" w:rsidRPr="007C2D51" w:rsidRDefault="003475DA" w:rsidP="00D90141">
      <w:pPr>
        <w:pStyle w:val="Heading3"/>
      </w:pPr>
      <w:r w:rsidRPr="007C2D51">
        <w:t>What is LED?</w:t>
      </w:r>
    </w:p>
    <w:p w:rsidR="003475DA" w:rsidRPr="007C2D51" w:rsidRDefault="006C2BE3" w:rsidP="003475DA">
      <w:pPr>
        <w:pStyle w:val="BodyText"/>
      </w:pPr>
      <w:r w:rsidRPr="007C2D51">
        <w:rPr>
          <w:noProof/>
          <w:szCs w:val="20"/>
        </w:rPr>
        <w:drawing>
          <wp:anchor distT="91440" distB="91440" distL="114300" distR="114300" simplePos="0" relativeHeight="251716608" behindDoc="1" locked="0" layoutInCell="1" allowOverlap="1">
            <wp:simplePos x="0" y="0"/>
            <wp:positionH relativeFrom="margin">
              <wp:align>center</wp:align>
            </wp:positionH>
            <wp:positionV relativeFrom="paragraph">
              <wp:posOffset>1266190</wp:posOffset>
            </wp:positionV>
            <wp:extent cx="4629150" cy="2981325"/>
            <wp:effectExtent l="171450" t="133350" r="361950" b="314325"/>
            <wp:wrapTopAndBottom/>
            <wp:docPr id="1" name="Picture 2" descr="Longitudinal Employer-Household Dynamics Program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ngitudinal Employer-Household Dynamics Program Chart"/>
                    <pic:cNvPicPr>
                      <a:picLocks noChangeAspect="1" noChangeArrowheads="1"/>
                    </pic:cNvPicPr>
                  </pic:nvPicPr>
                  <pic:blipFill>
                    <a:blip r:embed="rId33" r:link="rId34" cstate="print"/>
                    <a:srcRect/>
                    <a:stretch>
                      <a:fillRect/>
                    </a:stretch>
                  </pic:blipFill>
                  <pic:spPr bwMode="auto">
                    <a:xfrm>
                      <a:off x="0" y="0"/>
                      <a:ext cx="4629150" cy="2981325"/>
                    </a:xfrm>
                    <a:prstGeom prst="rect">
                      <a:avLst/>
                    </a:prstGeom>
                    <a:ln>
                      <a:noFill/>
                    </a:ln>
                    <a:effectLst>
                      <a:outerShdw blurRad="292100" dist="139700" dir="2700000" algn="tl" rotWithShape="0">
                        <a:srgbClr val="333333">
                          <a:alpha val="65000"/>
                        </a:srgbClr>
                      </a:outerShdw>
                    </a:effectLst>
                  </pic:spPr>
                </pic:pic>
              </a:graphicData>
            </a:graphic>
          </wp:anchor>
        </w:drawing>
      </w:r>
      <w:r w:rsidR="003475DA" w:rsidRPr="007C2D51">
        <w:rPr>
          <w:rStyle w:val="BodyTextChar"/>
          <w:sz w:val="24"/>
          <w:lang w:eastAsia="en-US"/>
        </w:rPr>
        <w:t xml:space="preserve">Local Employment Dynamics (LED) is a voluntary partnership between state labor market information agencies and the </w:t>
      </w:r>
      <w:r w:rsidR="00FC1555" w:rsidRPr="007C2D51">
        <w:rPr>
          <w:rStyle w:val="BodyTextChar"/>
          <w:sz w:val="24"/>
          <w:lang w:eastAsia="en-US"/>
        </w:rPr>
        <w:t xml:space="preserve">US </w:t>
      </w:r>
      <w:r w:rsidR="003475DA" w:rsidRPr="007C2D51">
        <w:rPr>
          <w:rStyle w:val="BodyTextChar"/>
          <w:sz w:val="24"/>
          <w:lang w:eastAsia="en-US"/>
        </w:rPr>
        <w:t>Census Bureau to develop new information about local labor market conditions at low cost, with no added respondent burden, and with the same confidentiality protections afforded census and survey data</w:t>
      </w:r>
      <w:r w:rsidR="00CE332B" w:rsidRPr="007C2D51">
        <w:rPr>
          <w:rStyle w:val="BodyTextChar"/>
          <w:sz w:val="24"/>
          <w:lang w:eastAsia="en-US"/>
        </w:rPr>
        <w:t xml:space="preserve">.  </w:t>
      </w:r>
      <w:r w:rsidR="003475DA" w:rsidRPr="007C2D51">
        <w:rPr>
          <w:rStyle w:val="BodyTextChar"/>
          <w:sz w:val="24"/>
          <w:lang w:eastAsia="en-US"/>
        </w:rPr>
        <w:t>The following graphic illustrates the difference between LEHD and LED.</w:t>
      </w:r>
    </w:p>
    <w:p w:rsidR="003475DA" w:rsidRPr="007C2D51" w:rsidRDefault="003475DA" w:rsidP="00D90141">
      <w:pPr>
        <w:pStyle w:val="Heading3"/>
      </w:pPr>
      <w:r w:rsidRPr="007C2D51">
        <w:t xml:space="preserve">What are the </w:t>
      </w:r>
      <w:r w:rsidR="006C2BE3" w:rsidRPr="007C2D51">
        <w:t>Quarterly Workforce Indicators?</w:t>
      </w:r>
    </w:p>
    <w:p w:rsidR="003475DA" w:rsidRPr="007C2D51" w:rsidRDefault="003475DA" w:rsidP="003475DA">
      <w:pPr>
        <w:pStyle w:val="BodyText"/>
      </w:pPr>
      <w:r w:rsidRPr="007C2D51">
        <w:t>The Quarterly Workforce Indicators (QWI) are a set of economic indicators -- including employment, job creation, wages, and worker turnover -- that can be queried by different levels of geography -- state, county, metro, and workforce investment area -- as well as by detailed industry, gender, and age of workers</w:t>
      </w:r>
      <w:r w:rsidR="00CE332B" w:rsidRPr="007C2D51">
        <w:t xml:space="preserve">.  </w:t>
      </w:r>
      <w:r w:rsidRPr="007C2D51">
        <w:t>You can query the data directly by using the QWI on-line tool on this site.</w:t>
      </w:r>
    </w:p>
    <w:p w:rsidR="003475DA" w:rsidRPr="007C2D51" w:rsidRDefault="003475DA" w:rsidP="00D90141">
      <w:pPr>
        <w:pStyle w:val="Heading3"/>
      </w:pPr>
      <w:bookmarkStart w:id="165" w:name="qwiforallstates"/>
      <w:bookmarkEnd w:id="165"/>
      <w:r w:rsidRPr="007C2D51">
        <w:t>Why aren't QWI data available for all states?</w:t>
      </w:r>
    </w:p>
    <w:p w:rsidR="003475DA" w:rsidRPr="007C2D51" w:rsidRDefault="003475DA" w:rsidP="003475DA">
      <w:pPr>
        <w:pStyle w:val="BodyText"/>
      </w:pPr>
      <w:r w:rsidRPr="007C2D51">
        <w:t>QWI data are available for all states that are LED-state partners; however, not every state is currently a LED-state partner</w:t>
      </w:r>
      <w:r w:rsidR="00CE332B" w:rsidRPr="007C2D51">
        <w:t xml:space="preserve">.  </w:t>
      </w:r>
      <w:r w:rsidRPr="007C2D51">
        <w:t xml:space="preserve">A list of LED state partners can be found </w:t>
      </w:r>
      <w:hyperlink r:id="rId35" w:history="1">
        <w:r w:rsidRPr="007C2D51">
          <w:rPr>
            <w:rStyle w:val="Hyperlink"/>
          </w:rPr>
          <w:t>here</w:t>
        </w:r>
      </w:hyperlink>
      <w:r w:rsidR="00CE332B" w:rsidRPr="007C2D51">
        <w:t xml:space="preserve">.  </w:t>
      </w:r>
      <w:r w:rsidRPr="007C2D51">
        <w:t>New partner states with data currently in production will have data available on the website as soon as production is complete</w:t>
      </w:r>
      <w:r w:rsidR="00CE332B" w:rsidRPr="007C2D51">
        <w:t xml:space="preserve">.  </w:t>
      </w:r>
    </w:p>
    <w:p w:rsidR="003475DA" w:rsidRPr="007C2D51" w:rsidRDefault="003475DA" w:rsidP="00D90141">
      <w:pPr>
        <w:pStyle w:val="Heading3"/>
      </w:pPr>
      <w:bookmarkStart w:id="166" w:name="employment"/>
      <w:bookmarkEnd w:id="166"/>
      <w:r w:rsidRPr="007C2D51">
        <w:lastRenderedPageBreak/>
        <w:t>What types of employment are included in the QWI?</w:t>
      </w:r>
    </w:p>
    <w:p w:rsidR="003475DA" w:rsidRPr="007C2D51" w:rsidRDefault="003475DA" w:rsidP="003475DA">
      <w:pPr>
        <w:pStyle w:val="BodyText"/>
      </w:pPr>
      <w:r w:rsidRPr="007C2D51">
        <w:t>The QWI are built upon wage records in the Unemployment Insurance (UI) system and information from state ES-202 data</w:t>
      </w:r>
      <w:r w:rsidR="00CE332B" w:rsidRPr="007C2D51">
        <w:t xml:space="preserve">.  </w:t>
      </w:r>
      <w:r w:rsidRPr="007C2D51">
        <w:t>The universe of QWI data is UI-covered earnings</w:t>
      </w:r>
      <w:r w:rsidR="00CE332B" w:rsidRPr="007C2D51">
        <w:t xml:space="preserve">.  </w:t>
      </w:r>
      <w:r w:rsidRPr="007C2D51">
        <w:t>UI coverage is broad, covering over 90% of total wage and salary civilian jobs</w:t>
      </w:r>
      <w:r w:rsidR="00CE332B" w:rsidRPr="007C2D51">
        <w:t xml:space="preserve">.  </w:t>
      </w:r>
    </w:p>
    <w:p w:rsidR="003475DA" w:rsidRPr="007C2D51" w:rsidRDefault="003475DA" w:rsidP="003475DA">
      <w:pPr>
        <w:pStyle w:val="BodyText"/>
      </w:pPr>
      <w:r w:rsidRPr="007C2D51">
        <w:t>When QWI private industry employment numbers are compared with other employment data, exclusions to UI coverage should be taken into account</w:t>
      </w:r>
      <w:r w:rsidR="00CE332B" w:rsidRPr="007C2D51">
        <w:t xml:space="preserve">.  </w:t>
      </w:r>
      <w:r w:rsidRPr="007C2D51">
        <w:t>Federal government employment is not generally included</w:t>
      </w:r>
      <w:r w:rsidR="00CE332B" w:rsidRPr="007C2D51">
        <w:t xml:space="preserve">.  </w:t>
      </w:r>
      <w:r w:rsidRPr="007C2D51">
        <w:t>Exempted employment varies slightly from state to state due to variations in state unemployment laws, but generally also excludes many farmers and agricultural employees, domestic workers, self-employed non-agricultural workers, members of the Armed Services, some state and local government employees as well as certain types of nonprofit employers and religious organizations (which are given a choice of coverage or non-coverage in a number of states)</w:t>
      </w:r>
      <w:r w:rsidR="00CE332B" w:rsidRPr="007C2D51">
        <w:t xml:space="preserve">.  </w:t>
      </w:r>
    </w:p>
    <w:p w:rsidR="003475DA" w:rsidRPr="007C2D51" w:rsidRDefault="003475DA" w:rsidP="003475DA">
      <w:pPr>
        <w:pStyle w:val="Heading2"/>
      </w:pPr>
      <w:bookmarkStart w:id="167" w:name="_Toc269480050"/>
      <w:bookmarkStart w:id="168" w:name="_Toc270512701"/>
      <w:bookmarkStart w:id="169" w:name="_Toc270953189"/>
      <w:bookmarkStart w:id="170" w:name="_Toc273954560"/>
      <w:bookmarkStart w:id="171" w:name="_Toc304965707"/>
      <w:r w:rsidRPr="007C2D51">
        <w:t>Estimating Jobs for Fixed Route Services</w:t>
      </w:r>
      <w:bookmarkEnd w:id="167"/>
      <w:bookmarkEnd w:id="168"/>
      <w:bookmarkEnd w:id="169"/>
      <w:bookmarkEnd w:id="170"/>
      <w:bookmarkEnd w:id="171"/>
    </w:p>
    <w:p w:rsidR="003475DA" w:rsidRPr="007C2D51" w:rsidRDefault="003475DA" w:rsidP="003475DA">
      <w:pPr>
        <w:pStyle w:val="BodyText"/>
      </w:pPr>
      <w:r w:rsidRPr="007C2D51">
        <w:t>To estimate jobs accessed by fixed route services, the JARC Evaluation Team developed a job density factor</w:t>
      </w:r>
      <w:r w:rsidR="00D90141" w:rsidRPr="007C2D51">
        <w:t xml:space="preserve">, which estimated </w:t>
      </w:r>
      <w:r w:rsidRPr="007C2D51">
        <w:t>jobs per mile</w:t>
      </w:r>
      <w:r w:rsidR="00CE332B" w:rsidRPr="007C2D51">
        <w:t xml:space="preserve">.  </w:t>
      </w:r>
      <w:r w:rsidRPr="007C2D51">
        <w:t>Grantees reporting fixed routes, flexible routes, or shuttle/feeder services were asked to report unique route miles for each service</w:t>
      </w:r>
      <w:r w:rsidR="00CE332B" w:rsidRPr="007C2D51">
        <w:t xml:space="preserve">.  </w:t>
      </w:r>
      <w:r w:rsidRPr="007C2D51">
        <w:t>Unique route miles were defined as the length of the route in miles, from start to finish without duplication</w:t>
      </w:r>
      <w:r w:rsidR="00CE332B" w:rsidRPr="007C2D51">
        <w:t xml:space="preserve">.  </w:t>
      </w:r>
      <w:r w:rsidRPr="007C2D51">
        <w:t>The team used the factor to estimate the total number of jobs located within one-half mile (measured as one-quarter mile in each direction) of the route</w:t>
      </w:r>
      <w:r w:rsidR="00CE332B" w:rsidRPr="007C2D51">
        <w:t xml:space="preserve">.  </w:t>
      </w:r>
      <w:r w:rsidRPr="007C2D51">
        <w:t>The factor was first developed for the FY 2006 analysis and updated for subsequent data collection efforts.</w:t>
      </w:r>
    </w:p>
    <w:p w:rsidR="003475DA" w:rsidRPr="007C2D51" w:rsidRDefault="003475DA" w:rsidP="003475DA">
      <w:pPr>
        <w:pStyle w:val="Heading3"/>
      </w:pPr>
      <w:r w:rsidRPr="007C2D51">
        <w:t xml:space="preserve">FY 2006 </w:t>
      </w:r>
      <w:r w:rsidR="006C2BE3" w:rsidRPr="007C2D51">
        <w:t>a</w:t>
      </w:r>
      <w:r w:rsidRPr="007C2D51">
        <w:t>nalysis</w:t>
      </w:r>
    </w:p>
    <w:p w:rsidR="003475DA" w:rsidRPr="007C2D51" w:rsidRDefault="003475DA" w:rsidP="003475DA">
      <w:pPr>
        <w:pStyle w:val="BodyText"/>
      </w:pPr>
      <w:r w:rsidRPr="007C2D51">
        <w:t>To develop the original factor for FY 2006, the team used ArcView Geographic Information Systems (GIS) software in combination with a proprietary database purchased from Dun &amp; Bradstreet</w:t>
      </w:r>
      <w:r w:rsidR="00CE332B" w:rsidRPr="007C2D51">
        <w:t xml:space="preserve">.  </w:t>
      </w:r>
      <w:r w:rsidRPr="007C2D51">
        <w:t>The team acquired GIS files for JARC-supported routes from selected transit agencies; routes were plotted on a GIS base map and the number of jobs within a quarter-mile buffer was extracted from the Dun &amp; Bradstreet database</w:t>
      </w:r>
      <w:r w:rsidR="00CE332B" w:rsidRPr="007C2D51">
        <w:t xml:space="preserve">.  </w:t>
      </w:r>
      <w:r w:rsidRPr="007C2D51">
        <w:t>Using the weighted average from 96 routes (including a mix of JARC-supported services and general services but only limited geographic coverage), the team developed an estimate of total jobs and low-wage jobs per mile</w:t>
      </w:r>
      <w:r w:rsidR="00CE332B" w:rsidRPr="007C2D51">
        <w:t xml:space="preserve">.  </w:t>
      </w:r>
      <w:r w:rsidRPr="007C2D51">
        <w:t>Low-wage jobs were defined as those jobs paying $14.42 an hour or less; this corresponded to 150% of Federal poverty guidelines or $30,000 per year in 2006, which was the best available data at the time</w:t>
      </w:r>
      <w:r w:rsidR="00CE332B" w:rsidRPr="007C2D51">
        <w:t xml:space="preserve">.  </w:t>
      </w:r>
      <w:r w:rsidRPr="007C2D51">
        <w:t>While this approach yielded usable results, the GIS analysis was extremely labor-intensive, and the team determined that the Dun &amp; Bradstreet dataset was too expensive to acquire for a national-level analysis</w:t>
      </w:r>
      <w:r w:rsidR="00CE332B" w:rsidRPr="007C2D51">
        <w:t xml:space="preserve">.  </w:t>
      </w:r>
    </w:p>
    <w:p w:rsidR="003475DA" w:rsidRPr="007C2D51" w:rsidRDefault="003475DA" w:rsidP="003475DA">
      <w:pPr>
        <w:pStyle w:val="Heading3"/>
      </w:pPr>
      <w:r w:rsidRPr="007C2D51">
        <w:t xml:space="preserve">FY 2007 / FY 2008 </w:t>
      </w:r>
      <w:r w:rsidR="006C2BE3" w:rsidRPr="007C2D51">
        <w:t>a</w:t>
      </w:r>
      <w:r w:rsidRPr="007C2D51">
        <w:t>nalysis</w:t>
      </w:r>
    </w:p>
    <w:p w:rsidR="003475DA" w:rsidRPr="007C2D51" w:rsidRDefault="003475DA" w:rsidP="003475DA">
      <w:pPr>
        <w:pStyle w:val="BodyText"/>
      </w:pPr>
      <w:r w:rsidRPr="007C2D51">
        <w:t>To make this factor more robust for FY 2007 / FY 2008, the team increased the number of JARC-supported routes in the sample and expanded the sample to include additional parts of the country</w:t>
      </w:r>
      <w:r w:rsidR="00CE332B" w:rsidRPr="007C2D51">
        <w:t xml:space="preserve">.  </w:t>
      </w:r>
      <w:r w:rsidRPr="007C2D51">
        <w:t>To update the fixed route job density factor, the JARC/NF evaluation team selected candidate routes from the FY 2006 JARC database</w:t>
      </w:r>
      <w:r w:rsidR="00CE332B" w:rsidRPr="007C2D51">
        <w:t xml:space="preserve">.  </w:t>
      </w:r>
    </w:p>
    <w:p w:rsidR="003475DA" w:rsidRPr="007C2D51" w:rsidRDefault="003475DA" w:rsidP="003475DA">
      <w:pPr>
        <w:pStyle w:val="BodyText"/>
      </w:pPr>
      <w:r w:rsidRPr="007C2D51">
        <w:lastRenderedPageBreak/>
        <w:t xml:space="preserve">The team also tested a more cost-effective approach that took advantage of the free job information data available from OnTheMap, an on-line mapping tool from the </w:t>
      </w:r>
      <w:r w:rsidR="00FC1555" w:rsidRPr="007C2D51">
        <w:t>US</w:t>
      </w:r>
      <w:r w:rsidR="00CE332B" w:rsidRPr="007C2D51">
        <w:t xml:space="preserve"> </w:t>
      </w:r>
      <w:r w:rsidRPr="007C2D51">
        <w:t>Census Bureau</w:t>
      </w:r>
      <w:r w:rsidR="00CE332B" w:rsidRPr="007C2D51">
        <w:t xml:space="preserve">.  </w:t>
      </w:r>
      <w:r w:rsidRPr="007C2D51">
        <w:t>OnTheMap allows analysts to define a geographic area and to extract the number of jobs located within that service area or corridor</w:t>
      </w:r>
      <w:r w:rsidR="00CE332B" w:rsidRPr="007C2D51">
        <w:t xml:space="preserve">.  </w:t>
      </w:r>
      <w:r w:rsidRPr="007C2D51">
        <w:t>Analysts may define the service area in several ways: using standard geography (such as ZIP codes), drawing a line OnTheMap and choosing a buffer (appropriate for fixed route services), by drawing a freeform shape on a map (appropriate for demand response services), or by choosing a center point and a buffer</w:t>
      </w:r>
      <w:r w:rsidR="00CE332B" w:rsidRPr="007C2D51">
        <w:t xml:space="preserve">.  </w:t>
      </w:r>
      <w:r w:rsidRPr="007C2D51">
        <w:t>The application uses LEHD data</w:t>
      </w:r>
      <w:r w:rsidR="00CE332B" w:rsidRPr="007C2D51">
        <w:t xml:space="preserve">.  </w:t>
      </w:r>
    </w:p>
    <w:p w:rsidR="003475DA" w:rsidRPr="007C2D51" w:rsidRDefault="003475DA" w:rsidP="003475DA">
      <w:pPr>
        <w:pStyle w:val="BodyText"/>
      </w:pPr>
      <w:r w:rsidRPr="007C2D51">
        <w:t>Routes were selected for analysis from the FY 2006 JARC database based on the following factors:</w:t>
      </w:r>
    </w:p>
    <w:p w:rsidR="003475DA" w:rsidRPr="007C2D51" w:rsidRDefault="003475DA" w:rsidP="003475DA">
      <w:pPr>
        <w:pStyle w:val="ListBullet"/>
        <w:spacing w:after="200" w:line="276" w:lineRule="auto"/>
      </w:pPr>
      <w:r w:rsidRPr="007C2D51">
        <w:t>Geographic diversity</w:t>
      </w:r>
    </w:p>
    <w:p w:rsidR="003475DA" w:rsidRPr="007C2D51" w:rsidRDefault="003475DA" w:rsidP="003475DA">
      <w:pPr>
        <w:pStyle w:val="ListBullet"/>
        <w:spacing w:after="200" w:line="276" w:lineRule="auto"/>
      </w:pPr>
      <w:r w:rsidRPr="007C2D51">
        <w:t>Representation in LEHD/OnTheMap</w:t>
      </w:r>
    </w:p>
    <w:p w:rsidR="003475DA" w:rsidRPr="007C2D51" w:rsidRDefault="003475DA" w:rsidP="003475DA">
      <w:pPr>
        <w:pStyle w:val="ListBullet"/>
        <w:spacing w:after="200" w:line="276" w:lineRule="auto"/>
      </w:pPr>
      <w:r w:rsidRPr="007C2D51">
        <w:t>Availability of a route map (to facilitate drawing the route for further analysis)</w:t>
      </w:r>
    </w:p>
    <w:p w:rsidR="003475DA" w:rsidRPr="007C2D51" w:rsidRDefault="003475DA" w:rsidP="003475DA">
      <w:pPr>
        <w:pStyle w:val="BodyText"/>
      </w:pPr>
      <w:r w:rsidRPr="007C2D51">
        <w:t>This selection of routes was considered a “convenience” sample, rather than a random sample</w:t>
      </w:r>
      <w:r w:rsidR="00CE332B" w:rsidRPr="007C2D51">
        <w:t xml:space="preserve">.  </w:t>
      </w:r>
    </w:p>
    <w:p w:rsidR="003475DA" w:rsidRPr="007C2D51" w:rsidRDefault="003475DA" w:rsidP="003475DA">
      <w:pPr>
        <w:pStyle w:val="BodyText"/>
      </w:pPr>
      <w:r w:rsidRPr="007C2D51">
        <w:t>Once the routes were identified, the following methodology was used to develop the job density factor:</w:t>
      </w:r>
    </w:p>
    <w:p w:rsidR="003475DA" w:rsidRPr="007C2D51" w:rsidRDefault="003475DA" w:rsidP="003475DA">
      <w:pPr>
        <w:pStyle w:val="ListBullet"/>
        <w:spacing w:after="200" w:line="276" w:lineRule="auto"/>
      </w:pPr>
      <w:r w:rsidRPr="007C2D51">
        <w:t>Draw each route and convert to a GIS shape file using ArcView</w:t>
      </w:r>
      <w:r w:rsidR="00CE332B" w:rsidRPr="007C2D51">
        <w:t xml:space="preserve">.  </w:t>
      </w:r>
      <w:r w:rsidRPr="007C2D51">
        <w:t>(As shape files, the routes could be saved for future adjustments and modifications.)</w:t>
      </w:r>
    </w:p>
    <w:p w:rsidR="003475DA" w:rsidRPr="007C2D51" w:rsidRDefault="003475DA" w:rsidP="003475DA">
      <w:pPr>
        <w:pStyle w:val="ListBullet"/>
        <w:spacing w:after="200" w:line="276" w:lineRule="auto"/>
      </w:pPr>
      <w:r w:rsidRPr="007C2D51">
        <w:t>Draw a quarter-mile buffer on both sides of each route.</w:t>
      </w:r>
    </w:p>
    <w:p w:rsidR="003475DA" w:rsidRPr="007C2D51" w:rsidRDefault="003475DA" w:rsidP="003475DA">
      <w:pPr>
        <w:pStyle w:val="ListBullet"/>
        <w:spacing w:after="200" w:line="276" w:lineRule="auto"/>
      </w:pPr>
      <w:r w:rsidRPr="007C2D51">
        <w:t>Calculate the square mileage within the buffer.</w:t>
      </w:r>
    </w:p>
    <w:p w:rsidR="003475DA" w:rsidRPr="007C2D51" w:rsidRDefault="003475DA" w:rsidP="003475DA">
      <w:pPr>
        <w:pStyle w:val="ListBullet"/>
        <w:spacing w:after="200" w:line="276" w:lineRule="auto"/>
      </w:pPr>
      <w:r w:rsidRPr="007C2D51">
        <w:t>Use OnTheMap to redraw each route with the buffer tool.</w:t>
      </w:r>
    </w:p>
    <w:p w:rsidR="003475DA" w:rsidRPr="007C2D51" w:rsidRDefault="003475DA" w:rsidP="003475DA">
      <w:pPr>
        <w:pStyle w:val="ListBullet"/>
        <w:spacing w:after="200" w:line="276" w:lineRule="auto"/>
      </w:pPr>
      <w:r w:rsidRPr="007C2D51">
        <w:t>Calculate the number of jobs within the quarter-mile buffer</w:t>
      </w:r>
      <w:r w:rsidR="00CE332B" w:rsidRPr="007C2D51">
        <w:t xml:space="preserve">.  </w:t>
      </w:r>
    </w:p>
    <w:p w:rsidR="003475DA" w:rsidRPr="007C2D51" w:rsidRDefault="003475DA" w:rsidP="003475DA">
      <w:pPr>
        <w:pStyle w:val="ListBullet"/>
        <w:spacing w:after="200" w:line="276" w:lineRule="auto"/>
      </w:pPr>
      <w:r w:rsidRPr="007C2D51">
        <w:t>Using square mileage and job estimations, calculate jobs per square mile factor.</w:t>
      </w:r>
    </w:p>
    <w:p w:rsidR="003475DA" w:rsidRPr="007C2D51" w:rsidRDefault="003475DA" w:rsidP="003475DA">
      <w:pPr>
        <w:pStyle w:val="ListBullet"/>
        <w:spacing w:after="200" w:line="276" w:lineRule="auto"/>
      </w:pPr>
      <w:r w:rsidRPr="007C2D51">
        <w:t>Adjust to jobs per linear mile.</w:t>
      </w:r>
    </w:p>
    <w:p w:rsidR="003475DA" w:rsidRPr="007C2D51" w:rsidRDefault="003475DA" w:rsidP="003475DA">
      <w:pPr>
        <w:pStyle w:val="Heading3"/>
      </w:pPr>
      <w:r w:rsidRPr="007C2D51">
        <w:t xml:space="preserve">FY </w:t>
      </w:r>
      <w:r w:rsidR="00D56012" w:rsidRPr="007C2D51">
        <w:t>20</w:t>
      </w:r>
      <w:r w:rsidR="00FD7B94" w:rsidRPr="007C2D51">
        <w:t>09</w:t>
      </w:r>
      <w:r w:rsidRPr="007C2D51">
        <w:t xml:space="preserve"> </w:t>
      </w:r>
      <w:r w:rsidR="006C2BE3" w:rsidRPr="007C2D51">
        <w:t>a</w:t>
      </w:r>
      <w:r w:rsidRPr="007C2D51">
        <w:t>nalysis</w:t>
      </w:r>
    </w:p>
    <w:p w:rsidR="003475DA" w:rsidRPr="007C2D51" w:rsidRDefault="003475DA" w:rsidP="003475DA">
      <w:pPr>
        <w:pStyle w:val="BodyText"/>
      </w:pPr>
      <w:r w:rsidRPr="007C2D51">
        <w:t xml:space="preserve">For the FY </w:t>
      </w:r>
      <w:r w:rsidR="00D56012" w:rsidRPr="007C2D51">
        <w:t>20</w:t>
      </w:r>
      <w:r w:rsidR="00D90141" w:rsidRPr="007C2D51">
        <w:t>09</w:t>
      </w:r>
      <w:r w:rsidRPr="007C2D51">
        <w:t xml:space="preserve"> analysis, the consultant team again updated the job density factor using a more refined methodology</w:t>
      </w:r>
      <w:r w:rsidR="00CE332B" w:rsidRPr="007C2D51">
        <w:t xml:space="preserve">.  </w:t>
      </w:r>
      <w:r w:rsidRPr="007C2D51">
        <w:t>Instead of basing the factor on a convenience sample, as in previous years, the team drew a random sample of fixed routes funded by the JARC program</w:t>
      </w:r>
      <w:r w:rsidR="00CE332B" w:rsidRPr="007C2D51">
        <w:t xml:space="preserve">.  </w:t>
      </w:r>
      <w:r w:rsidRPr="007C2D51">
        <w:t>The first step was to assemble a list of all fixed routes funded by the program</w:t>
      </w:r>
      <w:r w:rsidR="00CE332B" w:rsidRPr="007C2D51">
        <w:t xml:space="preserve">.  </w:t>
      </w:r>
      <w:r w:rsidRPr="007C2D51">
        <w:t>Routes were drawn from the universe of JARC services reported for FY 2007 – FY 2008</w:t>
      </w:r>
      <w:r w:rsidR="00CE332B" w:rsidRPr="007C2D51">
        <w:t xml:space="preserve">.  </w:t>
      </w:r>
      <w:r w:rsidRPr="007C2D51">
        <w:t xml:space="preserve">In some cases, recipients submitted a single report for similar </w:t>
      </w:r>
      <w:r w:rsidR="00FB01E4" w:rsidRPr="007C2D51">
        <w:t>improvements</w:t>
      </w:r>
      <w:r w:rsidRPr="007C2D51">
        <w:t xml:space="preserve"> on multiple routes (e.g., adding Sunday service on three different routes)</w:t>
      </w:r>
      <w:r w:rsidR="00CE332B" w:rsidRPr="007C2D51">
        <w:t xml:space="preserve">.  </w:t>
      </w:r>
      <w:r w:rsidRPr="007C2D51">
        <w:t>The team identified these instance</w:t>
      </w:r>
      <w:r w:rsidR="00D42E10" w:rsidRPr="007C2D51">
        <w:t>s</w:t>
      </w:r>
      <w:r w:rsidRPr="007C2D51">
        <w:t xml:space="preserve"> based on information in the service profiles or external information, such as a route map, and separated the </w:t>
      </w:r>
      <w:r w:rsidR="00E251A9" w:rsidRPr="007C2D51">
        <w:t>services into</w:t>
      </w:r>
      <w:r w:rsidRPr="007C2D51">
        <w:t xml:space="preserve"> individual routes so that the sample could be drawn without bias toward some grantees</w:t>
      </w:r>
      <w:r w:rsidR="00CE332B" w:rsidRPr="007C2D51">
        <w:t xml:space="preserve">.  </w:t>
      </w:r>
      <w:r w:rsidRPr="007C2D51">
        <w:t>After these route groupings were disaggregated, 432 individual routes were identified</w:t>
      </w:r>
      <w:r w:rsidR="00CE332B" w:rsidRPr="007C2D51">
        <w:t xml:space="preserve">.  </w:t>
      </w:r>
      <w:r w:rsidRPr="007C2D51">
        <w:t xml:space="preserve">This universe excluded feeders and shuttles because </w:t>
      </w:r>
      <w:r w:rsidR="00E251A9" w:rsidRPr="007C2D51">
        <w:t>these routes</w:t>
      </w:r>
      <w:r w:rsidRPr="007C2D51">
        <w:t xml:space="preserve"> often are designed to serve a single employer or destination rather than a corridor</w:t>
      </w:r>
      <w:r w:rsidR="00CE332B" w:rsidRPr="007C2D51">
        <w:t xml:space="preserve">.  </w:t>
      </w:r>
    </w:p>
    <w:p w:rsidR="003475DA" w:rsidRPr="007C2D51" w:rsidRDefault="003475DA" w:rsidP="003475DA">
      <w:pPr>
        <w:pStyle w:val="BodyText"/>
      </w:pPr>
      <w:r w:rsidRPr="007C2D51">
        <w:lastRenderedPageBreak/>
        <w:t>The goal for the precision of the job-density estimate was plus/minus 10% at the 95% confidence level</w:t>
      </w:r>
      <w:r w:rsidR="00CE332B" w:rsidRPr="007C2D51">
        <w:t xml:space="preserve">.  </w:t>
      </w:r>
      <w:r w:rsidRPr="007C2D51">
        <w:t>In order to estimate the size of the sample needed to achieve this precision, data from previous years were analyzed to calculate the sample variance</w:t>
      </w:r>
      <w:r w:rsidR="00CE332B" w:rsidRPr="007C2D51">
        <w:t xml:space="preserve">.  </w:t>
      </w:r>
      <w:r w:rsidRPr="007C2D51">
        <w:t>While the routes analyzed in previous years were not selected randomly, it was reasoned that the sample variance of those routes would be a reasonable proxy for the sample variance of a randomly-selected set of routes</w:t>
      </w:r>
      <w:r w:rsidR="00CE332B" w:rsidRPr="007C2D51">
        <w:t xml:space="preserve">.  </w:t>
      </w:r>
      <w:r w:rsidRPr="007C2D51">
        <w:t>As a result of this analysis, it was determined that a sample size of 135 routes would yield the desired precision</w:t>
      </w:r>
      <w:r w:rsidR="00CE332B" w:rsidRPr="007C2D51">
        <w:t xml:space="preserve">.  </w:t>
      </w:r>
    </w:p>
    <w:p w:rsidR="003475DA" w:rsidRPr="007C2D51" w:rsidRDefault="003475DA" w:rsidP="003475DA">
      <w:pPr>
        <w:pStyle w:val="BodyText"/>
      </w:pPr>
      <w:r w:rsidRPr="007C2D51">
        <w:t>To choose the sample, each individual route was assigned a unique identification code and then these were matched with serial numbers</w:t>
      </w:r>
      <w:r w:rsidR="00CE332B" w:rsidRPr="007C2D51">
        <w:t xml:space="preserve">.  </w:t>
      </w:r>
      <w:r w:rsidRPr="007C2D51">
        <w:t>Using the random number function in Excel, 135 codes were selected</w:t>
      </w:r>
      <w:r w:rsidR="00CE332B" w:rsidRPr="007C2D51">
        <w:t xml:space="preserve">.  </w:t>
      </w:r>
      <w:r w:rsidRPr="007C2D51">
        <w:t>This required generating more than 135 random numbers, since there were some duplicates among the random numbers</w:t>
      </w:r>
      <w:r w:rsidR="00CE332B" w:rsidRPr="007C2D51">
        <w:t xml:space="preserve">.  </w:t>
      </w:r>
      <w:r w:rsidRPr="007C2D51">
        <w:t xml:space="preserve">In addition, a set of 45 </w:t>
      </w:r>
      <w:r w:rsidR="00E251A9" w:rsidRPr="007C2D51">
        <w:t>randomly selected</w:t>
      </w:r>
      <w:r w:rsidRPr="007C2D51">
        <w:t xml:space="preserve"> “alternates” was chosen in case it was not possible to obtain routing information for one of the selected routes, or if other data problems surfaced</w:t>
      </w:r>
      <w:r w:rsidR="00CE332B" w:rsidRPr="007C2D51">
        <w:t xml:space="preserve">.  </w:t>
      </w:r>
      <w:r w:rsidRPr="007C2D51">
        <w:t>In the end, 25 of these alternates were used</w:t>
      </w:r>
      <w:r w:rsidR="00CE332B" w:rsidRPr="007C2D51">
        <w:t xml:space="preserve">.  </w:t>
      </w:r>
    </w:p>
    <w:p w:rsidR="003475DA" w:rsidRPr="007C2D51" w:rsidRDefault="003475DA" w:rsidP="003475DA">
      <w:pPr>
        <w:pStyle w:val="BodyText"/>
      </w:pPr>
      <w:r w:rsidRPr="007C2D51">
        <w:t xml:space="preserve">Once the sample was selected, the following technical approach was used to develop the job density factor for the FY </w:t>
      </w:r>
      <w:r w:rsidR="00D56012" w:rsidRPr="007C2D51">
        <w:t>2010</w:t>
      </w:r>
      <w:r w:rsidRPr="007C2D51">
        <w:t xml:space="preserve"> analysis.</w:t>
      </w:r>
    </w:p>
    <w:p w:rsidR="003475DA" w:rsidRPr="007C2D51" w:rsidRDefault="003475DA" w:rsidP="005606E4">
      <w:pPr>
        <w:pStyle w:val="Heading4"/>
      </w:pPr>
      <w:r w:rsidRPr="007C2D51">
        <w:t xml:space="preserve">Preparing </w:t>
      </w:r>
      <w:r w:rsidR="006C2BE3" w:rsidRPr="007C2D51">
        <w:t>r</w:t>
      </w:r>
      <w:r w:rsidRPr="007C2D51">
        <w:t>outes for OnTheMap</w:t>
      </w:r>
    </w:p>
    <w:p w:rsidR="003475DA" w:rsidRPr="007C2D51" w:rsidRDefault="003475DA" w:rsidP="003475DA">
      <w:pPr>
        <w:pStyle w:val="BodyText"/>
      </w:pPr>
      <w:r w:rsidRPr="007C2D51">
        <w:rPr>
          <w:rFonts w:eastAsia="Georgia"/>
        </w:rPr>
        <w:t>Route map/written directions were located for each of the sampled routes (as possible) and drawn in GIS</w:t>
      </w:r>
      <w:r w:rsidR="00CE332B" w:rsidRPr="007C2D51">
        <w:rPr>
          <w:rFonts w:eastAsia="Georgia"/>
        </w:rPr>
        <w:t xml:space="preserve">.  </w:t>
      </w:r>
      <w:r w:rsidRPr="007C2D51">
        <w:rPr>
          <w:rFonts w:eastAsia="Georgia"/>
        </w:rPr>
        <w:t>The routes were buffered by 1,320 feet (one quarter mile) and split into individual shape files to be ready for OnTheMap</w:t>
      </w:r>
      <w:r w:rsidR="00CE332B" w:rsidRPr="007C2D51">
        <w:rPr>
          <w:rFonts w:eastAsia="Georgia"/>
        </w:rPr>
        <w:t xml:space="preserve">.  </w:t>
      </w:r>
      <w:r w:rsidRPr="007C2D51">
        <w:rPr>
          <w:rFonts w:eastAsia="Georgia"/>
        </w:rPr>
        <w:t>In parallel analysis, we identified the number of unique route miles for each route</w:t>
      </w:r>
      <w:r w:rsidR="00CE332B" w:rsidRPr="007C2D51">
        <w:rPr>
          <w:rFonts w:eastAsia="Georgia"/>
        </w:rPr>
        <w:t xml:space="preserve">.  </w:t>
      </w:r>
    </w:p>
    <w:p w:rsidR="003475DA" w:rsidRPr="007C2D51" w:rsidRDefault="003475DA" w:rsidP="003475DA">
      <w:pPr>
        <w:pStyle w:val="BodyText"/>
        <w:rPr>
          <w:rFonts w:eastAsia="Georgia"/>
        </w:rPr>
      </w:pPr>
      <w:r w:rsidRPr="007C2D51">
        <w:t>The measure of unique route miles counts mileage along a bidirectional portion of the route only once</w:t>
      </w:r>
      <w:r w:rsidR="00CE332B" w:rsidRPr="007C2D51">
        <w:t xml:space="preserve">.  </w:t>
      </w:r>
      <w:r w:rsidRPr="007C2D51">
        <w:t>Linear route miles may count this twice (depending how the grantee interprets this)</w:t>
      </w:r>
      <w:r w:rsidR="00CE332B" w:rsidRPr="007C2D51">
        <w:t xml:space="preserve">.  </w:t>
      </w:r>
      <w:r w:rsidRPr="007C2D51">
        <w:t>The key is to think about the service area buffer</w:t>
      </w:r>
      <w:r w:rsidR="00CE332B" w:rsidRPr="007C2D51">
        <w:t xml:space="preserve">.  </w:t>
      </w:r>
      <w:r w:rsidRPr="007C2D51">
        <w:t>A bidirectional segment of the route serves the same buffer in both directions, so we can only count those miles once</w:t>
      </w:r>
      <w:r w:rsidR="00CE332B" w:rsidRPr="007C2D51">
        <w:t xml:space="preserve">.  </w:t>
      </w:r>
      <w:r w:rsidRPr="007C2D51">
        <w:t>For a loop route, linear route miles and unique route miles are the same</w:t>
      </w:r>
      <w:r w:rsidR="00CE332B" w:rsidRPr="007C2D51">
        <w:t xml:space="preserve">.  </w:t>
      </w:r>
      <w:r w:rsidRPr="007C2D51">
        <w:t>For a pure "there and back" route that uses just one roadway, then unique route miles would be half of linear route miles.</w:t>
      </w:r>
    </w:p>
    <w:p w:rsidR="003475DA" w:rsidRPr="007C2D51" w:rsidRDefault="003475DA" w:rsidP="005606E4">
      <w:pPr>
        <w:pStyle w:val="Heading4"/>
      </w:pPr>
      <w:r w:rsidRPr="007C2D51">
        <w:t xml:space="preserve">Data </w:t>
      </w:r>
      <w:r w:rsidR="00F63BE3" w:rsidRPr="007C2D51">
        <w:t>p</w:t>
      </w:r>
      <w:r w:rsidRPr="007C2D51">
        <w:t>rocessing</w:t>
      </w:r>
    </w:p>
    <w:p w:rsidR="003475DA" w:rsidRPr="007C2D51" w:rsidRDefault="003475DA" w:rsidP="003475DA">
      <w:pPr>
        <w:pStyle w:val="BodyText"/>
        <w:rPr>
          <w:rFonts w:eastAsia="Georgia"/>
        </w:rPr>
      </w:pPr>
      <w:r w:rsidRPr="007C2D51">
        <w:rPr>
          <w:rFonts w:eastAsia="Georgia"/>
        </w:rPr>
        <w:t>The user could draw the route directly into OnTheMap, though it appears that the analysis cannot be repeated easily with the same selection</w:t>
      </w:r>
      <w:r w:rsidR="00CE332B" w:rsidRPr="007C2D51">
        <w:rPr>
          <w:rFonts w:eastAsia="Georgia"/>
        </w:rPr>
        <w:t xml:space="preserve">.  </w:t>
      </w:r>
      <w:r w:rsidRPr="007C2D51">
        <w:rPr>
          <w:rFonts w:eastAsia="Georgia"/>
        </w:rPr>
        <w:t>It is possible to pull the selection area out of the KML or GIS output, but for ease of reuse and for the route length analysis, we decided to draw the routes in GIS</w:t>
      </w:r>
      <w:r w:rsidR="00CE332B" w:rsidRPr="007C2D51">
        <w:rPr>
          <w:rFonts w:eastAsia="Georgia"/>
        </w:rPr>
        <w:t xml:space="preserve">.  </w:t>
      </w:r>
      <w:r w:rsidRPr="007C2D51">
        <w:rPr>
          <w:rFonts w:eastAsia="Georgia"/>
        </w:rPr>
        <w:t>The import process is described in detail below:</w:t>
      </w:r>
    </w:p>
    <w:p w:rsidR="003475DA" w:rsidRPr="007C2D51" w:rsidRDefault="003475DA" w:rsidP="003475DA">
      <w:pPr>
        <w:pStyle w:val="BodyText"/>
        <w:rPr>
          <w:rFonts w:eastAsia="Georgia"/>
        </w:rPr>
      </w:pPr>
      <w:r w:rsidRPr="007C2D51">
        <w:rPr>
          <w:rFonts w:eastAsia="Georgia"/>
        </w:rPr>
        <w:t>We entered the OnTheMap mapping interface and left all settings default on the “Search” and “Base Map” tabs</w:t>
      </w:r>
      <w:r w:rsidR="00CE332B" w:rsidRPr="007C2D51">
        <w:rPr>
          <w:rFonts w:eastAsia="Georgia"/>
        </w:rPr>
        <w:t xml:space="preserve">.  </w:t>
      </w:r>
      <w:r w:rsidRPr="007C2D51">
        <w:rPr>
          <w:rFonts w:eastAsia="Georgia"/>
        </w:rPr>
        <w:t>On the “Analysis” tab under “1</w:t>
      </w:r>
      <w:r w:rsidR="00CE332B" w:rsidRPr="007C2D51">
        <w:rPr>
          <w:rFonts w:eastAsia="Georgia"/>
        </w:rPr>
        <w:t xml:space="preserve">.  </w:t>
      </w:r>
      <w:r w:rsidRPr="007C2D51">
        <w:rPr>
          <w:rFonts w:eastAsia="Georgia"/>
        </w:rPr>
        <w:t xml:space="preserve">Data Settings” we selected Live or Work: </w:t>
      </w:r>
      <w:r w:rsidRPr="007C2D51">
        <w:rPr>
          <w:rFonts w:eastAsia="Georgia"/>
          <w:i/>
        </w:rPr>
        <w:t>Workplace Area</w:t>
      </w:r>
      <w:r w:rsidRPr="007C2D51">
        <w:rPr>
          <w:rFonts w:eastAsia="Georgia"/>
        </w:rPr>
        <w:t xml:space="preserve">; Year: </w:t>
      </w:r>
      <w:r w:rsidRPr="007C2D51">
        <w:rPr>
          <w:rFonts w:eastAsia="Georgia"/>
          <w:i/>
        </w:rPr>
        <w:t>2008, 2007, 2006</w:t>
      </w:r>
      <w:r w:rsidRPr="007C2D51">
        <w:rPr>
          <w:rFonts w:eastAsia="Georgia"/>
        </w:rPr>
        <w:t xml:space="preserve">; Job Type: </w:t>
      </w:r>
      <w:r w:rsidRPr="007C2D51">
        <w:rPr>
          <w:rFonts w:eastAsia="Georgia"/>
          <w:i/>
        </w:rPr>
        <w:t xml:space="preserve">All </w:t>
      </w:r>
      <w:r w:rsidRPr="007C2D51">
        <w:rPr>
          <w:rFonts w:eastAsia="Georgia"/>
        </w:rPr>
        <w:t xml:space="preserve">Jobs; Labor Market Segments: </w:t>
      </w:r>
      <w:r w:rsidRPr="007C2D51">
        <w:rPr>
          <w:rFonts w:eastAsia="Georgia"/>
          <w:i/>
        </w:rPr>
        <w:t>All Workers</w:t>
      </w:r>
      <w:r w:rsidR="00CE332B" w:rsidRPr="007C2D51">
        <w:rPr>
          <w:rFonts w:eastAsia="Georgia"/>
        </w:rPr>
        <w:t xml:space="preserve">.  </w:t>
      </w:r>
      <w:r w:rsidRPr="007C2D51">
        <w:rPr>
          <w:rFonts w:eastAsia="Georgia"/>
        </w:rPr>
        <w:t>The route buffers were entered into the Analysis tab of the OnTheMap interface</w:t>
      </w:r>
      <w:r w:rsidR="00CE332B" w:rsidRPr="007C2D51">
        <w:rPr>
          <w:rFonts w:eastAsia="Georgia"/>
        </w:rPr>
        <w:t xml:space="preserve">.  </w:t>
      </w:r>
      <w:r w:rsidRPr="007C2D51">
        <w:rPr>
          <w:rFonts w:eastAsia="Georgia"/>
        </w:rPr>
        <w:t>“2</w:t>
      </w:r>
      <w:r w:rsidR="00CE332B" w:rsidRPr="007C2D51">
        <w:rPr>
          <w:rFonts w:eastAsia="Georgia"/>
        </w:rPr>
        <w:t xml:space="preserve">.  </w:t>
      </w:r>
      <w:r w:rsidRPr="007C2D51">
        <w:rPr>
          <w:rFonts w:eastAsia="Georgia"/>
        </w:rPr>
        <w:t xml:space="preserve">Study Area” under </w:t>
      </w:r>
      <w:r w:rsidRPr="007C2D51">
        <w:rPr>
          <w:rFonts w:eastAsia="Georgia"/>
          <w:i/>
        </w:rPr>
        <w:t>Selection Tools</w:t>
      </w:r>
      <w:r w:rsidRPr="007C2D51">
        <w:rPr>
          <w:rFonts w:eastAsia="Georgia"/>
        </w:rPr>
        <w:t xml:space="preserve"> we selected </w:t>
      </w:r>
      <w:r w:rsidRPr="007C2D51">
        <w:rPr>
          <w:rFonts w:eastAsia="Georgia"/>
          <w:i/>
        </w:rPr>
        <w:t>Import From: Shapefile</w:t>
      </w:r>
      <w:r w:rsidRPr="007C2D51">
        <w:rPr>
          <w:rFonts w:eastAsia="Georgia"/>
        </w:rPr>
        <w:t xml:space="preserve"> and loaded all 5 files for a given route</w:t>
      </w:r>
      <w:r w:rsidR="00CE332B" w:rsidRPr="007C2D51">
        <w:rPr>
          <w:rFonts w:eastAsia="Georgia"/>
        </w:rPr>
        <w:t xml:space="preserve">.  </w:t>
      </w:r>
      <w:r w:rsidRPr="007C2D51">
        <w:rPr>
          <w:rFonts w:eastAsia="Georgia"/>
        </w:rPr>
        <w:t>“3</w:t>
      </w:r>
      <w:r w:rsidR="00CE332B" w:rsidRPr="007C2D51">
        <w:rPr>
          <w:rFonts w:eastAsia="Georgia"/>
        </w:rPr>
        <w:t xml:space="preserve">.  </w:t>
      </w:r>
      <w:r w:rsidRPr="007C2D51">
        <w:rPr>
          <w:rFonts w:eastAsia="Georgia"/>
        </w:rPr>
        <w:t xml:space="preserve">Map Overlay/Report” we filled in the </w:t>
      </w:r>
      <w:r w:rsidRPr="007C2D51">
        <w:rPr>
          <w:rFonts w:eastAsia="Georgia"/>
          <w:i/>
        </w:rPr>
        <w:t>Report Title</w:t>
      </w:r>
      <w:r w:rsidRPr="007C2D51">
        <w:rPr>
          <w:rFonts w:eastAsia="Georgia"/>
        </w:rPr>
        <w:t xml:space="preserve"> and selected </w:t>
      </w:r>
      <w:r w:rsidRPr="007C2D51">
        <w:rPr>
          <w:rFonts w:eastAsia="Georgia"/>
          <w:i/>
        </w:rPr>
        <w:t>Work Area Profile Analysis</w:t>
      </w:r>
      <w:r w:rsidRPr="007C2D51">
        <w:rPr>
          <w:rFonts w:eastAsia="Georgia"/>
        </w:rPr>
        <w:t xml:space="preserve">, left the </w:t>
      </w:r>
      <w:r w:rsidRPr="007C2D51">
        <w:rPr>
          <w:rFonts w:eastAsia="Georgia"/>
          <w:i/>
        </w:rPr>
        <w:t>Rollups</w:t>
      </w:r>
      <w:r w:rsidRPr="007C2D51">
        <w:rPr>
          <w:rFonts w:eastAsia="Georgia"/>
        </w:rPr>
        <w:t xml:space="preserve"> untouched and </w:t>
      </w:r>
      <w:r w:rsidRPr="007C2D51">
        <w:rPr>
          <w:rFonts w:eastAsia="Georgia"/>
          <w:i/>
        </w:rPr>
        <w:t>Map Precision</w:t>
      </w:r>
      <w:r w:rsidRPr="007C2D51">
        <w:rPr>
          <w:rFonts w:eastAsia="Georgia"/>
        </w:rPr>
        <w:t xml:space="preserve"> default on Automatic.</w:t>
      </w:r>
    </w:p>
    <w:p w:rsidR="003475DA" w:rsidRPr="007C2D51" w:rsidRDefault="003475DA" w:rsidP="003475DA">
      <w:pPr>
        <w:pStyle w:val="BodyText"/>
        <w:rPr>
          <w:rFonts w:eastAsia="Georgia"/>
        </w:rPr>
      </w:pPr>
      <w:r w:rsidRPr="007C2D51">
        <w:rPr>
          <w:rFonts w:eastAsia="Georgia"/>
        </w:rPr>
        <w:lastRenderedPageBreak/>
        <w:t>Under the “Results” tab we downloaded the XLS file, PDF file, KML file and GIS file</w:t>
      </w:r>
      <w:r w:rsidR="00CE332B" w:rsidRPr="007C2D51">
        <w:rPr>
          <w:rFonts w:eastAsia="Georgia"/>
        </w:rPr>
        <w:t xml:space="preserve">.  </w:t>
      </w:r>
      <w:r w:rsidRPr="007C2D51">
        <w:rPr>
          <w:rFonts w:eastAsia="Georgia"/>
        </w:rPr>
        <w:t>We only planned to use the XLS file in processing but had ability to check out the mapping of the data at a later date with the additional files downloaded.</w:t>
      </w:r>
    </w:p>
    <w:p w:rsidR="003475DA" w:rsidRPr="007C2D51" w:rsidRDefault="003475DA" w:rsidP="005606E4">
      <w:pPr>
        <w:pStyle w:val="Heading4"/>
      </w:pPr>
      <w:r w:rsidRPr="007C2D51">
        <w:t xml:space="preserve">Data </w:t>
      </w:r>
      <w:r w:rsidR="00F63BE3" w:rsidRPr="007C2D51">
        <w:t>p</w:t>
      </w:r>
      <w:r w:rsidRPr="007C2D51">
        <w:t xml:space="preserve">ost </w:t>
      </w:r>
      <w:r w:rsidR="00F63BE3" w:rsidRPr="007C2D51">
        <w:t>p</w:t>
      </w:r>
      <w:r w:rsidRPr="007C2D51">
        <w:t>rocessing</w:t>
      </w:r>
    </w:p>
    <w:p w:rsidR="003475DA" w:rsidRPr="007C2D51" w:rsidRDefault="003475DA" w:rsidP="003475DA">
      <w:pPr>
        <w:pStyle w:val="BodyText"/>
        <w:rPr>
          <w:rFonts w:eastAsia="Georgia"/>
        </w:rPr>
      </w:pPr>
      <w:r w:rsidRPr="007C2D51">
        <w:rPr>
          <w:rFonts w:eastAsia="Georgia"/>
        </w:rPr>
        <w:t>The OnTheMap export file contains the number of jobs by two-digit NAICS code within the selected buffer</w:t>
      </w:r>
      <w:r w:rsidR="00CE332B" w:rsidRPr="007C2D51">
        <w:rPr>
          <w:rFonts w:eastAsia="Georgia"/>
        </w:rPr>
        <w:t xml:space="preserve">.  </w:t>
      </w:r>
      <w:r w:rsidRPr="007C2D51">
        <w:rPr>
          <w:rFonts w:eastAsia="Georgia"/>
        </w:rPr>
        <w:t>The analysis used jobs data from 2008, which was the most recently available when the work was conducted</w:t>
      </w:r>
      <w:r w:rsidR="00CE332B" w:rsidRPr="007C2D51">
        <w:rPr>
          <w:rFonts w:eastAsia="Georgia"/>
        </w:rPr>
        <w:t xml:space="preserve">.  </w:t>
      </w:r>
      <w:r w:rsidRPr="007C2D51">
        <w:rPr>
          <w:rFonts w:eastAsia="Georgia"/>
        </w:rPr>
        <w:t>We summed those figures to calculate total jobs, and applied the percentage of low-wage jobs by NAICS code factors to the numbers to calculate low-wage jobs</w:t>
      </w:r>
      <w:r w:rsidR="00CE332B" w:rsidRPr="007C2D51">
        <w:rPr>
          <w:rFonts w:eastAsia="Georgia"/>
        </w:rPr>
        <w:t xml:space="preserve">.  </w:t>
      </w:r>
      <w:r w:rsidRPr="007C2D51">
        <w:rPr>
          <w:rFonts w:eastAsia="Georgia"/>
        </w:rPr>
        <w:t>These figures were then entered into the spreadsheet listing all of the routes in the sample.</w:t>
      </w:r>
    </w:p>
    <w:p w:rsidR="003475DA" w:rsidRPr="007C2D51" w:rsidRDefault="003475DA" w:rsidP="005606E4">
      <w:pPr>
        <w:pStyle w:val="Heading4"/>
      </w:pPr>
      <w:r w:rsidRPr="007C2D51">
        <w:t>Connecticu</w:t>
      </w:r>
      <w:r w:rsidR="00F63BE3" w:rsidRPr="007C2D51">
        <w:t>t and Massachusetts</w:t>
      </w:r>
    </w:p>
    <w:p w:rsidR="003475DA" w:rsidRPr="007C2D51" w:rsidRDefault="003475DA" w:rsidP="003475DA">
      <w:pPr>
        <w:pStyle w:val="BodyText"/>
        <w:rPr>
          <w:rFonts w:eastAsia="Georgia"/>
        </w:rPr>
      </w:pPr>
      <w:r w:rsidRPr="007C2D51">
        <w:rPr>
          <w:rFonts w:eastAsia="Georgia"/>
        </w:rPr>
        <w:t>Several routes in the sample traveled through Connecticut or Massachusetts</w:t>
      </w:r>
      <w:r w:rsidR="00CE332B" w:rsidRPr="007C2D51">
        <w:rPr>
          <w:rFonts w:eastAsia="Georgia"/>
        </w:rPr>
        <w:t xml:space="preserve">.  </w:t>
      </w:r>
      <w:r w:rsidRPr="007C2D51">
        <w:rPr>
          <w:rFonts w:eastAsia="Georgia"/>
        </w:rPr>
        <w:t>Because these states do not yet participate in the LEHD, Dun &amp; Bradstreet data were purchased for those towns that were served by JARC routes in the sample</w:t>
      </w:r>
      <w:r w:rsidR="00CE332B" w:rsidRPr="007C2D51">
        <w:rPr>
          <w:rFonts w:eastAsia="Georgia"/>
        </w:rPr>
        <w:t xml:space="preserve">.  </w:t>
      </w:r>
      <w:r w:rsidRPr="007C2D51">
        <w:rPr>
          <w:rFonts w:eastAsia="Georgia"/>
        </w:rPr>
        <w:t>Through the use of GIS, the number of jobs within the buffer of each JARC route was calculated</w:t>
      </w:r>
      <w:r w:rsidR="00CE332B" w:rsidRPr="007C2D51">
        <w:rPr>
          <w:rFonts w:eastAsia="Georgia"/>
        </w:rPr>
        <w:t xml:space="preserve">.  </w:t>
      </w:r>
    </w:p>
    <w:p w:rsidR="003475DA" w:rsidRPr="007C2D51" w:rsidRDefault="003475DA" w:rsidP="003475DA">
      <w:pPr>
        <w:pStyle w:val="BodyText"/>
        <w:rPr>
          <w:rFonts w:eastAsia="Georgia"/>
        </w:rPr>
      </w:pPr>
      <w:r w:rsidRPr="007C2D51">
        <w:rPr>
          <w:rFonts w:eastAsia="Georgia"/>
        </w:rPr>
        <w:t>The Dun &amp; Bradstreet data did not include NAICS codes but instead categorized employers using Standard Industrial Classification (SIC) codes</w:t>
      </w:r>
      <w:r w:rsidR="00CE332B" w:rsidRPr="007C2D51">
        <w:rPr>
          <w:rFonts w:eastAsia="Georgia"/>
        </w:rPr>
        <w:t xml:space="preserve">.  </w:t>
      </w:r>
      <w:r w:rsidRPr="007C2D51">
        <w:rPr>
          <w:rFonts w:eastAsia="Georgia"/>
        </w:rPr>
        <w:t>The consultant team translated the SIC codes into NAICS codes using a Census conversion table</w:t>
      </w:r>
      <w:r w:rsidR="00CE332B" w:rsidRPr="007C2D51">
        <w:rPr>
          <w:rFonts w:eastAsia="Georgia"/>
        </w:rPr>
        <w:t xml:space="preserve">.  </w:t>
      </w:r>
      <w:r w:rsidRPr="007C2D51">
        <w:rPr>
          <w:rFonts w:eastAsia="Georgia"/>
        </w:rPr>
        <w:t>Then the estimated low-wage jobs per employer were calculated, and these figures were also used in GIS to produce a figure of low-wage jobs within the buffer of each route.</w:t>
      </w:r>
    </w:p>
    <w:p w:rsidR="003475DA" w:rsidRPr="007C2D51" w:rsidRDefault="003475DA" w:rsidP="005606E4">
      <w:pPr>
        <w:pStyle w:val="Heading4"/>
      </w:pPr>
      <w:r w:rsidRPr="007C2D51">
        <w:t xml:space="preserve">Final </w:t>
      </w:r>
      <w:r w:rsidR="00F63BE3" w:rsidRPr="007C2D51">
        <w:t>r</w:t>
      </w:r>
      <w:r w:rsidRPr="007C2D51">
        <w:t>esult</w:t>
      </w:r>
    </w:p>
    <w:p w:rsidR="003475DA" w:rsidRPr="007C2D51" w:rsidRDefault="003475DA" w:rsidP="003475DA">
      <w:pPr>
        <w:pStyle w:val="BodyText"/>
      </w:pPr>
      <w:r w:rsidRPr="007C2D51">
        <w:rPr>
          <w:rFonts w:eastAsia="Georgia"/>
        </w:rPr>
        <w:t>Once all of the jobs figures and low-wage jobs figures were entered into a spreadsheet, the job density for each route buffer was calculated by dividing the jobs figures by the square mileage of each route service area</w:t>
      </w:r>
      <w:r w:rsidR="00CE332B" w:rsidRPr="007C2D51">
        <w:rPr>
          <w:rFonts w:eastAsia="Georgia"/>
        </w:rPr>
        <w:t xml:space="preserve">.  </w:t>
      </w:r>
      <w:r w:rsidRPr="007C2D51">
        <w:rPr>
          <w:rFonts w:eastAsia="Georgia"/>
        </w:rPr>
        <w:t>This is defined as the unique linear mileage of a route multiplied by 0.5, corresponding to a half-mile wide buffer (one quarter mile on each side of the street)</w:t>
      </w:r>
      <w:r w:rsidR="00CE332B" w:rsidRPr="007C2D51">
        <w:rPr>
          <w:rFonts w:eastAsia="Georgia"/>
        </w:rPr>
        <w:t xml:space="preserve">.  </w:t>
      </w:r>
      <w:r w:rsidRPr="007C2D51">
        <w:rPr>
          <w:rFonts w:eastAsia="Georgia"/>
        </w:rPr>
        <w:t>Then the average job density and low-wage job densities were calculated (as a straight average of the individual routes)</w:t>
      </w:r>
      <w:r w:rsidR="00CE332B" w:rsidRPr="007C2D51">
        <w:rPr>
          <w:rFonts w:eastAsia="Georgia"/>
        </w:rPr>
        <w:t xml:space="preserve">.  </w:t>
      </w:r>
      <w:r w:rsidRPr="007C2D51">
        <w:rPr>
          <w:rFonts w:eastAsia="Georgia"/>
        </w:rPr>
        <w:t xml:space="preserve">The precision of the sample was </w:t>
      </w:r>
      <w:r w:rsidRPr="007C2D51">
        <w:t>calculated</w:t>
      </w:r>
      <w:r w:rsidRPr="007C2D51">
        <w:rPr>
          <w:rFonts w:eastAsia="Georgia"/>
        </w:rPr>
        <w:t xml:space="preserve"> by dividing the standard deviation of the sample by the square root of the sample size and multiplying by the t-factor for a 95% confidence level</w:t>
      </w:r>
      <w:r w:rsidR="00CE332B" w:rsidRPr="007C2D51">
        <w:rPr>
          <w:rFonts w:eastAsia="Georgia"/>
        </w:rPr>
        <w:t xml:space="preserve">.  </w:t>
      </w:r>
      <w:r w:rsidRPr="007C2D51">
        <w:rPr>
          <w:rFonts w:eastAsia="Georgia"/>
        </w:rPr>
        <w:t>The results came very close to the 10% desired precision, but did not quite achieve it.</w:t>
      </w:r>
    </w:p>
    <w:p w:rsidR="003475DA" w:rsidRPr="007C2D51" w:rsidRDefault="003475DA" w:rsidP="005606E4">
      <w:pPr>
        <w:pStyle w:val="Heading4"/>
      </w:pPr>
      <w:r w:rsidRPr="007C2D51">
        <w:t xml:space="preserve">Job </w:t>
      </w:r>
      <w:r w:rsidR="00F63BE3" w:rsidRPr="007C2D51">
        <w:t>d</w:t>
      </w:r>
      <w:r w:rsidRPr="007C2D51">
        <w:t xml:space="preserve">ensity </w:t>
      </w:r>
      <w:r w:rsidR="00F63BE3" w:rsidRPr="007C2D51">
        <w:t>f</w:t>
      </w:r>
      <w:r w:rsidRPr="007C2D51">
        <w:t>actors</w:t>
      </w:r>
    </w:p>
    <w:p w:rsidR="003475DA" w:rsidRPr="007C2D51" w:rsidRDefault="003475DA" w:rsidP="003475DA">
      <w:pPr>
        <w:pStyle w:val="BodyText"/>
      </w:pPr>
      <w:r w:rsidRPr="007C2D51">
        <w:t xml:space="preserve">Based on this analysis, the following job density factors were developed for the FY </w:t>
      </w:r>
      <w:r w:rsidR="00D56012" w:rsidRPr="007C2D51">
        <w:t>20</w:t>
      </w:r>
      <w:r w:rsidR="00FD7B94" w:rsidRPr="007C2D51">
        <w:t>09</w:t>
      </w:r>
      <w:r w:rsidRPr="007C2D51">
        <w:t xml:space="preserve"> analysis:</w:t>
      </w:r>
    </w:p>
    <w:p w:rsidR="003475DA" w:rsidRPr="007C2D51" w:rsidRDefault="003475DA" w:rsidP="003475DA">
      <w:pPr>
        <w:pStyle w:val="ListBullet"/>
        <w:spacing w:after="200" w:line="276" w:lineRule="auto"/>
      </w:pPr>
      <w:r w:rsidRPr="007C2D51">
        <w:t>For all jobs, 3,553 jobs per square mile or 1,777 jobs per linear route mile</w:t>
      </w:r>
    </w:p>
    <w:p w:rsidR="003475DA" w:rsidRPr="007C2D51" w:rsidRDefault="003475DA" w:rsidP="003475DA">
      <w:pPr>
        <w:pStyle w:val="ListBullet"/>
        <w:spacing w:after="200" w:line="276" w:lineRule="auto"/>
      </w:pPr>
      <w:r w:rsidRPr="007C2D51">
        <w:t>For low-wage jobs, 1,670 jobs per square mile, or 835 jobs per linear route mile.</w:t>
      </w:r>
    </w:p>
    <w:p w:rsidR="003475DA" w:rsidRPr="007C2D51" w:rsidRDefault="003475DA" w:rsidP="003475DA">
      <w:pPr>
        <w:pStyle w:val="BodyText"/>
      </w:pPr>
      <w:r w:rsidRPr="007C2D51">
        <w:t>This result differs from the factor used for the FY 2007 – FY 2008 analysis</w:t>
      </w:r>
      <w:r w:rsidR="00CE332B" w:rsidRPr="007C2D51">
        <w:t xml:space="preserve">.  </w:t>
      </w:r>
      <w:r w:rsidRPr="007C2D51">
        <w:t>That factor, based on a convenience sample, was 3,878 jobs per square mile, or 1,939 jobs per linear route mile</w:t>
      </w:r>
      <w:r w:rsidR="00CE332B" w:rsidRPr="007C2D51">
        <w:t xml:space="preserve">.  </w:t>
      </w:r>
      <w:r w:rsidRPr="007C2D51">
        <w:t>The low-wage factor was 2,094 jobs per square mile, or 1,047 jobs per linear route mile</w:t>
      </w:r>
      <w:r w:rsidR="00CE332B" w:rsidRPr="007C2D51">
        <w:t xml:space="preserve">.  </w:t>
      </w:r>
      <w:r w:rsidRPr="007C2D51">
        <w:t xml:space="preserve">The differences do not necessarily reflect changes in the job market between FY 2007 and FY </w:t>
      </w:r>
      <w:r w:rsidR="00D56012" w:rsidRPr="007C2D51">
        <w:t>2010</w:t>
      </w:r>
      <w:r w:rsidR="00CE332B" w:rsidRPr="007C2D51">
        <w:t xml:space="preserve">.  </w:t>
      </w:r>
      <w:r w:rsidRPr="007C2D51">
        <w:lastRenderedPageBreak/>
        <w:t>Instead, they most likely reflect differences in the sample geography and in the sampling methodology</w:t>
      </w:r>
      <w:r w:rsidR="00CE332B" w:rsidRPr="007C2D51">
        <w:t xml:space="preserve">.  </w:t>
      </w:r>
    </w:p>
    <w:p w:rsidR="00FD7B94" w:rsidRPr="007C2D51" w:rsidRDefault="00FD7B94" w:rsidP="00FD7B94">
      <w:pPr>
        <w:pStyle w:val="Heading3"/>
      </w:pPr>
      <w:bookmarkStart w:id="172" w:name="_GoBack"/>
      <w:bookmarkStart w:id="173" w:name="_Toc269480051"/>
      <w:bookmarkStart w:id="174" w:name="_Toc270512702"/>
      <w:bookmarkEnd w:id="172"/>
      <w:r w:rsidRPr="007C2D51">
        <w:t>FY 2010 analysis</w:t>
      </w:r>
    </w:p>
    <w:p w:rsidR="00FD7B94" w:rsidRPr="007C2D51" w:rsidRDefault="00FD7B94" w:rsidP="00FD7B94">
      <w:pPr>
        <w:pStyle w:val="BodyText"/>
      </w:pPr>
      <w:r w:rsidRPr="007C2D51">
        <w:t>For the FY 2010 analysis, the consultant team again updated the job density factor</w:t>
      </w:r>
      <w:r w:rsidR="00D90141" w:rsidRPr="007C2D51">
        <w:t xml:space="preserve">. Based on the approach developed for </w:t>
      </w:r>
      <w:r w:rsidRPr="007C2D51">
        <w:t>FY 2009, the team drew a random sample of fixed routes funded by the JARC program.  The first step was to assemble a list of all fixed routes funded by the program.  Routes were drawn from the universe of JARC services reported for FY 2009</w:t>
      </w:r>
      <w:r w:rsidR="00D90141" w:rsidRPr="007C2D51">
        <w:t xml:space="preserve"> and </w:t>
      </w:r>
      <w:r w:rsidRPr="007C2D51">
        <w:t xml:space="preserve">719 individual routes were identified.  This universe excluded feeders and shuttles because these routes often are designed to serve a single employer or destination rather than a corridor.  </w:t>
      </w:r>
    </w:p>
    <w:p w:rsidR="00FD7B94" w:rsidRPr="007C2D51" w:rsidRDefault="00FD7B94" w:rsidP="00FD7B94">
      <w:pPr>
        <w:rPr>
          <w:sz w:val="24"/>
          <w:szCs w:val="24"/>
        </w:rPr>
      </w:pPr>
      <w:r w:rsidRPr="007C2D51">
        <w:rPr>
          <w:sz w:val="24"/>
          <w:szCs w:val="24"/>
        </w:rPr>
        <w:t xml:space="preserve">The goal for the precision of the job-density estimate was plus/minus 10% at the 95% confidence level. In order to estimate the size of the sample needed to achieve this precision, data from previous years were analyzed to calculate the sample variance. For the FY 2009 analysis, 139 routes were analyzed, resulting in a precision of 10.91%. A slightly larger sample of 150 routes was thus chosen to try to obtain 10% precision. </w:t>
      </w:r>
    </w:p>
    <w:p w:rsidR="00FD7B94" w:rsidRPr="007C2D51" w:rsidRDefault="00FD7B94" w:rsidP="00FD7B94">
      <w:pPr>
        <w:rPr>
          <w:sz w:val="24"/>
          <w:szCs w:val="24"/>
        </w:rPr>
      </w:pPr>
      <w:r w:rsidRPr="007C2D51">
        <w:rPr>
          <w:sz w:val="24"/>
          <w:szCs w:val="24"/>
        </w:rPr>
        <w:t xml:space="preserve">To choose the sample, each individual route was assigned a unique identification code and then these were matched with serial numbers. Using the random number function in Excel, 150 codes were selected. This required generating more than 150 random numbers, since there were some duplicates among the random numbers. In addition, a set of 20 randomly-selected “alternates” was chosen in case it was not possible to obtain routing information for one of the selected routes, or if other data problems surfaced. In the end, 15 of these alternates were used.  </w:t>
      </w:r>
    </w:p>
    <w:p w:rsidR="00FD7B94" w:rsidRPr="007C2D51" w:rsidRDefault="00FD7B94" w:rsidP="00FD7B94">
      <w:pPr>
        <w:pStyle w:val="BodyText"/>
      </w:pPr>
      <w:r w:rsidRPr="007C2D51">
        <w:t>Once the sample was selected, the following technical approach was used to develop the job density factor for the FY 2010 analysis.</w:t>
      </w:r>
    </w:p>
    <w:p w:rsidR="00FD7B94" w:rsidRPr="007C2D51" w:rsidRDefault="00FD7B94" w:rsidP="00FD7B94">
      <w:pPr>
        <w:pStyle w:val="Heading4"/>
      </w:pPr>
      <w:r w:rsidRPr="007C2D51">
        <w:t>Preparing routes for OnTheMap</w:t>
      </w:r>
    </w:p>
    <w:p w:rsidR="00FD7B94" w:rsidRPr="007C2D51" w:rsidRDefault="00FD7B94" w:rsidP="00FD7B94">
      <w:pPr>
        <w:pStyle w:val="BodyText"/>
      </w:pPr>
      <w:r w:rsidRPr="007C2D51">
        <w:rPr>
          <w:rFonts w:eastAsia="Georgia"/>
        </w:rPr>
        <w:t xml:space="preserve">Route map and/or written directions were located for each of the sampled routes (as possible) and drawn in GIS.  The routes were buffered by 1,320 feet (one quarter mile) and split into individual shape files to be ready for OnTheMap.  In parallel analysis, we identified the number of unique route miles for each route.  </w:t>
      </w:r>
    </w:p>
    <w:p w:rsidR="00FD7B94" w:rsidRPr="007C2D51" w:rsidRDefault="00FD7B94" w:rsidP="00FD7B94">
      <w:pPr>
        <w:pStyle w:val="BodyText"/>
        <w:rPr>
          <w:rFonts w:eastAsia="Georgia"/>
        </w:rPr>
      </w:pPr>
      <w:r w:rsidRPr="007C2D51">
        <w:t>The measure of unique route miles counts mileage along a bidirectional portion of the route only once.  Linear route miles may count this twice (depending how the grantee interprets this).  The key is to think about the service area buffer.  A bidirectional segment of the route serves the same buffer in both directions, so we can only count those miles once.  For a loop route, linear route miles and unique route miles are the same.  For a pure "there and back" route that uses just one roadway, then unique route miles would be half of linear route miles.</w:t>
      </w:r>
    </w:p>
    <w:p w:rsidR="00FD7B94" w:rsidRPr="007C2D51" w:rsidRDefault="00FD7B94" w:rsidP="00FD7B94">
      <w:pPr>
        <w:pStyle w:val="Heading4"/>
      </w:pPr>
      <w:r w:rsidRPr="007C2D51">
        <w:t>Data processing</w:t>
      </w:r>
    </w:p>
    <w:p w:rsidR="00FD7B94" w:rsidRPr="007C2D51" w:rsidRDefault="00FD7B94" w:rsidP="00FD7B94">
      <w:pPr>
        <w:pStyle w:val="BodyText"/>
        <w:rPr>
          <w:rFonts w:eastAsia="Georgia"/>
        </w:rPr>
      </w:pPr>
      <w:r w:rsidRPr="007C2D51">
        <w:rPr>
          <w:rFonts w:eastAsia="Georgia"/>
        </w:rPr>
        <w:t xml:space="preserve">OnTheMap users are able to draw routes or shapes directly in OnTheMap, though it appears that the analysis cannot be repeated easily with the same selection and that the original shape </w:t>
      </w:r>
      <w:r w:rsidRPr="007C2D51">
        <w:rPr>
          <w:rFonts w:eastAsia="Georgia"/>
        </w:rPr>
        <w:lastRenderedPageBreak/>
        <w:t>cannot be saved.  It is possible to pull the selection area out of the KML or GIS output, but for data maintenance purposes and for the route length analysis, routes were first digitized in a GIS program, and then imported into OnTheMap for analysis.  The import process is described in detail below:</w:t>
      </w:r>
    </w:p>
    <w:p w:rsidR="00FD7B94" w:rsidRPr="007C2D51" w:rsidRDefault="00FD7B94" w:rsidP="00FD7B94">
      <w:pPr>
        <w:pStyle w:val="BodyText"/>
        <w:rPr>
          <w:rFonts w:eastAsia="Georgia"/>
        </w:rPr>
      </w:pPr>
      <w:r w:rsidRPr="007C2D51">
        <w:rPr>
          <w:rFonts w:eastAsia="Georgia"/>
        </w:rPr>
        <w:t>Within the OnTheMap mapping interface, all settings were left as default on the “Search” and “Base Map” tabs.  On the “Analysis” tab under “1.  Data Settings” Live or Work: Workplace Area; Year: 2009, 2008, 2007, 2006; Job Type: All Jobs; Labor Market Segments: All Workers were selected.  The route buffers were individually uploaded into the Analysis tab of the OnTheMap interface.  For item “2.  Study Area” under Selection Tools we selected Import From: Shapefile and loaded all three file components for a given route (A shapefile is generally made up of five separate files, though OnTheMap only required three for processing).  “3.  Map Overlay/Report” we filled in the Report Title and selected Work Area Profile Analysis, left the Rollups untouched and Map Precision default on Automatic.</w:t>
      </w:r>
    </w:p>
    <w:p w:rsidR="00FD7B94" w:rsidRPr="007C2D51" w:rsidRDefault="00FD7B94" w:rsidP="00FD7B94">
      <w:pPr>
        <w:pStyle w:val="BodyText"/>
        <w:rPr>
          <w:rFonts w:eastAsia="Georgia"/>
        </w:rPr>
      </w:pPr>
      <w:r w:rsidRPr="007C2D51">
        <w:rPr>
          <w:rFonts w:eastAsia="Georgia"/>
        </w:rPr>
        <w:t xml:space="preserve">Under the “Results” tab, four file formats were available for download: XLS, PDF, KML, and SHP file.  Though only the XLS file was used in processing, all files types were downloaded to allow for later analysis or data verification, if necessary.  </w:t>
      </w:r>
    </w:p>
    <w:p w:rsidR="00FD7B94" w:rsidRPr="007C2D51" w:rsidRDefault="00FD7B94" w:rsidP="00FD7B94">
      <w:pPr>
        <w:pStyle w:val="Heading4"/>
      </w:pPr>
      <w:r w:rsidRPr="007C2D51">
        <w:t>Data post processing</w:t>
      </w:r>
    </w:p>
    <w:p w:rsidR="00FD7B94" w:rsidRPr="007C2D51" w:rsidRDefault="00FD7B94" w:rsidP="00FD7B94">
      <w:pPr>
        <w:pStyle w:val="BodyText"/>
      </w:pPr>
      <w:r w:rsidRPr="007C2D51">
        <w:t>The OnTheMap export file contains the number of jobs by 2-digit NAICS code within the selected buffer. We summed those figures to calculate total jobs, and applied the percentage of low-wage jobs by NAICS code factors to the numbers to calculate low-wage jobs. These figures were then entered into the spreadsheet listing all of the routes in the sample. Figures were unavailable for seven routes; thus the final sample includes only 143 routes.</w:t>
      </w:r>
    </w:p>
    <w:p w:rsidR="00FD7B94" w:rsidRPr="007C2D51" w:rsidRDefault="00FD7B94" w:rsidP="00AB2E11">
      <w:pPr>
        <w:pStyle w:val="Heading4"/>
      </w:pPr>
      <w:r w:rsidRPr="007C2D51">
        <w:t>Application of Finite Population Correction Factor</w:t>
      </w:r>
    </w:p>
    <w:p w:rsidR="00FD7B94" w:rsidRPr="007C2D51" w:rsidRDefault="00FD7B94" w:rsidP="00FD7B94">
      <w:pPr>
        <w:pStyle w:val="BodyText"/>
      </w:pPr>
      <w:r w:rsidRPr="007C2D51">
        <w:t xml:space="preserve">One additional step was added to the analysis this year, following further research on the statistical precision of estimates within a small population. Statistical measures of precision are usually applied to samples drawn from large populations, such as tens of thousands or even millions of individual items. The total population of JARC routes, 719 in this year, does not qualify as a large population, and the sample size represents a significant portion of that population. When this is the case, the sample average is actually more precise than it appears based on the typical statistical formulas. This is true because the possibility for wider variation is lessened when the sample represents a large portion of the total population. </w:t>
      </w:r>
    </w:p>
    <w:p w:rsidR="00FD7B94" w:rsidRPr="007C2D51" w:rsidRDefault="00FD7B94" w:rsidP="00FD7B94">
      <w:pPr>
        <w:pStyle w:val="BodyText"/>
      </w:pPr>
      <w:r w:rsidRPr="007C2D51">
        <w:t>To correct for this, one applies the finite population correction factor, which is based on the ratio of the sample size to the total population. The larger this ratio is, the more the confidence interval is reduced (and thus the result is made more precise).</w:t>
      </w:r>
    </w:p>
    <w:p w:rsidR="00FD7B94" w:rsidRPr="007C2D51" w:rsidRDefault="00FD7B94" w:rsidP="00FD7B94">
      <w:pPr>
        <w:pStyle w:val="BodyText"/>
      </w:pPr>
      <w:r w:rsidRPr="007C2D51">
        <w:t>The fact that this additional step was not used in prior years means that those job density factors were actually more precise than was previously thought.</w:t>
      </w:r>
    </w:p>
    <w:p w:rsidR="00FD7B94" w:rsidRPr="007C2D51" w:rsidRDefault="00FD7B94" w:rsidP="00FD7B94">
      <w:pPr>
        <w:pStyle w:val="Heading4"/>
      </w:pPr>
      <w:r w:rsidRPr="007C2D51">
        <w:t>Final Result</w:t>
      </w:r>
    </w:p>
    <w:p w:rsidR="00FD7B94" w:rsidRPr="007C2D51" w:rsidRDefault="00FD7B94" w:rsidP="00FD7B94">
      <w:pPr>
        <w:pStyle w:val="BodyText"/>
      </w:pPr>
      <w:r w:rsidRPr="007C2D51">
        <w:t xml:space="preserve">Once all of the jobs figures and low-wage jobs figures were entered into the main spreadsheet, the job density for each route buffer was calculated by dividing the jobs figures by the square </w:t>
      </w:r>
      <w:r w:rsidRPr="007C2D51">
        <w:lastRenderedPageBreak/>
        <w:t xml:space="preserve">mileage of each route service area. This is defined as the unique linear mileage of a route multiplied by 0.5, corresponding to a half-mile wide buffer (one quarter mile on each side of the street). Then the average job density and low-wage job densities were calculated (as a straight average of the individual routes). The precision of the sample was calculated by dividing the standard deviation of the sample by the square root of the sample size and multiplying by the t-factor for a 95% confidence level and the sample size (a value of 1.9767 in this case). Then the finite population correction factor (0.8957) was applied. </w:t>
      </w:r>
    </w:p>
    <w:p w:rsidR="00FD7B94" w:rsidRPr="007C2D51" w:rsidRDefault="00FD7B94" w:rsidP="00FD7B94">
      <w:pPr>
        <w:pStyle w:val="BodyText"/>
      </w:pPr>
      <w:r w:rsidRPr="007C2D51">
        <w:t xml:space="preserve">In spite of the larger sample size and the finite population correction factor, the precision of this year’s estimate came out somewhat worse than in prior years, with the confidence interval for total jobs being 13.2% and for low-wage jobs being 12.2%. These wider intervals are strictly a result of wider variation in the job densities among the sampled routes. The minimum job density found was 137 jobs per square mile and the maximum found was 15,449 jobs per square mile. For low-wage jobs, the minimum was 68 jobs per square mile and the maximum was 6,956. Last year, the minimums were about the same, but the maximums were much lower, at 11,566 and 4,910, respectively. The higher maximums this year may be a result of sampling more routes in dense urban areas. </w:t>
      </w:r>
    </w:p>
    <w:p w:rsidR="00401E0E" w:rsidRPr="007C2D51" w:rsidRDefault="00401E0E" w:rsidP="00401E0E">
      <w:pPr>
        <w:pStyle w:val="BodyText"/>
      </w:pPr>
      <w:r w:rsidRPr="007C2D51">
        <w:t>For FY 2010, the following jobs factors were calculated:</w:t>
      </w:r>
    </w:p>
    <w:p w:rsidR="00401E0E" w:rsidRPr="007C2D51" w:rsidRDefault="00401E0E" w:rsidP="00401E0E">
      <w:pPr>
        <w:pStyle w:val="ListBullet"/>
        <w:spacing w:after="200" w:line="276" w:lineRule="auto"/>
      </w:pPr>
      <w:r w:rsidRPr="007C2D51">
        <w:t xml:space="preserve">For all jobs, 3,321 jobs per square mile or 1,661 jobs per linear route mile. </w:t>
      </w:r>
    </w:p>
    <w:p w:rsidR="00401E0E" w:rsidRPr="007C2D51" w:rsidRDefault="00401E0E" w:rsidP="00401E0E">
      <w:pPr>
        <w:pStyle w:val="ListBullet"/>
        <w:spacing w:after="200" w:line="276" w:lineRule="auto"/>
      </w:pPr>
      <w:r w:rsidRPr="007C2D51">
        <w:t>For low-wage jobs, 1,595 jobs per square mile, or 798 jobs per linear route mile.</w:t>
      </w:r>
    </w:p>
    <w:p w:rsidR="00401E0E" w:rsidRPr="007C2D51" w:rsidRDefault="00401E0E" w:rsidP="00401E0E">
      <w:pPr>
        <w:pStyle w:val="BodyText"/>
      </w:pPr>
      <w:bookmarkStart w:id="175" w:name="_Toc270953190"/>
      <w:bookmarkStart w:id="176" w:name="_Toc273954561"/>
      <w:bookmarkStart w:id="177" w:name="_Toc304965708"/>
      <w:r w:rsidRPr="007C2D51">
        <w:t xml:space="preserve">These factors represent a 7% decrease over the equivalent factors developed for the FY 2009 analysis. This difference falls within the confidence interval for the job factors but might also reflect changing economic conditions between 2009 and 2008 (the year used to support the FY 2009 analysis). </w:t>
      </w:r>
    </w:p>
    <w:p w:rsidR="003475DA" w:rsidRPr="007C2D51" w:rsidRDefault="003475DA" w:rsidP="003475DA">
      <w:pPr>
        <w:pStyle w:val="Heading2"/>
      </w:pPr>
      <w:r w:rsidRPr="007C2D51">
        <w:t>Estimating Jobs for Demand Response Services</w:t>
      </w:r>
      <w:bookmarkEnd w:id="173"/>
      <w:bookmarkEnd w:id="174"/>
      <w:bookmarkEnd w:id="175"/>
      <w:bookmarkEnd w:id="176"/>
      <w:bookmarkEnd w:id="177"/>
    </w:p>
    <w:p w:rsidR="003475DA" w:rsidRPr="007C2D51" w:rsidRDefault="003475DA" w:rsidP="003475DA">
      <w:pPr>
        <w:pStyle w:val="BodyText"/>
      </w:pPr>
      <w:r w:rsidRPr="007C2D51">
        <w:t>To measure jobs accessed by demand response services, FTA made a policy decision to include every job in the service area</w:t>
      </w:r>
      <w:r w:rsidR="00CE332B" w:rsidRPr="007C2D51">
        <w:t xml:space="preserve">.  </w:t>
      </w:r>
      <w:r w:rsidRPr="007C2D51">
        <w:t>To calculate this number, for each demand response service, recipients were asked to identify the county or counties served</w:t>
      </w:r>
      <w:r w:rsidR="00CE332B" w:rsidRPr="007C2D51">
        <w:t xml:space="preserve">.  </w:t>
      </w:r>
      <w:r w:rsidRPr="007C2D51">
        <w:t>Starting with the FY 2007 / FY 2008 data collection effort, grantees were asked to indicate the approximate percentage of the county served from a drop-down list with the following choices:</w:t>
      </w:r>
    </w:p>
    <w:p w:rsidR="003475DA" w:rsidRPr="007C2D51" w:rsidRDefault="003475DA" w:rsidP="003475DA">
      <w:pPr>
        <w:pStyle w:val="ListBullet"/>
        <w:spacing w:after="200" w:line="276" w:lineRule="auto"/>
      </w:pPr>
      <w:r w:rsidRPr="007C2D51">
        <w:t>1% - 24%</w:t>
      </w:r>
    </w:p>
    <w:p w:rsidR="003475DA" w:rsidRPr="007C2D51" w:rsidRDefault="003475DA" w:rsidP="003475DA">
      <w:pPr>
        <w:pStyle w:val="ListBullet"/>
        <w:spacing w:after="200" w:line="276" w:lineRule="auto"/>
      </w:pPr>
      <w:r w:rsidRPr="007C2D51">
        <w:t>25% - 49%</w:t>
      </w:r>
    </w:p>
    <w:p w:rsidR="003475DA" w:rsidRPr="007C2D51" w:rsidRDefault="003475DA" w:rsidP="003475DA">
      <w:pPr>
        <w:pStyle w:val="ListBullet"/>
        <w:spacing w:after="200" w:line="276" w:lineRule="auto"/>
      </w:pPr>
      <w:r w:rsidRPr="007C2D51">
        <w:t>50% - 74%</w:t>
      </w:r>
    </w:p>
    <w:p w:rsidR="003475DA" w:rsidRPr="007C2D51" w:rsidRDefault="003475DA" w:rsidP="003475DA">
      <w:pPr>
        <w:pStyle w:val="ListBullet"/>
        <w:spacing w:after="200" w:line="276" w:lineRule="auto"/>
      </w:pPr>
      <w:r w:rsidRPr="007C2D51">
        <w:t>75% - 99%</w:t>
      </w:r>
    </w:p>
    <w:p w:rsidR="003475DA" w:rsidRPr="007C2D51" w:rsidRDefault="003475DA" w:rsidP="003475DA">
      <w:pPr>
        <w:pStyle w:val="ListBullet"/>
        <w:spacing w:after="200" w:line="276" w:lineRule="auto"/>
      </w:pPr>
      <w:r w:rsidRPr="007C2D51">
        <w:t>100%</w:t>
      </w:r>
    </w:p>
    <w:p w:rsidR="003475DA" w:rsidRPr="007C2D51" w:rsidRDefault="003475DA" w:rsidP="003475DA">
      <w:pPr>
        <w:pStyle w:val="BodyText"/>
      </w:pPr>
      <w:r w:rsidRPr="007C2D51">
        <w:t>Using an automated process, described in the next section, the evaluation team accessed jobs information from LEHD for each county with demand response service</w:t>
      </w:r>
      <w:r w:rsidR="00CE332B" w:rsidRPr="007C2D51">
        <w:t xml:space="preserve">.  </w:t>
      </w:r>
      <w:r w:rsidRPr="007C2D51">
        <w:t>This analysis yielded a dataset with the following information for each service:</w:t>
      </w:r>
    </w:p>
    <w:p w:rsidR="003475DA" w:rsidRPr="007C2D51" w:rsidRDefault="003475DA" w:rsidP="003475DA">
      <w:pPr>
        <w:pStyle w:val="ListBullet"/>
        <w:spacing w:after="200" w:line="276" w:lineRule="auto"/>
      </w:pPr>
      <w:r w:rsidRPr="007C2D51">
        <w:lastRenderedPageBreak/>
        <w:t>Counties served</w:t>
      </w:r>
    </w:p>
    <w:p w:rsidR="003475DA" w:rsidRPr="007C2D51" w:rsidRDefault="003475DA" w:rsidP="003475DA">
      <w:pPr>
        <w:pStyle w:val="ListBullet"/>
        <w:spacing w:after="200" w:line="276" w:lineRule="auto"/>
      </w:pPr>
      <w:r w:rsidRPr="007C2D51">
        <w:t>Total jobs based on FY 2008 data from LEHD</w:t>
      </w:r>
    </w:p>
    <w:p w:rsidR="003475DA" w:rsidRPr="007C2D51" w:rsidRDefault="003475DA" w:rsidP="003475DA">
      <w:pPr>
        <w:pStyle w:val="ListBullet"/>
        <w:spacing w:after="200" w:line="276" w:lineRule="auto"/>
      </w:pPr>
      <w:r w:rsidRPr="007C2D51">
        <w:t>Low-wage jobs based on the distribution by NAICS two-digit industry code</w:t>
      </w:r>
    </w:p>
    <w:p w:rsidR="003475DA" w:rsidRPr="007C2D51" w:rsidRDefault="003475DA" w:rsidP="003475DA">
      <w:pPr>
        <w:pStyle w:val="ListBullet"/>
        <w:spacing w:after="200" w:line="276" w:lineRule="auto"/>
      </w:pPr>
      <w:r w:rsidRPr="007C2D51">
        <w:t>Percentage of the county included in the service area</w:t>
      </w:r>
    </w:p>
    <w:p w:rsidR="003475DA" w:rsidRPr="007C2D51" w:rsidRDefault="003475DA" w:rsidP="003475DA">
      <w:pPr>
        <w:pStyle w:val="BodyText"/>
      </w:pPr>
      <w:r w:rsidRPr="007C2D51">
        <w:t>The team adjusted the findings based on the percentage of coverage, using the mid-point of each range, and then eliminated duplicates</w:t>
      </w:r>
      <w:r w:rsidR="00CE332B" w:rsidRPr="007C2D51">
        <w:t xml:space="preserve">.  </w:t>
      </w:r>
      <w:r w:rsidRPr="007C2D51">
        <w:t xml:space="preserve">We then summed the records, which yielded estimates of all jobs and low-wage jobs made accessible by demand response services for FY </w:t>
      </w:r>
      <w:r w:rsidR="00D56012" w:rsidRPr="007C2D51">
        <w:t>2010</w:t>
      </w:r>
      <w:r w:rsidR="00CE332B" w:rsidRPr="007C2D51">
        <w:t xml:space="preserve">.  </w:t>
      </w:r>
      <w:r w:rsidRPr="007C2D51">
        <w:t>The following table shows these estimates.</w:t>
      </w:r>
    </w:p>
    <w:p w:rsidR="003475DA" w:rsidRPr="007C2D51" w:rsidRDefault="003475DA" w:rsidP="003475DA">
      <w:pPr>
        <w:pStyle w:val="BodyText"/>
      </w:pPr>
      <w:r w:rsidRPr="007C2D51">
        <w:t>The team adjusted the findings based on the percentage of coverage, using the mid-point of each range, and then eliminated duplicates</w:t>
      </w:r>
      <w:r w:rsidR="00CE332B" w:rsidRPr="007C2D51">
        <w:t xml:space="preserve">.  </w:t>
      </w:r>
      <w:r w:rsidRPr="007C2D51">
        <w:t xml:space="preserve">We then summed the records by year, which yielded the following estimates of all jobs and low-wage jobs made accessible by demand response services for FY </w:t>
      </w:r>
      <w:r w:rsidR="00D56012" w:rsidRPr="007C2D51">
        <w:t>2010</w:t>
      </w:r>
      <w:r w:rsidR="00CE332B" w:rsidRPr="007C2D51">
        <w:t xml:space="preserve">.  </w:t>
      </w:r>
    </w:p>
    <w:p w:rsidR="003475DA" w:rsidRPr="007C2D51" w:rsidRDefault="003475DA" w:rsidP="003475DA">
      <w:pPr>
        <w:pStyle w:val="ListBullet"/>
        <w:spacing w:after="200" w:line="276" w:lineRule="auto"/>
      </w:pPr>
      <w:r w:rsidRPr="007C2D51">
        <w:t>2</w:t>
      </w:r>
      <w:r w:rsidR="00085F61" w:rsidRPr="007C2D51">
        <w:t>4.8 million</w:t>
      </w:r>
      <w:r w:rsidRPr="007C2D51">
        <w:t xml:space="preserve"> jobs made available by demand response services</w:t>
      </w:r>
    </w:p>
    <w:p w:rsidR="003475DA" w:rsidRPr="007C2D51" w:rsidRDefault="00085F61" w:rsidP="003475DA">
      <w:pPr>
        <w:pStyle w:val="ListBullet"/>
        <w:spacing w:after="200" w:line="276" w:lineRule="auto"/>
      </w:pPr>
      <w:r w:rsidRPr="007C2D51">
        <w:t>12.6 million</w:t>
      </w:r>
      <w:r w:rsidR="003475DA" w:rsidRPr="007C2D51">
        <w:t xml:space="preserve"> low-wage jobs made accessible by demand response services</w:t>
      </w:r>
    </w:p>
    <w:p w:rsidR="003475DA" w:rsidRPr="007C2D51" w:rsidRDefault="003475DA" w:rsidP="003475DA">
      <w:pPr>
        <w:pStyle w:val="Heading2"/>
      </w:pPr>
      <w:bookmarkStart w:id="178" w:name="_Toc269480052"/>
      <w:bookmarkStart w:id="179" w:name="_Toc270512703"/>
      <w:bookmarkStart w:id="180" w:name="_Toc270953191"/>
      <w:bookmarkStart w:id="181" w:name="_Toc273954562"/>
      <w:bookmarkStart w:id="182" w:name="_Toc304965709"/>
      <w:r w:rsidRPr="007C2D51">
        <w:t>Automated Process for Accessing County-Based Jobs Information</w:t>
      </w:r>
      <w:bookmarkEnd w:id="178"/>
      <w:bookmarkEnd w:id="179"/>
      <w:bookmarkEnd w:id="180"/>
      <w:bookmarkEnd w:id="181"/>
      <w:bookmarkEnd w:id="182"/>
    </w:p>
    <w:p w:rsidR="003475DA" w:rsidRPr="007C2D51" w:rsidRDefault="003475DA" w:rsidP="003475DA">
      <w:pPr>
        <w:pStyle w:val="BodyText"/>
      </w:pPr>
      <w:r w:rsidRPr="007C2D51">
        <w:t xml:space="preserve">For FY </w:t>
      </w:r>
      <w:r w:rsidR="00D56012" w:rsidRPr="007C2D51">
        <w:t>2010</w:t>
      </w:r>
      <w:r w:rsidRPr="007C2D51">
        <w:t>, the Census LEHD data aspects of the JARC evaluation were substantially the same as for the work performed for FY 2007 – FY 200</w:t>
      </w:r>
      <w:r w:rsidR="00085F61" w:rsidRPr="007C2D51">
        <w:t>9</w:t>
      </w:r>
      <w:r w:rsidR="00CE332B" w:rsidRPr="007C2D51">
        <w:t xml:space="preserve">.  </w:t>
      </w:r>
    </w:p>
    <w:p w:rsidR="003475DA" w:rsidRPr="007C2D51" w:rsidRDefault="003475DA" w:rsidP="003475DA">
      <w:pPr>
        <w:pStyle w:val="BodyText"/>
      </w:pPr>
      <w:r w:rsidRPr="007C2D51">
        <w:t>LEHD provides total employment data by calendar quarter and industry for each covered county</w:t>
      </w:r>
      <w:r w:rsidR="00CE332B" w:rsidRPr="007C2D51">
        <w:t xml:space="preserve">.  </w:t>
      </w:r>
      <w:r w:rsidRPr="007C2D51">
        <w:t xml:space="preserve">LEHD county-level total </w:t>
      </w:r>
      <w:r w:rsidR="006A24FF" w:rsidRPr="007C2D51">
        <w:t>employment by industry data is</w:t>
      </w:r>
      <w:r w:rsidRPr="007C2D51">
        <w:t xml:space="preserve"> available from a </w:t>
      </w:r>
      <w:r w:rsidR="00FC1555" w:rsidRPr="007C2D51">
        <w:t>US</w:t>
      </w:r>
      <w:r w:rsidR="00CE332B" w:rsidRPr="007C2D51">
        <w:t xml:space="preserve"> </w:t>
      </w:r>
      <w:r w:rsidRPr="007C2D51">
        <w:t xml:space="preserve">Census website: </w:t>
      </w:r>
      <w:hyperlink r:id="rId36" w:history="1">
        <w:r w:rsidRPr="007C2D51">
          <w:rPr>
            <w:rStyle w:val="Hyperlink"/>
          </w:rPr>
          <w:t>http://lehd.did.census.gov/led/datatools/qwiapp.html</w:t>
        </w:r>
      </w:hyperlink>
      <w:r w:rsidRPr="007C2D51">
        <w:t>.</w:t>
      </w:r>
    </w:p>
    <w:p w:rsidR="003475DA" w:rsidRPr="007C2D51" w:rsidRDefault="003475DA" w:rsidP="003475DA">
      <w:pPr>
        <w:pStyle w:val="Heading3"/>
      </w:pPr>
      <w:r w:rsidRPr="007C2D51">
        <w:t>Automated Census data retrieval overview</w:t>
      </w:r>
    </w:p>
    <w:p w:rsidR="003475DA" w:rsidRPr="007C2D51" w:rsidRDefault="003475DA" w:rsidP="003475DA">
      <w:pPr>
        <w:pStyle w:val="BodyText"/>
      </w:pPr>
      <w:r w:rsidRPr="007C2D51">
        <w:t xml:space="preserve">CES staff revised the automated data retrieval system to increase the number of “self-checks” and to permit multiple years of data to be retrieved for each </w:t>
      </w:r>
      <w:r w:rsidR="00FC1555" w:rsidRPr="007C2D51">
        <w:t>US</w:t>
      </w:r>
      <w:r w:rsidR="002A0F40" w:rsidRPr="007C2D51">
        <w:t xml:space="preserve"> </w:t>
      </w:r>
      <w:r w:rsidRPr="007C2D51">
        <w:t>county that was covered in whole or part by JARC demand response services</w:t>
      </w:r>
      <w:r w:rsidR="00CE332B" w:rsidRPr="007C2D51">
        <w:t xml:space="preserve">.  </w:t>
      </w:r>
    </w:p>
    <w:p w:rsidR="003475DA" w:rsidRPr="007C2D51" w:rsidRDefault="003475DA" w:rsidP="003475DA">
      <w:pPr>
        <w:pStyle w:val="BodyText"/>
      </w:pPr>
      <w:r w:rsidRPr="007C2D51">
        <w:t>We determined that the URL to retrieve a particular county and year of LEHD data could be generated programmatically</w:t>
      </w:r>
      <w:r w:rsidR="00CE332B" w:rsidRPr="007C2D51">
        <w:t xml:space="preserve">.  </w:t>
      </w:r>
      <w:r w:rsidRPr="007C2D51">
        <w:t xml:space="preserve">For instance: the following URL provides access to </w:t>
      </w:r>
      <w:r w:rsidRPr="007C2D51">
        <w:rPr>
          <w:i/>
        </w:rPr>
        <w:t>Total Employment</w:t>
      </w:r>
      <w:r w:rsidRPr="007C2D51">
        <w:t xml:space="preserve"> data for Calhoun County (FIPS code </w:t>
      </w:r>
      <w:r w:rsidRPr="007C2D51">
        <w:rPr>
          <w:i/>
        </w:rPr>
        <w:t>013</w:t>
      </w:r>
      <w:r w:rsidRPr="007C2D51">
        <w:t xml:space="preserve">) in the state of Florida (abbreviated </w:t>
      </w:r>
      <w:r w:rsidRPr="007C2D51">
        <w:rPr>
          <w:i/>
        </w:rPr>
        <w:t>fl</w:t>
      </w:r>
      <w:r w:rsidRPr="007C2D51">
        <w:t xml:space="preserve">) for the year of </w:t>
      </w:r>
      <w:r w:rsidRPr="007C2D51">
        <w:rPr>
          <w:i/>
        </w:rPr>
        <w:t>2008</w:t>
      </w:r>
      <w:r w:rsidRPr="007C2D51">
        <w:t>.</w:t>
      </w:r>
    </w:p>
    <w:p w:rsidR="003475DA" w:rsidRPr="007C2D51" w:rsidRDefault="00022E2F" w:rsidP="003475DA">
      <w:pPr>
        <w:pStyle w:val="BodyText"/>
      </w:pPr>
      <w:hyperlink r:id="rId37" w:history="1">
        <w:r w:rsidR="003475DA" w:rsidRPr="007C2D51">
          <w:rPr>
            <w:rStyle w:val="Hyperlink"/>
          </w:rPr>
          <w:t>http://lehd.did.census.gov/cgi-bin/lehdpivot/lehd/pvt/pivot_county.hsql?xpivot=Industry&amp;xdata=Total_Employment&amp;xyear=2008&amp;head=ZZZZ&amp;xstate=fl&amp;xstyle=lehd&amp;xfixed=Year&amp;xgeofx=xcounty&amp;xcounty=%3D&amp;xsicdiv=%3C%3E&amp;xsex=%3D&amp;xagegroup=%3D&amp;xowner=%3D&amp;xsort=Year%2CQuarter%2CSic_Division&amp;Xvalue=013</w:t>
        </w:r>
      </w:hyperlink>
    </w:p>
    <w:p w:rsidR="003475DA" w:rsidRPr="007C2D51" w:rsidRDefault="003475DA" w:rsidP="003475DA">
      <w:pPr>
        <w:pStyle w:val="BodyText"/>
      </w:pPr>
      <w:r w:rsidRPr="007C2D51">
        <w:t xml:space="preserve">A portion of the web page retrieved is shown below: </w:t>
      </w:r>
    </w:p>
    <w:p w:rsidR="003475DA" w:rsidRPr="007C2D51" w:rsidRDefault="003475DA" w:rsidP="003475DA">
      <w:pPr>
        <w:pStyle w:val="BodyText"/>
      </w:pPr>
      <w:r w:rsidRPr="007C2D51">
        <w:rPr>
          <w:noProof/>
        </w:rPr>
        <w:lastRenderedPageBreak/>
        <w:drawing>
          <wp:anchor distT="0" distB="0" distL="114300" distR="114300" simplePos="0" relativeHeight="251717632" behindDoc="0" locked="0" layoutInCell="1" allowOverlap="1">
            <wp:simplePos x="0" y="0"/>
            <wp:positionH relativeFrom="column">
              <wp:posOffset>571500</wp:posOffset>
            </wp:positionH>
            <wp:positionV relativeFrom="paragraph">
              <wp:posOffset>80645</wp:posOffset>
            </wp:positionV>
            <wp:extent cx="4552950" cy="3009900"/>
            <wp:effectExtent l="38100" t="19050" r="57150" b="38100"/>
            <wp:wrapTopAndBottom/>
            <wp:docPr id="12" name="Picture 3" descr="QWI Florida - County Pivot Data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WI Florida - County Pivot Data Form"/>
                    <pic:cNvPicPr>
                      <a:picLocks noChangeAspect="1" noChangeArrowheads="1"/>
                    </pic:cNvPicPr>
                  </pic:nvPicPr>
                  <pic:blipFill>
                    <a:blip r:embed="rId38" cstate="print"/>
                    <a:srcRect/>
                    <a:stretch>
                      <a:fillRect/>
                    </a:stretch>
                  </pic:blipFill>
                  <pic:spPr bwMode="auto">
                    <a:xfrm>
                      <a:off x="0" y="0"/>
                      <a:ext cx="4552950" cy="3009900"/>
                    </a:xfrm>
                    <a:prstGeom prst="rect">
                      <a:avLst/>
                    </a:prstGeom>
                    <a:solidFill>
                      <a:srgbClr val="FFFFFF">
                        <a:shade val="85000"/>
                      </a:srgbClr>
                    </a:solidFill>
                    <a:ln w="88900" cap="sq">
                      <a:noFill/>
                      <a:miter lim="800000"/>
                    </a:ln>
                    <a:effectLst>
                      <a:outerShdw blurRad="55000" dist="18000" dir="5400000" algn="tl" rotWithShape="0">
                        <a:srgbClr val="000000">
                          <a:alpha val="40000"/>
                        </a:srgbClr>
                      </a:outerShdw>
                    </a:effectLst>
                  </pic:spPr>
                </pic:pic>
              </a:graphicData>
            </a:graphic>
          </wp:anchor>
        </w:drawing>
      </w:r>
    </w:p>
    <w:p w:rsidR="003475DA" w:rsidRPr="007C2D51" w:rsidRDefault="003475DA" w:rsidP="003475DA">
      <w:pPr>
        <w:pStyle w:val="BodyText"/>
      </w:pPr>
      <w:r w:rsidRPr="007C2D51">
        <w:t xml:space="preserve">Each of these </w:t>
      </w:r>
      <w:r w:rsidR="00F63BE3" w:rsidRPr="007C2D51">
        <w:t>QWI</w:t>
      </w:r>
      <w:r w:rsidRPr="007C2D51">
        <w:t xml:space="preserve"> County Pivot report pages contains a link, labeled “Download Dataset”, that provides access to the data in spreadsheet format</w:t>
      </w:r>
      <w:r w:rsidR="00CE332B" w:rsidRPr="007C2D51">
        <w:t xml:space="preserve">.  </w:t>
      </w:r>
      <w:r w:rsidRPr="007C2D51">
        <w:t xml:space="preserve">A sample URL: </w:t>
      </w:r>
      <w:hyperlink r:id="rId39" w:history="1">
        <w:r w:rsidRPr="007C2D51">
          <w:rPr>
            <w:rStyle w:val="Hyperlink"/>
          </w:rPr>
          <w:t>http://lehd.did.census.gov/lehd/cache/lehd/pvt/pivot_county/fl-c/1e-ae-cn-dt-fy-llehd-pi-v013-xe-y2008-xownere.xls</w:t>
        </w:r>
      </w:hyperlink>
      <w:r w:rsidRPr="007C2D51">
        <w:t>.</w:t>
      </w:r>
    </w:p>
    <w:p w:rsidR="003475DA" w:rsidRPr="007C2D51" w:rsidRDefault="003475DA" w:rsidP="003475DA">
      <w:pPr>
        <w:pStyle w:val="Heading3"/>
      </w:pPr>
      <w:r w:rsidRPr="007C2D51">
        <w:t>County FIPS codes</w:t>
      </w:r>
    </w:p>
    <w:p w:rsidR="003475DA" w:rsidRPr="007C2D51" w:rsidRDefault="003475DA" w:rsidP="003475DA">
      <w:pPr>
        <w:pStyle w:val="BodyText"/>
      </w:pPr>
      <w:r w:rsidRPr="007C2D51">
        <w:t xml:space="preserve">County FIPS codes were retrieved in </w:t>
      </w:r>
      <w:r w:rsidR="00D56012" w:rsidRPr="007C2D51">
        <w:t>2010</w:t>
      </w:r>
      <w:r w:rsidRPr="007C2D51">
        <w:t xml:space="preserve"> from the Census website: </w:t>
      </w:r>
      <w:hyperlink r:id="rId40" w:history="1">
        <w:r w:rsidRPr="007C2D51">
          <w:rPr>
            <w:rStyle w:val="Hyperlink"/>
          </w:rPr>
          <w:t>http://www.census.gov/geo/www/fips/fips65/data/national.txt</w:t>
        </w:r>
      </w:hyperlink>
      <w:r w:rsidRPr="007C2D51">
        <w:t xml:space="preserve"> Excerpts of this table are shown below:</w:t>
      </w:r>
    </w:p>
    <w:p w:rsidR="003475DA" w:rsidRPr="007C2D51" w:rsidRDefault="003475DA" w:rsidP="003475DA"/>
    <w:tbl>
      <w:tblPr>
        <w:tblStyle w:val="LightList-Accent6"/>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18"/>
        <w:gridCol w:w="767"/>
        <w:gridCol w:w="810"/>
        <w:gridCol w:w="1170"/>
      </w:tblGrid>
      <w:tr w:rsidR="003475DA" w:rsidRPr="007C2D51" w:rsidTr="00F15767">
        <w:trPr>
          <w:cnfStyle w:val="100000000000"/>
          <w:jc w:val="center"/>
        </w:trPr>
        <w:tc>
          <w:tcPr>
            <w:cnfStyle w:val="001000000000"/>
            <w:tcW w:w="918" w:type="dxa"/>
            <w:vAlign w:val="bottom"/>
          </w:tcPr>
          <w:p w:rsidR="003475DA" w:rsidRPr="007C2D51" w:rsidRDefault="003475DA" w:rsidP="00892115">
            <w:r w:rsidRPr="007C2D51">
              <w:t>State</w:t>
            </w:r>
          </w:p>
        </w:tc>
        <w:tc>
          <w:tcPr>
            <w:cnfStyle w:val="000010000000"/>
            <w:tcW w:w="767" w:type="dxa"/>
            <w:tcBorders>
              <w:top w:val="none" w:sz="0" w:space="0" w:color="auto"/>
              <w:left w:val="none" w:sz="0" w:space="0" w:color="auto"/>
              <w:right w:val="none" w:sz="0" w:space="0" w:color="auto"/>
            </w:tcBorders>
            <w:vAlign w:val="bottom"/>
          </w:tcPr>
          <w:p w:rsidR="003475DA" w:rsidRPr="007C2D51" w:rsidRDefault="003475DA" w:rsidP="00892115">
            <w:pPr>
              <w:jc w:val="center"/>
            </w:pPr>
            <w:r w:rsidRPr="007C2D51">
              <w:t>FIPS</w:t>
            </w:r>
          </w:p>
        </w:tc>
        <w:tc>
          <w:tcPr>
            <w:tcW w:w="810" w:type="dxa"/>
            <w:vAlign w:val="bottom"/>
          </w:tcPr>
          <w:p w:rsidR="003475DA" w:rsidRPr="007C2D51" w:rsidRDefault="003475DA" w:rsidP="00892115">
            <w:pPr>
              <w:jc w:val="center"/>
              <w:cnfStyle w:val="100000000000"/>
            </w:pPr>
            <w:r w:rsidRPr="007C2D51">
              <w:t>Code</w:t>
            </w:r>
          </w:p>
        </w:tc>
        <w:tc>
          <w:tcPr>
            <w:cnfStyle w:val="000010000000"/>
            <w:tcW w:w="1170" w:type="dxa"/>
            <w:tcBorders>
              <w:top w:val="none" w:sz="0" w:space="0" w:color="auto"/>
              <w:left w:val="none" w:sz="0" w:space="0" w:color="auto"/>
              <w:right w:val="none" w:sz="0" w:space="0" w:color="auto"/>
            </w:tcBorders>
            <w:vAlign w:val="bottom"/>
          </w:tcPr>
          <w:p w:rsidR="003475DA" w:rsidRPr="007C2D51" w:rsidRDefault="003475DA" w:rsidP="00892115">
            <w:pPr>
              <w:jc w:val="center"/>
            </w:pPr>
            <w:r w:rsidRPr="007C2D51">
              <w:t>County</w:t>
            </w:r>
          </w:p>
        </w:tc>
      </w:tr>
      <w:tr w:rsidR="003475DA" w:rsidRPr="007C2D51" w:rsidTr="00F15767">
        <w:trPr>
          <w:cnfStyle w:val="000000100000"/>
          <w:jc w:val="center"/>
        </w:trPr>
        <w:tc>
          <w:tcPr>
            <w:cnfStyle w:val="001000000000"/>
            <w:tcW w:w="918" w:type="dxa"/>
            <w:tcBorders>
              <w:top w:val="none" w:sz="0" w:space="0" w:color="auto"/>
              <w:left w:val="none" w:sz="0" w:space="0" w:color="auto"/>
              <w:bottom w:val="none" w:sz="0" w:space="0" w:color="auto"/>
            </w:tcBorders>
            <w:vAlign w:val="bottom"/>
          </w:tcPr>
          <w:p w:rsidR="003475DA" w:rsidRPr="00F15767" w:rsidRDefault="003475DA" w:rsidP="00892115">
            <w:pPr>
              <w:rPr>
                <w:b w:val="0"/>
              </w:rPr>
            </w:pPr>
            <w:r w:rsidRPr="00F15767">
              <w:rPr>
                <w:b w:val="0"/>
              </w:rPr>
              <w:t>AL</w:t>
            </w:r>
          </w:p>
        </w:tc>
        <w:tc>
          <w:tcPr>
            <w:cnfStyle w:val="000010000000"/>
            <w:tcW w:w="767" w:type="dxa"/>
            <w:tcBorders>
              <w:top w:val="none" w:sz="0" w:space="0" w:color="auto"/>
              <w:left w:val="none" w:sz="0" w:space="0" w:color="auto"/>
              <w:bottom w:val="none" w:sz="0" w:space="0" w:color="auto"/>
              <w:right w:val="none" w:sz="0" w:space="0" w:color="auto"/>
            </w:tcBorders>
            <w:vAlign w:val="bottom"/>
          </w:tcPr>
          <w:p w:rsidR="003475DA" w:rsidRPr="007C2D51" w:rsidRDefault="003475DA" w:rsidP="00892115">
            <w:pPr>
              <w:jc w:val="right"/>
            </w:pPr>
            <w:r w:rsidRPr="007C2D51">
              <w:t>01</w:t>
            </w:r>
          </w:p>
        </w:tc>
        <w:tc>
          <w:tcPr>
            <w:tcW w:w="810" w:type="dxa"/>
            <w:tcBorders>
              <w:top w:val="none" w:sz="0" w:space="0" w:color="auto"/>
              <w:bottom w:val="none" w:sz="0" w:space="0" w:color="auto"/>
            </w:tcBorders>
            <w:vAlign w:val="bottom"/>
          </w:tcPr>
          <w:p w:rsidR="003475DA" w:rsidRPr="007C2D51" w:rsidRDefault="003475DA" w:rsidP="00892115">
            <w:pPr>
              <w:jc w:val="right"/>
              <w:cnfStyle w:val="000000100000"/>
            </w:pPr>
            <w:r w:rsidRPr="007C2D51">
              <w:t>001</w:t>
            </w:r>
          </w:p>
        </w:tc>
        <w:tc>
          <w:tcPr>
            <w:cnfStyle w:val="000010000000"/>
            <w:tcW w:w="1170" w:type="dxa"/>
            <w:tcBorders>
              <w:top w:val="none" w:sz="0" w:space="0" w:color="auto"/>
              <w:left w:val="none" w:sz="0" w:space="0" w:color="auto"/>
              <w:bottom w:val="none" w:sz="0" w:space="0" w:color="auto"/>
              <w:right w:val="none" w:sz="0" w:space="0" w:color="auto"/>
            </w:tcBorders>
            <w:vAlign w:val="bottom"/>
          </w:tcPr>
          <w:p w:rsidR="003475DA" w:rsidRPr="007C2D51" w:rsidRDefault="003475DA" w:rsidP="00892115">
            <w:pPr>
              <w:jc w:val="right"/>
            </w:pPr>
            <w:r w:rsidRPr="007C2D51">
              <w:t>Autauga</w:t>
            </w:r>
          </w:p>
        </w:tc>
      </w:tr>
      <w:tr w:rsidR="003475DA" w:rsidRPr="007C2D51" w:rsidTr="00F15767">
        <w:trPr>
          <w:jc w:val="center"/>
        </w:trPr>
        <w:tc>
          <w:tcPr>
            <w:cnfStyle w:val="001000000000"/>
            <w:tcW w:w="918" w:type="dxa"/>
            <w:vAlign w:val="bottom"/>
          </w:tcPr>
          <w:p w:rsidR="003475DA" w:rsidRPr="00F15767" w:rsidRDefault="003475DA" w:rsidP="00892115">
            <w:pPr>
              <w:rPr>
                <w:b w:val="0"/>
              </w:rPr>
            </w:pPr>
            <w:r w:rsidRPr="00F15767">
              <w:rPr>
                <w:b w:val="0"/>
              </w:rPr>
              <w:t>AL</w:t>
            </w:r>
          </w:p>
        </w:tc>
        <w:tc>
          <w:tcPr>
            <w:cnfStyle w:val="000010000000"/>
            <w:tcW w:w="767" w:type="dxa"/>
            <w:tcBorders>
              <w:left w:val="none" w:sz="0" w:space="0" w:color="auto"/>
              <w:right w:val="none" w:sz="0" w:space="0" w:color="auto"/>
            </w:tcBorders>
            <w:vAlign w:val="bottom"/>
          </w:tcPr>
          <w:p w:rsidR="003475DA" w:rsidRPr="007C2D51" w:rsidRDefault="003475DA" w:rsidP="00892115">
            <w:pPr>
              <w:jc w:val="right"/>
            </w:pPr>
            <w:r w:rsidRPr="007C2D51">
              <w:t>01</w:t>
            </w:r>
          </w:p>
        </w:tc>
        <w:tc>
          <w:tcPr>
            <w:tcW w:w="810" w:type="dxa"/>
            <w:vAlign w:val="bottom"/>
          </w:tcPr>
          <w:p w:rsidR="003475DA" w:rsidRPr="007C2D51" w:rsidRDefault="003475DA" w:rsidP="00892115">
            <w:pPr>
              <w:jc w:val="right"/>
              <w:cnfStyle w:val="000000000000"/>
            </w:pPr>
            <w:r w:rsidRPr="007C2D51">
              <w:t>003</w:t>
            </w:r>
          </w:p>
        </w:tc>
        <w:tc>
          <w:tcPr>
            <w:cnfStyle w:val="000010000000"/>
            <w:tcW w:w="1170" w:type="dxa"/>
            <w:tcBorders>
              <w:left w:val="none" w:sz="0" w:space="0" w:color="auto"/>
              <w:right w:val="none" w:sz="0" w:space="0" w:color="auto"/>
            </w:tcBorders>
            <w:vAlign w:val="bottom"/>
          </w:tcPr>
          <w:p w:rsidR="003475DA" w:rsidRPr="007C2D51" w:rsidRDefault="003475DA" w:rsidP="00892115">
            <w:pPr>
              <w:jc w:val="right"/>
            </w:pPr>
            <w:r w:rsidRPr="007C2D51">
              <w:t>Baldwin</w:t>
            </w:r>
          </w:p>
        </w:tc>
      </w:tr>
      <w:tr w:rsidR="003475DA" w:rsidRPr="007C2D51" w:rsidTr="00F15767">
        <w:trPr>
          <w:cnfStyle w:val="000000100000"/>
          <w:jc w:val="center"/>
        </w:trPr>
        <w:tc>
          <w:tcPr>
            <w:cnfStyle w:val="001000000000"/>
            <w:tcW w:w="918" w:type="dxa"/>
            <w:tcBorders>
              <w:top w:val="none" w:sz="0" w:space="0" w:color="auto"/>
              <w:left w:val="none" w:sz="0" w:space="0" w:color="auto"/>
              <w:bottom w:val="none" w:sz="0" w:space="0" w:color="auto"/>
            </w:tcBorders>
            <w:vAlign w:val="bottom"/>
          </w:tcPr>
          <w:p w:rsidR="003475DA" w:rsidRPr="00F15767" w:rsidRDefault="003475DA" w:rsidP="00892115">
            <w:pPr>
              <w:rPr>
                <w:b w:val="0"/>
              </w:rPr>
            </w:pPr>
            <w:r w:rsidRPr="00F15767">
              <w:rPr>
                <w:b w:val="0"/>
              </w:rPr>
              <w:t>AL</w:t>
            </w:r>
          </w:p>
        </w:tc>
        <w:tc>
          <w:tcPr>
            <w:cnfStyle w:val="000010000000"/>
            <w:tcW w:w="767" w:type="dxa"/>
            <w:tcBorders>
              <w:top w:val="none" w:sz="0" w:space="0" w:color="auto"/>
              <w:left w:val="none" w:sz="0" w:space="0" w:color="auto"/>
              <w:bottom w:val="none" w:sz="0" w:space="0" w:color="auto"/>
              <w:right w:val="none" w:sz="0" w:space="0" w:color="auto"/>
            </w:tcBorders>
            <w:vAlign w:val="bottom"/>
          </w:tcPr>
          <w:p w:rsidR="003475DA" w:rsidRPr="007C2D51" w:rsidRDefault="003475DA" w:rsidP="00892115">
            <w:pPr>
              <w:jc w:val="right"/>
            </w:pPr>
            <w:r w:rsidRPr="007C2D51">
              <w:t>01</w:t>
            </w:r>
          </w:p>
        </w:tc>
        <w:tc>
          <w:tcPr>
            <w:tcW w:w="810" w:type="dxa"/>
            <w:tcBorders>
              <w:top w:val="none" w:sz="0" w:space="0" w:color="auto"/>
              <w:bottom w:val="none" w:sz="0" w:space="0" w:color="auto"/>
            </w:tcBorders>
            <w:vAlign w:val="bottom"/>
          </w:tcPr>
          <w:p w:rsidR="003475DA" w:rsidRPr="007C2D51" w:rsidRDefault="003475DA" w:rsidP="00892115">
            <w:pPr>
              <w:jc w:val="right"/>
              <w:cnfStyle w:val="000000100000"/>
            </w:pPr>
            <w:r w:rsidRPr="007C2D51">
              <w:t>005</w:t>
            </w:r>
          </w:p>
        </w:tc>
        <w:tc>
          <w:tcPr>
            <w:cnfStyle w:val="000010000000"/>
            <w:tcW w:w="1170" w:type="dxa"/>
            <w:tcBorders>
              <w:top w:val="none" w:sz="0" w:space="0" w:color="auto"/>
              <w:left w:val="none" w:sz="0" w:space="0" w:color="auto"/>
              <w:bottom w:val="none" w:sz="0" w:space="0" w:color="auto"/>
              <w:right w:val="none" w:sz="0" w:space="0" w:color="auto"/>
            </w:tcBorders>
            <w:vAlign w:val="bottom"/>
          </w:tcPr>
          <w:p w:rsidR="003475DA" w:rsidRPr="007C2D51" w:rsidRDefault="003475DA" w:rsidP="00892115">
            <w:pPr>
              <w:jc w:val="right"/>
            </w:pPr>
            <w:r w:rsidRPr="007C2D51">
              <w:t>Barbour</w:t>
            </w:r>
          </w:p>
        </w:tc>
      </w:tr>
      <w:tr w:rsidR="003475DA" w:rsidRPr="007C2D51" w:rsidTr="00F15767">
        <w:trPr>
          <w:jc w:val="center"/>
        </w:trPr>
        <w:tc>
          <w:tcPr>
            <w:cnfStyle w:val="001000000000"/>
            <w:tcW w:w="918" w:type="dxa"/>
            <w:vAlign w:val="bottom"/>
          </w:tcPr>
          <w:p w:rsidR="003475DA" w:rsidRPr="00F15767" w:rsidRDefault="003475DA" w:rsidP="00892115">
            <w:pPr>
              <w:rPr>
                <w:b w:val="0"/>
              </w:rPr>
            </w:pPr>
            <w:r w:rsidRPr="00F15767">
              <w:rPr>
                <w:b w:val="0"/>
              </w:rPr>
              <w:t>AL</w:t>
            </w:r>
          </w:p>
        </w:tc>
        <w:tc>
          <w:tcPr>
            <w:cnfStyle w:val="000010000000"/>
            <w:tcW w:w="767" w:type="dxa"/>
            <w:tcBorders>
              <w:left w:val="none" w:sz="0" w:space="0" w:color="auto"/>
              <w:right w:val="none" w:sz="0" w:space="0" w:color="auto"/>
            </w:tcBorders>
            <w:vAlign w:val="bottom"/>
          </w:tcPr>
          <w:p w:rsidR="003475DA" w:rsidRPr="007C2D51" w:rsidRDefault="003475DA" w:rsidP="00892115">
            <w:pPr>
              <w:jc w:val="right"/>
            </w:pPr>
            <w:r w:rsidRPr="007C2D51">
              <w:t>01</w:t>
            </w:r>
          </w:p>
        </w:tc>
        <w:tc>
          <w:tcPr>
            <w:tcW w:w="810" w:type="dxa"/>
            <w:vAlign w:val="bottom"/>
          </w:tcPr>
          <w:p w:rsidR="003475DA" w:rsidRPr="007C2D51" w:rsidRDefault="003475DA" w:rsidP="00892115">
            <w:pPr>
              <w:jc w:val="right"/>
              <w:cnfStyle w:val="000000000000"/>
            </w:pPr>
            <w:r w:rsidRPr="007C2D51">
              <w:t>007</w:t>
            </w:r>
          </w:p>
        </w:tc>
        <w:tc>
          <w:tcPr>
            <w:cnfStyle w:val="000010000000"/>
            <w:tcW w:w="1170" w:type="dxa"/>
            <w:tcBorders>
              <w:left w:val="none" w:sz="0" w:space="0" w:color="auto"/>
              <w:right w:val="none" w:sz="0" w:space="0" w:color="auto"/>
            </w:tcBorders>
            <w:vAlign w:val="bottom"/>
          </w:tcPr>
          <w:p w:rsidR="003475DA" w:rsidRPr="007C2D51" w:rsidRDefault="003475DA" w:rsidP="00892115">
            <w:pPr>
              <w:jc w:val="right"/>
            </w:pPr>
            <w:r w:rsidRPr="007C2D51">
              <w:t>Bibb</w:t>
            </w:r>
          </w:p>
        </w:tc>
      </w:tr>
      <w:tr w:rsidR="003475DA" w:rsidRPr="007C2D51" w:rsidTr="00F15767">
        <w:trPr>
          <w:cnfStyle w:val="000000100000"/>
          <w:jc w:val="center"/>
        </w:trPr>
        <w:tc>
          <w:tcPr>
            <w:cnfStyle w:val="001000000000"/>
            <w:tcW w:w="918" w:type="dxa"/>
            <w:tcBorders>
              <w:top w:val="none" w:sz="0" w:space="0" w:color="auto"/>
              <w:left w:val="none" w:sz="0" w:space="0" w:color="auto"/>
              <w:bottom w:val="none" w:sz="0" w:space="0" w:color="auto"/>
            </w:tcBorders>
            <w:vAlign w:val="bottom"/>
          </w:tcPr>
          <w:p w:rsidR="003475DA" w:rsidRPr="00F15767" w:rsidRDefault="003475DA" w:rsidP="00892115">
            <w:pPr>
              <w:rPr>
                <w:b w:val="0"/>
              </w:rPr>
            </w:pPr>
            <w:r w:rsidRPr="00F15767">
              <w:rPr>
                <w:b w:val="0"/>
              </w:rPr>
              <w:t>AL</w:t>
            </w:r>
          </w:p>
        </w:tc>
        <w:tc>
          <w:tcPr>
            <w:cnfStyle w:val="000010000000"/>
            <w:tcW w:w="767" w:type="dxa"/>
            <w:tcBorders>
              <w:top w:val="none" w:sz="0" w:space="0" w:color="auto"/>
              <w:left w:val="none" w:sz="0" w:space="0" w:color="auto"/>
              <w:bottom w:val="none" w:sz="0" w:space="0" w:color="auto"/>
              <w:right w:val="none" w:sz="0" w:space="0" w:color="auto"/>
            </w:tcBorders>
            <w:vAlign w:val="bottom"/>
          </w:tcPr>
          <w:p w:rsidR="003475DA" w:rsidRPr="007C2D51" w:rsidRDefault="003475DA" w:rsidP="00892115">
            <w:pPr>
              <w:jc w:val="right"/>
            </w:pPr>
            <w:r w:rsidRPr="007C2D51">
              <w:t>01</w:t>
            </w:r>
          </w:p>
        </w:tc>
        <w:tc>
          <w:tcPr>
            <w:tcW w:w="810" w:type="dxa"/>
            <w:tcBorders>
              <w:top w:val="none" w:sz="0" w:space="0" w:color="auto"/>
              <w:bottom w:val="none" w:sz="0" w:space="0" w:color="auto"/>
            </w:tcBorders>
            <w:vAlign w:val="bottom"/>
          </w:tcPr>
          <w:p w:rsidR="003475DA" w:rsidRPr="007C2D51" w:rsidRDefault="003475DA" w:rsidP="00892115">
            <w:pPr>
              <w:jc w:val="right"/>
              <w:cnfStyle w:val="000000100000"/>
            </w:pPr>
            <w:r w:rsidRPr="007C2D51">
              <w:t>009</w:t>
            </w:r>
          </w:p>
        </w:tc>
        <w:tc>
          <w:tcPr>
            <w:cnfStyle w:val="000010000000"/>
            <w:tcW w:w="1170" w:type="dxa"/>
            <w:tcBorders>
              <w:top w:val="none" w:sz="0" w:space="0" w:color="auto"/>
              <w:left w:val="none" w:sz="0" w:space="0" w:color="auto"/>
              <w:bottom w:val="none" w:sz="0" w:space="0" w:color="auto"/>
              <w:right w:val="none" w:sz="0" w:space="0" w:color="auto"/>
            </w:tcBorders>
            <w:vAlign w:val="bottom"/>
          </w:tcPr>
          <w:p w:rsidR="003475DA" w:rsidRPr="007C2D51" w:rsidRDefault="003475DA" w:rsidP="00892115">
            <w:pPr>
              <w:jc w:val="right"/>
            </w:pPr>
            <w:r w:rsidRPr="007C2D51">
              <w:t>Blount</w:t>
            </w:r>
          </w:p>
        </w:tc>
      </w:tr>
      <w:tr w:rsidR="003475DA" w:rsidRPr="007C2D51" w:rsidTr="00F15767">
        <w:trPr>
          <w:jc w:val="center"/>
        </w:trPr>
        <w:tc>
          <w:tcPr>
            <w:cnfStyle w:val="001000000000"/>
            <w:tcW w:w="918" w:type="dxa"/>
            <w:vAlign w:val="bottom"/>
          </w:tcPr>
          <w:p w:rsidR="003475DA" w:rsidRPr="00F15767" w:rsidRDefault="003475DA" w:rsidP="00892115">
            <w:pPr>
              <w:rPr>
                <w:b w:val="0"/>
              </w:rPr>
            </w:pPr>
            <w:r w:rsidRPr="00F15767">
              <w:rPr>
                <w:b w:val="0"/>
              </w:rPr>
              <w:t>AL</w:t>
            </w:r>
          </w:p>
        </w:tc>
        <w:tc>
          <w:tcPr>
            <w:cnfStyle w:val="000010000000"/>
            <w:tcW w:w="767" w:type="dxa"/>
            <w:tcBorders>
              <w:left w:val="none" w:sz="0" w:space="0" w:color="auto"/>
              <w:right w:val="none" w:sz="0" w:space="0" w:color="auto"/>
            </w:tcBorders>
            <w:vAlign w:val="bottom"/>
          </w:tcPr>
          <w:p w:rsidR="003475DA" w:rsidRPr="007C2D51" w:rsidRDefault="003475DA" w:rsidP="00892115">
            <w:pPr>
              <w:jc w:val="right"/>
            </w:pPr>
            <w:r w:rsidRPr="007C2D51">
              <w:t>01</w:t>
            </w:r>
          </w:p>
        </w:tc>
        <w:tc>
          <w:tcPr>
            <w:tcW w:w="810" w:type="dxa"/>
            <w:vAlign w:val="bottom"/>
          </w:tcPr>
          <w:p w:rsidR="003475DA" w:rsidRPr="007C2D51" w:rsidRDefault="003475DA" w:rsidP="00892115">
            <w:pPr>
              <w:jc w:val="right"/>
              <w:cnfStyle w:val="000000000000"/>
            </w:pPr>
            <w:r w:rsidRPr="007C2D51">
              <w:t>011</w:t>
            </w:r>
          </w:p>
        </w:tc>
        <w:tc>
          <w:tcPr>
            <w:cnfStyle w:val="000010000000"/>
            <w:tcW w:w="1170" w:type="dxa"/>
            <w:tcBorders>
              <w:left w:val="none" w:sz="0" w:space="0" w:color="auto"/>
              <w:right w:val="none" w:sz="0" w:space="0" w:color="auto"/>
            </w:tcBorders>
            <w:vAlign w:val="bottom"/>
          </w:tcPr>
          <w:p w:rsidR="003475DA" w:rsidRPr="007C2D51" w:rsidRDefault="003475DA" w:rsidP="00892115">
            <w:pPr>
              <w:jc w:val="right"/>
            </w:pPr>
            <w:r w:rsidRPr="007C2D51">
              <w:t>Bullock</w:t>
            </w:r>
          </w:p>
        </w:tc>
      </w:tr>
      <w:tr w:rsidR="003475DA" w:rsidRPr="007C2D51" w:rsidTr="00F15767">
        <w:trPr>
          <w:cnfStyle w:val="000000100000"/>
          <w:jc w:val="center"/>
        </w:trPr>
        <w:tc>
          <w:tcPr>
            <w:cnfStyle w:val="001000000000"/>
            <w:tcW w:w="918" w:type="dxa"/>
            <w:tcBorders>
              <w:top w:val="none" w:sz="0" w:space="0" w:color="auto"/>
              <w:left w:val="none" w:sz="0" w:space="0" w:color="auto"/>
              <w:bottom w:val="none" w:sz="0" w:space="0" w:color="auto"/>
            </w:tcBorders>
            <w:vAlign w:val="bottom"/>
          </w:tcPr>
          <w:p w:rsidR="003475DA" w:rsidRPr="00F15767" w:rsidRDefault="003475DA" w:rsidP="00892115">
            <w:pPr>
              <w:rPr>
                <w:b w:val="0"/>
              </w:rPr>
            </w:pPr>
            <w:r w:rsidRPr="00F15767">
              <w:rPr>
                <w:b w:val="0"/>
              </w:rPr>
              <w:t>AL</w:t>
            </w:r>
          </w:p>
        </w:tc>
        <w:tc>
          <w:tcPr>
            <w:cnfStyle w:val="000010000000"/>
            <w:tcW w:w="767" w:type="dxa"/>
            <w:tcBorders>
              <w:top w:val="none" w:sz="0" w:space="0" w:color="auto"/>
              <w:left w:val="none" w:sz="0" w:space="0" w:color="auto"/>
              <w:bottom w:val="none" w:sz="0" w:space="0" w:color="auto"/>
              <w:right w:val="none" w:sz="0" w:space="0" w:color="auto"/>
            </w:tcBorders>
            <w:vAlign w:val="bottom"/>
          </w:tcPr>
          <w:p w:rsidR="003475DA" w:rsidRPr="007C2D51" w:rsidRDefault="003475DA" w:rsidP="00892115">
            <w:pPr>
              <w:jc w:val="right"/>
            </w:pPr>
            <w:r w:rsidRPr="007C2D51">
              <w:t>01</w:t>
            </w:r>
          </w:p>
        </w:tc>
        <w:tc>
          <w:tcPr>
            <w:tcW w:w="810" w:type="dxa"/>
            <w:tcBorders>
              <w:top w:val="none" w:sz="0" w:space="0" w:color="auto"/>
              <w:bottom w:val="none" w:sz="0" w:space="0" w:color="auto"/>
            </w:tcBorders>
            <w:vAlign w:val="bottom"/>
          </w:tcPr>
          <w:p w:rsidR="003475DA" w:rsidRPr="007C2D51" w:rsidRDefault="003475DA" w:rsidP="00892115">
            <w:pPr>
              <w:jc w:val="right"/>
              <w:cnfStyle w:val="000000100000"/>
            </w:pPr>
            <w:r w:rsidRPr="007C2D51">
              <w:t>013</w:t>
            </w:r>
          </w:p>
        </w:tc>
        <w:tc>
          <w:tcPr>
            <w:cnfStyle w:val="000010000000"/>
            <w:tcW w:w="1170" w:type="dxa"/>
            <w:tcBorders>
              <w:top w:val="none" w:sz="0" w:space="0" w:color="auto"/>
              <w:left w:val="none" w:sz="0" w:space="0" w:color="auto"/>
              <w:bottom w:val="none" w:sz="0" w:space="0" w:color="auto"/>
              <w:right w:val="none" w:sz="0" w:space="0" w:color="auto"/>
            </w:tcBorders>
            <w:vAlign w:val="bottom"/>
          </w:tcPr>
          <w:p w:rsidR="003475DA" w:rsidRPr="007C2D51" w:rsidRDefault="003475DA" w:rsidP="00892115">
            <w:pPr>
              <w:jc w:val="right"/>
            </w:pPr>
            <w:r w:rsidRPr="007C2D51">
              <w:t>Butler</w:t>
            </w:r>
          </w:p>
        </w:tc>
      </w:tr>
    </w:tbl>
    <w:p w:rsidR="003475DA" w:rsidRPr="007C2D51" w:rsidRDefault="003475DA" w:rsidP="003475DA"/>
    <w:p w:rsidR="003475DA" w:rsidRPr="007C2D51" w:rsidRDefault="003475DA" w:rsidP="003475DA">
      <w:pPr>
        <w:pStyle w:val="BodyText"/>
      </w:pPr>
      <w:r w:rsidRPr="007C2D51">
        <w:t>This table can be used to determine, for instance, that the FIPS code for Bullock County in Alabama is 011.</w:t>
      </w:r>
    </w:p>
    <w:p w:rsidR="003475DA" w:rsidRPr="007C2D51" w:rsidRDefault="003475DA" w:rsidP="003475DA">
      <w:pPr>
        <w:pStyle w:val="Heading3"/>
      </w:pPr>
      <w:r w:rsidRPr="007C2D51">
        <w:lastRenderedPageBreak/>
        <w:t>NA handling in LEHD data</w:t>
      </w:r>
    </w:p>
    <w:p w:rsidR="003475DA" w:rsidRPr="007C2D51" w:rsidRDefault="003475DA" w:rsidP="003475DA">
      <w:pPr>
        <w:pStyle w:val="BodyText"/>
      </w:pPr>
      <w:r w:rsidRPr="007C2D51">
        <w:t xml:space="preserve">We discovered that in some cases LEHD contained NAs for particular industries and counties for </w:t>
      </w:r>
      <w:r w:rsidR="002B2222" w:rsidRPr="007C2D51">
        <w:t>2009</w:t>
      </w:r>
      <w:r w:rsidRPr="007C2D51">
        <w:t>:02, similar to what is shown below for 2005:02 for Utilities and Management for Vernon County in Wisconsin.</w:t>
      </w:r>
    </w:p>
    <w:p w:rsidR="003475DA" w:rsidRPr="007C2D51" w:rsidRDefault="003475DA" w:rsidP="003475DA">
      <w:pPr>
        <w:pStyle w:val="BodyText"/>
      </w:pPr>
    </w:p>
    <w:tbl>
      <w:tblPr>
        <w:tblStyle w:val="LightList-Accent6"/>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178"/>
        <w:gridCol w:w="1986"/>
      </w:tblGrid>
      <w:tr w:rsidR="003475DA" w:rsidRPr="007C2D51" w:rsidTr="00BF096B">
        <w:trPr>
          <w:cnfStyle w:val="100000000000"/>
          <w:jc w:val="center"/>
        </w:trPr>
        <w:tc>
          <w:tcPr>
            <w:cnfStyle w:val="001000000000"/>
            <w:tcW w:w="0" w:type="auto"/>
          </w:tcPr>
          <w:p w:rsidR="003475DA" w:rsidRPr="007C2D51" w:rsidRDefault="003475DA" w:rsidP="00892115">
            <w:r w:rsidRPr="007C2D51">
              <w:t>QWI Quickfacts</w:t>
            </w:r>
          </w:p>
        </w:tc>
        <w:tc>
          <w:tcPr>
            <w:cnfStyle w:val="000010000000"/>
            <w:tcW w:w="0" w:type="auto"/>
            <w:tcBorders>
              <w:top w:val="none" w:sz="0" w:space="0" w:color="auto"/>
              <w:left w:val="none" w:sz="0" w:space="0" w:color="auto"/>
              <w:right w:val="none" w:sz="0" w:space="0" w:color="auto"/>
            </w:tcBorders>
          </w:tcPr>
          <w:p w:rsidR="003475DA" w:rsidRPr="007C2D51" w:rsidRDefault="003475DA" w:rsidP="00892115">
            <w:r w:rsidRPr="007C2D51">
              <w:t>Total Employment</w:t>
            </w:r>
          </w:p>
        </w:tc>
      </w:tr>
      <w:tr w:rsidR="003475DA" w:rsidRPr="007C2D51" w:rsidTr="00BF096B">
        <w:trPr>
          <w:cnfStyle w:val="000000100000"/>
          <w:jc w:val="center"/>
        </w:trPr>
        <w:tc>
          <w:tcPr>
            <w:cnfStyle w:val="001000000000"/>
            <w:tcW w:w="0" w:type="auto"/>
            <w:tcBorders>
              <w:top w:val="none" w:sz="0" w:space="0" w:color="auto"/>
              <w:left w:val="none" w:sz="0" w:space="0" w:color="auto"/>
              <w:bottom w:val="none" w:sz="0" w:space="0" w:color="auto"/>
            </w:tcBorders>
          </w:tcPr>
          <w:p w:rsidR="003475DA" w:rsidRPr="00BF096B" w:rsidRDefault="003475DA" w:rsidP="00892115">
            <w:pPr>
              <w:rPr>
                <w:b w:val="0"/>
              </w:rPr>
            </w:pPr>
            <w:r w:rsidRPr="00BF096B">
              <w:rPr>
                <w:b w:val="0"/>
              </w:rPr>
              <w:t>11 Agriculture, Forestry, Fishing  and Hunting</w:t>
            </w:r>
          </w:p>
        </w:tc>
        <w:tc>
          <w:tcPr>
            <w:cnfStyle w:val="000010000000"/>
            <w:tcW w:w="0" w:type="auto"/>
            <w:tcBorders>
              <w:top w:val="none" w:sz="0" w:space="0" w:color="auto"/>
              <w:left w:val="none" w:sz="0" w:space="0" w:color="auto"/>
              <w:bottom w:val="none" w:sz="0" w:space="0" w:color="auto"/>
              <w:right w:val="none" w:sz="0" w:space="0" w:color="auto"/>
            </w:tcBorders>
            <w:vAlign w:val="bottom"/>
          </w:tcPr>
          <w:p w:rsidR="003475DA" w:rsidRPr="007C2D51" w:rsidRDefault="003475DA" w:rsidP="00892115">
            <w:pPr>
              <w:jc w:val="right"/>
            </w:pPr>
            <w:r w:rsidRPr="007C2D51">
              <w:t>135</w:t>
            </w:r>
          </w:p>
        </w:tc>
      </w:tr>
      <w:tr w:rsidR="003475DA" w:rsidRPr="007C2D51" w:rsidTr="00BF096B">
        <w:trPr>
          <w:jc w:val="center"/>
        </w:trPr>
        <w:tc>
          <w:tcPr>
            <w:cnfStyle w:val="001000000000"/>
            <w:tcW w:w="0" w:type="auto"/>
          </w:tcPr>
          <w:p w:rsidR="003475DA" w:rsidRPr="00BF096B" w:rsidRDefault="003475DA" w:rsidP="00892115">
            <w:pPr>
              <w:rPr>
                <w:b w:val="0"/>
              </w:rPr>
            </w:pPr>
            <w:r w:rsidRPr="00BF096B">
              <w:rPr>
                <w:b w:val="0"/>
              </w:rPr>
              <w:t>21 Mining</w:t>
            </w:r>
          </w:p>
        </w:tc>
        <w:tc>
          <w:tcPr>
            <w:cnfStyle w:val="000010000000"/>
            <w:tcW w:w="0" w:type="auto"/>
            <w:tcBorders>
              <w:left w:val="none" w:sz="0" w:space="0" w:color="auto"/>
              <w:right w:val="none" w:sz="0" w:space="0" w:color="auto"/>
            </w:tcBorders>
            <w:vAlign w:val="bottom"/>
          </w:tcPr>
          <w:p w:rsidR="003475DA" w:rsidRPr="007C2D51" w:rsidRDefault="003475DA" w:rsidP="00892115">
            <w:pPr>
              <w:jc w:val="right"/>
            </w:pPr>
            <w:r w:rsidRPr="007C2D51">
              <w:t>0</w:t>
            </w:r>
          </w:p>
        </w:tc>
      </w:tr>
      <w:tr w:rsidR="003475DA" w:rsidRPr="007C2D51" w:rsidTr="00BF096B">
        <w:trPr>
          <w:cnfStyle w:val="000000100000"/>
          <w:jc w:val="center"/>
        </w:trPr>
        <w:tc>
          <w:tcPr>
            <w:cnfStyle w:val="001000000000"/>
            <w:tcW w:w="0" w:type="auto"/>
            <w:tcBorders>
              <w:top w:val="none" w:sz="0" w:space="0" w:color="auto"/>
              <w:left w:val="none" w:sz="0" w:space="0" w:color="auto"/>
              <w:bottom w:val="none" w:sz="0" w:space="0" w:color="auto"/>
            </w:tcBorders>
          </w:tcPr>
          <w:p w:rsidR="003475DA" w:rsidRPr="00BF096B" w:rsidRDefault="003475DA" w:rsidP="00892115">
            <w:pPr>
              <w:rPr>
                <w:b w:val="0"/>
              </w:rPr>
            </w:pPr>
            <w:r w:rsidRPr="00BF096B">
              <w:rPr>
                <w:b w:val="0"/>
              </w:rPr>
              <w:t>22 Utilities</w:t>
            </w:r>
          </w:p>
        </w:tc>
        <w:tc>
          <w:tcPr>
            <w:cnfStyle w:val="000010000000"/>
            <w:tcW w:w="0" w:type="auto"/>
            <w:tcBorders>
              <w:top w:val="none" w:sz="0" w:space="0" w:color="auto"/>
              <w:left w:val="none" w:sz="0" w:space="0" w:color="auto"/>
              <w:bottom w:val="none" w:sz="0" w:space="0" w:color="auto"/>
              <w:right w:val="none" w:sz="0" w:space="0" w:color="auto"/>
            </w:tcBorders>
            <w:vAlign w:val="bottom"/>
          </w:tcPr>
          <w:p w:rsidR="003475DA" w:rsidRPr="007C2D51" w:rsidRDefault="003475DA" w:rsidP="00892115">
            <w:pPr>
              <w:jc w:val="right"/>
            </w:pPr>
            <w:r w:rsidRPr="007C2D51">
              <w:t>N/A</w:t>
            </w:r>
          </w:p>
        </w:tc>
      </w:tr>
      <w:tr w:rsidR="003475DA" w:rsidRPr="007C2D51" w:rsidTr="00BF096B">
        <w:trPr>
          <w:jc w:val="center"/>
        </w:trPr>
        <w:tc>
          <w:tcPr>
            <w:cnfStyle w:val="001000000000"/>
            <w:tcW w:w="0" w:type="auto"/>
          </w:tcPr>
          <w:p w:rsidR="003475DA" w:rsidRPr="00BF096B" w:rsidRDefault="003475DA" w:rsidP="00892115">
            <w:pPr>
              <w:rPr>
                <w:b w:val="0"/>
              </w:rPr>
            </w:pPr>
            <w:r w:rsidRPr="00BF096B">
              <w:rPr>
                <w:b w:val="0"/>
              </w:rPr>
              <w:t>23 Construction</w:t>
            </w:r>
          </w:p>
        </w:tc>
        <w:tc>
          <w:tcPr>
            <w:cnfStyle w:val="000010000000"/>
            <w:tcW w:w="0" w:type="auto"/>
            <w:tcBorders>
              <w:left w:val="none" w:sz="0" w:space="0" w:color="auto"/>
              <w:right w:val="none" w:sz="0" w:space="0" w:color="auto"/>
            </w:tcBorders>
            <w:vAlign w:val="bottom"/>
          </w:tcPr>
          <w:p w:rsidR="003475DA" w:rsidRPr="007C2D51" w:rsidRDefault="003475DA" w:rsidP="00892115">
            <w:pPr>
              <w:jc w:val="right"/>
            </w:pPr>
            <w:r w:rsidRPr="007C2D51">
              <w:t>212</w:t>
            </w:r>
          </w:p>
        </w:tc>
      </w:tr>
      <w:tr w:rsidR="003475DA" w:rsidRPr="007C2D51" w:rsidTr="00BF096B">
        <w:trPr>
          <w:cnfStyle w:val="000000100000"/>
          <w:jc w:val="center"/>
        </w:trPr>
        <w:tc>
          <w:tcPr>
            <w:cnfStyle w:val="001000000000"/>
            <w:tcW w:w="0" w:type="auto"/>
            <w:tcBorders>
              <w:top w:val="none" w:sz="0" w:space="0" w:color="auto"/>
              <w:left w:val="none" w:sz="0" w:space="0" w:color="auto"/>
              <w:bottom w:val="none" w:sz="0" w:space="0" w:color="auto"/>
            </w:tcBorders>
          </w:tcPr>
          <w:p w:rsidR="003475DA" w:rsidRPr="00BF096B" w:rsidRDefault="003475DA" w:rsidP="00892115">
            <w:pPr>
              <w:rPr>
                <w:b w:val="0"/>
              </w:rPr>
            </w:pPr>
            <w:r w:rsidRPr="00BF096B">
              <w:rPr>
                <w:b w:val="0"/>
              </w:rPr>
              <w:t>31-33 Manufacturing</w:t>
            </w:r>
          </w:p>
        </w:tc>
        <w:tc>
          <w:tcPr>
            <w:cnfStyle w:val="000010000000"/>
            <w:tcW w:w="0" w:type="auto"/>
            <w:tcBorders>
              <w:top w:val="none" w:sz="0" w:space="0" w:color="auto"/>
              <w:left w:val="none" w:sz="0" w:space="0" w:color="auto"/>
              <w:bottom w:val="none" w:sz="0" w:space="0" w:color="auto"/>
              <w:right w:val="none" w:sz="0" w:space="0" w:color="auto"/>
            </w:tcBorders>
            <w:vAlign w:val="bottom"/>
          </w:tcPr>
          <w:p w:rsidR="003475DA" w:rsidRPr="007C2D51" w:rsidRDefault="003475DA" w:rsidP="00892115">
            <w:pPr>
              <w:jc w:val="right"/>
            </w:pPr>
            <w:r w:rsidRPr="007C2D51">
              <w:t>797</w:t>
            </w:r>
          </w:p>
        </w:tc>
      </w:tr>
      <w:tr w:rsidR="003475DA" w:rsidRPr="007C2D51" w:rsidTr="00BF096B">
        <w:trPr>
          <w:jc w:val="center"/>
        </w:trPr>
        <w:tc>
          <w:tcPr>
            <w:cnfStyle w:val="001000000000"/>
            <w:tcW w:w="0" w:type="auto"/>
          </w:tcPr>
          <w:p w:rsidR="003475DA" w:rsidRPr="00BF096B" w:rsidRDefault="003475DA" w:rsidP="00892115">
            <w:pPr>
              <w:rPr>
                <w:b w:val="0"/>
              </w:rPr>
            </w:pPr>
            <w:r w:rsidRPr="00BF096B">
              <w:rPr>
                <w:b w:val="0"/>
              </w:rPr>
              <w:t>42 Wholesale Trade</w:t>
            </w:r>
          </w:p>
        </w:tc>
        <w:tc>
          <w:tcPr>
            <w:cnfStyle w:val="000010000000"/>
            <w:tcW w:w="0" w:type="auto"/>
            <w:tcBorders>
              <w:left w:val="none" w:sz="0" w:space="0" w:color="auto"/>
              <w:right w:val="none" w:sz="0" w:space="0" w:color="auto"/>
            </w:tcBorders>
            <w:vAlign w:val="bottom"/>
          </w:tcPr>
          <w:p w:rsidR="003475DA" w:rsidRPr="007C2D51" w:rsidRDefault="003475DA" w:rsidP="00892115">
            <w:pPr>
              <w:jc w:val="right"/>
            </w:pPr>
            <w:r w:rsidRPr="007C2D51">
              <w:t>657</w:t>
            </w:r>
          </w:p>
        </w:tc>
      </w:tr>
      <w:tr w:rsidR="003475DA" w:rsidRPr="007C2D51" w:rsidTr="00BF096B">
        <w:trPr>
          <w:cnfStyle w:val="000000100000"/>
          <w:jc w:val="center"/>
        </w:trPr>
        <w:tc>
          <w:tcPr>
            <w:cnfStyle w:val="001000000000"/>
            <w:tcW w:w="0" w:type="auto"/>
            <w:tcBorders>
              <w:top w:val="none" w:sz="0" w:space="0" w:color="auto"/>
              <w:left w:val="none" w:sz="0" w:space="0" w:color="auto"/>
              <w:bottom w:val="none" w:sz="0" w:space="0" w:color="auto"/>
            </w:tcBorders>
          </w:tcPr>
          <w:p w:rsidR="003475DA" w:rsidRPr="00BF096B" w:rsidRDefault="003475DA" w:rsidP="00892115">
            <w:pPr>
              <w:rPr>
                <w:b w:val="0"/>
              </w:rPr>
            </w:pPr>
            <w:r w:rsidRPr="00BF096B">
              <w:rPr>
                <w:b w:val="0"/>
              </w:rPr>
              <w:t>44-45 Retail Trade</w:t>
            </w:r>
          </w:p>
        </w:tc>
        <w:tc>
          <w:tcPr>
            <w:cnfStyle w:val="000010000000"/>
            <w:tcW w:w="0" w:type="auto"/>
            <w:tcBorders>
              <w:top w:val="none" w:sz="0" w:space="0" w:color="auto"/>
              <w:left w:val="none" w:sz="0" w:space="0" w:color="auto"/>
              <w:bottom w:val="none" w:sz="0" w:space="0" w:color="auto"/>
              <w:right w:val="none" w:sz="0" w:space="0" w:color="auto"/>
            </w:tcBorders>
            <w:vAlign w:val="bottom"/>
          </w:tcPr>
          <w:p w:rsidR="003475DA" w:rsidRPr="007C2D51" w:rsidRDefault="003475DA" w:rsidP="00892115">
            <w:pPr>
              <w:jc w:val="right"/>
            </w:pPr>
            <w:r w:rsidRPr="007C2D51">
              <w:t>1,092</w:t>
            </w:r>
          </w:p>
        </w:tc>
      </w:tr>
      <w:tr w:rsidR="003475DA" w:rsidRPr="007C2D51" w:rsidTr="00BF096B">
        <w:trPr>
          <w:jc w:val="center"/>
        </w:trPr>
        <w:tc>
          <w:tcPr>
            <w:cnfStyle w:val="001000000000"/>
            <w:tcW w:w="0" w:type="auto"/>
          </w:tcPr>
          <w:p w:rsidR="003475DA" w:rsidRPr="00BF096B" w:rsidRDefault="003475DA" w:rsidP="00892115">
            <w:pPr>
              <w:rPr>
                <w:b w:val="0"/>
              </w:rPr>
            </w:pPr>
            <w:r w:rsidRPr="00BF096B">
              <w:rPr>
                <w:b w:val="0"/>
              </w:rPr>
              <w:t>48-49 Transportation and Warehousing</w:t>
            </w:r>
          </w:p>
        </w:tc>
        <w:tc>
          <w:tcPr>
            <w:cnfStyle w:val="000010000000"/>
            <w:tcW w:w="0" w:type="auto"/>
            <w:tcBorders>
              <w:left w:val="none" w:sz="0" w:space="0" w:color="auto"/>
              <w:right w:val="none" w:sz="0" w:space="0" w:color="auto"/>
            </w:tcBorders>
            <w:vAlign w:val="bottom"/>
          </w:tcPr>
          <w:p w:rsidR="003475DA" w:rsidRPr="007C2D51" w:rsidRDefault="003475DA" w:rsidP="00892115">
            <w:pPr>
              <w:jc w:val="right"/>
            </w:pPr>
            <w:r w:rsidRPr="007C2D51">
              <w:t>157</w:t>
            </w:r>
          </w:p>
        </w:tc>
      </w:tr>
      <w:tr w:rsidR="003475DA" w:rsidRPr="007C2D51" w:rsidTr="00BF096B">
        <w:trPr>
          <w:cnfStyle w:val="000000100000"/>
          <w:jc w:val="center"/>
        </w:trPr>
        <w:tc>
          <w:tcPr>
            <w:cnfStyle w:val="001000000000"/>
            <w:tcW w:w="0" w:type="auto"/>
            <w:tcBorders>
              <w:top w:val="none" w:sz="0" w:space="0" w:color="auto"/>
              <w:left w:val="none" w:sz="0" w:space="0" w:color="auto"/>
              <w:bottom w:val="none" w:sz="0" w:space="0" w:color="auto"/>
            </w:tcBorders>
          </w:tcPr>
          <w:p w:rsidR="003475DA" w:rsidRPr="00BF096B" w:rsidRDefault="003475DA" w:rsidP="00892115">
            <w:pPr>
              <w:rPr>
                <w:b w:val="0"/>
              </w:rPr>
            </w:pPr>
            <w:r w:rsidRPr="00BF096B">
              <w:rPr>
                <w:b w:val="0"/>
              </w:rPr>
              <w:t>51 Information</w:t>
            </w:r>
          </w:p>
        </w:tc>
        <w:tc>
          <w:tcPr>
            <w:cnfStyle w:val="000010000000"/>
            <w:tcW w:w="0" w:type="auto"/>
            <w:tcBorders>
              <w:top w:val="none" w:sz="0" w:space="0" w:color="auto"/>
              <w:left w:val="none" w:sz="0" w:space="0" w:color="auto"/>
              <w:bottom w:val="none" w:sz="0" w:space="0" w:color="auto"/>
              <w:right w:val="none" w:sz="0" w:space="0" w:color="auto"/>
            </w:tcBorders>
            <w:vAlign w:val="bottom"/>
          </w:tcPr>
          <w:p w:rsidR="003475DA" w:rsidRPr="007C2D51" w:rsidRDefault="003475DA" w:rsidP="00892115">
            <w:pPr>
              <w:jc w:val="right"/>
            </w:pPr>
            <w:r w:rsidRPr="007C2D51">
              <w:t>104</w:t>
            </w:r>
          </w:p>
        </w:tc>
      </w:tr>
      <w:tr w:rsidR="003475DA" w:rsidRPr="007C2D51" w:rsidTr="00BF096B">
        <w:trPr>
          <w:jc w:val="center"/>
        </w:trPr>
        <w:tc>
          <w:tcPr>
            <w:cnfStyle w:val="001000000000"/>
            <w:tcW w:w="0" w:type="auto"/>
          </w:tcPr>
          <w:p w:rsidR="003475DA" w:rsidRPr="00BF096B" w:rsidRDefault="003475DA" w:rsidP="00892115">
            <w:pPr>
              <w:rPr>
                <w:b w:val="0"/>
              </w:rPr>
            </w:pPr>
            <w:r w:rsidRPr="00BF096B">
              <w:rPr>
                <w:b w:val="0"/>
              </w:rPr>
              <w:t>52 Finance and Insurance</w:t>
            </w:r>
          </w:p>
        </w:tc>
        <w:tc>
          <w:tcPr>
            <w:cnfStyle w:val="000010000000"/>
            <w:tcW w:w="0" w:type="auto"/>
            <w:tcBorders>
              <w:left w:val="none" w:sz="0" w:space="0" w:color="auto"/>
              <w:right w:val="none" w:sz="0" w:space="0" w:color="auto"/>
            </w:tcBorders>
            <w:vAlign w:val="bottom"/>
          </w:tcPr>
          <w:p w:rsidR="003475DA" w:rsidRPr="007C2D51" w:rsidRDefault="003475DA" w:rsidP="00892115">
            <w:pPr>
              <w:jc w:val="right"/>
            </w:pPr>
            <w:r w:rsidRPr="007C2D51">
              <w:t>298</w:t>
            </w:r>
          </w:p>
        </w:tc>
      </w:tr>
      <w:tr w:rsidR="003475DA" w:rsidRPr="007C2D51" w:rsidTr="00BF096B">
        <w:trPr>
          <w:cnfStyle w:val="000000100000"/>
          <w:jc w:val="center"/>
        </w:trPr>
        <w:tc>
          <w:tcPr>
            <w:cnfStyle w:val="001000000000"/>
            <w:tcW w:w="0" w:type="auto"/>
            <w:tcBorders>
              <w:top w:val="none" w:sz="0" w:space="0" w:color="auto"/>
              <w:left w:val="none" w:sz="0" w:space="0" w:color="auto"/>
              <w:bottom w:val="none" w:sz="0" w:space="0" w:color="auto"/>
            </w:tcBorders>
          </w:tcPr>
          <w:p w:rsidR="003475DA" w:rsidRPr="00BF096B" w:rsidRDefault="003475DA" w:rsidP="00892115">
            <w:pPr>
              <w:rPr>
                <w:b w:val="0"/>
              </w:rPr>
            </w:pPr>
            <w:r w:rsidRPr="00BF096B">
              <w:rPr>
                <w:b w:val="0"/>
              </w:rPr>
              <w:t>53 Real Estate and Rental and Leasing</w:t>
            </w:r>
          </w:p>
        </w:tc>
        <w:tc>
          <w:tcPr>
            <w:cnfStyle w:val="000010000000"/>
            <w:tcW w:w="0" w:type="auto"/>
            <w:tcBorders>
              <w:top w:val="none" w:sz="0" w:space="0" w:color="auto"/>
              <w:left w:val="none" w:sz="0" w:space="0" w:color="auto"/>
              <w:bottom w:val="none" w:sz="0" w:space="0" w:color="auto"/>
              <w:right w:val="none" w:sz="0" w:space="0" w:color="auto"/>
            </w:tcBorders>
            <w:vAlign w:val="bottom"/>
          </w:tcPr>
          <w:p w:rsidR="003475DA" w:rsidRPr="007C2D51" w:rsidRDefault="003475DA" w:rsidP="00892115">
            <w:pPr>
              <w:jc w:val="right"/>
            </w:pPr>
            <w:r w:rsidRPr="007C2D51">
              <w:t>41</w:t>
            </w:r>
          </w:p>
        </w:tc>
      </w:tr>
      <w:tr w:rsidR="003475DA" w:rsidRPr="007C2D51" w:rsidTr="00BF096B">
        <w:trPr>
          <w:jc w:val="center"/>
        </w:trPr>
        <w:tc>
          <w:tcPr>
            <w:cnfStyle w:val="001000000000"/>
            <w:tcW w:w="0" w:type="auto"/>
          </w:tcPr>
          <w:p w:rsidR="003475DA" w:rsidRPr="00BF096B" w:rsidRDefault="003475DA" w:rsidP="00892115">
            <w:pPr>
              <w:rPr>
                <w:b w:val="0"/>
              </w:rPr>
            </w:pPr>
            <w:r w:rsidRPr="00BF096B">
              <w:rPr>
                <w:b w:val="0"/>
              </w:rPr>
              <w:t>54 Professional, Scientific, and Technical Services</w:t>
            </w:r>
          </w:p>
        </w:tc>
        <w:tc>
          <w:tcPr>
            <w:cnfStyle w:val="000010000000"/>
            <w:tcW w:w="0" w:type="auto"/>
            <w:tcBorders>
              <w:left w:val="none" w:sz="0" w:space="0" w:color="auto"/>
              <w:right w:val="none" w:sz="0" w:space="0" w:color="auto"/>
            </w:tcBorders>
            <w:vAlign w:val="bottom"/>
          </w:tcPr>
          <w:p w:rsidR="003475DA" w:rsidRPr="007C2D51" w:rsidRDefault="003475DA" w:rsidP="00892115">
            <w:pPr>
              <w:jc w:val="right"/>
            </w:pPr>
            <w:r w:rsidRPr="007C2D51">
              <w:t>128</w:t>
            </w:r>
          </w:p>
        </w:tc>
      </w:tr>
      <w:tr w:rsidR="003475DA" w:rsidRPr="007C2D51" w:rsidTr="00BF096B">
        <w:trPr>
          <w:cnfStyle w:val="000000100000"/>
          <w:jc w:val="center"/>
        </w:trPr>
        <w:tc>
          <w:tcPr>
            <w:cnfStyle w:val="001000000000"/>
            <w:tcW w:w="0" w:type="auto"/>
            <w:tcBorders>
              <w:top w:val="none" w:sz="0" w:space="0" w:color="auto"/>
              <w:left w:val="none" w:sz="0" w:space="0" w:color="auto"/>
              <w:bottom w:val="none" w:sz="0" w:space="0" w:color="auto"/>
            </w:tcBorders>
          </w:tcPr>
          <w:p w:rsidR="003475DA" w:rsidRPr="00BF096B" w:rsidRDefault="003475DA" w:rsidP="00892115">
            <w:pPr>
              <w:rPr>
                <w:b w:val="0"/>
              </w:rPr>
            </w:pPr>
            <w:r w:rsidRPr="00BF096B">
              <w:rPr>
                <w:b w:val="0"/>
              </w:rPr>
              <w:t>55 Management of Companies and Enterprises</w:t>
            </w:r>
          </w:p>
        </w:tc>
        <w:tc>
          <w:tcPr>
            <w:cnfStyle w:val="000010000000"/>
            <w:tcW w:w="0" w:type="auto"/>
            <w:tcBorders>
              <w:top w:val="none" w:sz="0" w:space="0" w:color="auto"/>
              <w:left w:val="none" w:sz="0" w:space="0" w:color="auto"/>
              <w:bottom w:val="none" w:sz="0" w:space="0" w:color="auto"/>
              <w:right w:val="none" w:sz="0" w:space="0" w:color="auto"/>
            </w:tcBorders>
            <w:vAlign w:val="bottom"/>
          </w:tcPr>
          <w:p w:rsidR="003475DA" w:rsidRPr="007C2D51" w:rsidRDefault="003475DA" w:rsidP="00892115">
            <w:pPr>
              <w:jc w:val="right"/>
            </w:pPr>
            <w:r w:rsidRPr="007C2D51">
              <w:t>N/A</w:t>
            </w:r>
          </w:p>
        </w:tc>
      </w:tr>
    </w:tbl>
    <w:p w:rsidR="003475DA" w:rsidRPr="007C2D51" w:rsidRDefault="003475DA" w:rsidP="003475DA">
      <w:pPr>
        <w:pStyle w:val="BodyText"/>
      </w:pPr>
    </w:p>
    <w:p w:rsidR="003475DA" w:rsidRPr="007C2D51" w:rsidRDefault="003475DA" w:rsidP="003475DA">
      <w:pPr>
        <w:pStyle w:val="BodyText"/>
      </w:pPr>
      <w:r w:rsidRPr="007C2D51">
        <w:t>NAs were treated as 0 for calculated total employment and JARC employment for each county.</w:t>
      </w:r>
    </w:p>
    <w:p w:rsidR="003475DA" w:rsidRPr="007C2D51" w:rsidRDefault="003475DA" w:rsidP="003475DA">
      <w:pPr>
        <w:pStyle w:val="Heading3"/>
      </w:pPr>
      <w:r w:rsidRPr="007C2D51">
        <w:t>Excluded states</w:t>
      </w:r>
    </w:p>
    <w:p w:rsidR="003475DA" w:rsidRPr="007C2D51" w:rsidRDefault="003475DA" w:rsidP="003475DA">
      <w:pPr>
        <w:pStyle w:val="BodyText"/>
      </w:pPr>
      <w:r w:rsidRPr="007C2D51">
        <w:t>As of July 20, 2009, LEHD did not provide county level total employment data for the following localities:</w:t>
      </w:r>
    </w:p>
    <w:p w:rsidR="003475DA" w:rsidRPr="007C2D51" w:rsidRDefault="003475DA" w:rsidP="003475DA">
      <w:pPr>
        <w:pStyle w:val="ListBullet"/>
        <w:spacing w:after="200" w:line="276" w:lineRule="auto"/>
      </w:pPr>
      <w:r w:rsidRPr="007C2D51">
        <w:t>District of Columbia</w:t>
      </w:r>
    </w:p>
    <w:p w:rsidR="003475DA" w:rsidRPr="007C2D51" w:rsidRDefault="003475DA" w:rsidP="003475DA">
      <w:pPr>
        <w:pStyle w:val="ListBullet"/>
        <w:spacing w:after="200" w:line="276" w:lineRule="auto"/>
      </w:pPr>
      <w:r w:rsidRPr="007C2D51">
        <w:t>Massachusetts</w:t>
      </w:r>
    </w:p>
    <w:p w:rsidR="003475DA" w:rsidRPr="007C2D51" w:rsidRDefault="003475DA" w:rsidP="003475DA">
      <w:pPr>
        <w:pStyle w:val="ListBullet"/>
        <w:spacing w:after="200" w:line="276" w:lineRule="auto"/>
      </w:pPr>
      <w:r w:rsidRPr="007C2D51">
        <w:t>New Hampshire</w:t>
      </w:r>
    </w:p>
    <w:p w:rsidR="003475DA" w:rsidRPr="007C2D51" w:rsidRDefault="003475DA" w:rsidP="003475DA">
      <w:pPr>
        <w:pStyle w:val="ListBullet"/>
        <w:spacing w:after="200" w:line="276" w:lineRule="auto"/>
      </w:pPr>
      <w:r w:rsidRPr="007C2D51">
        <w:t>Puerto Rico</w:t>
      </w:r>
    </w:p>
    <w:p w:rsidR="003475DA" w:rsidRPr="007C2D51" w:rsidRDefault="003475DA" w:rsidP="003475DA">
      <w:pPr>
        <w:pStyle w:val="ListBullet"/>
        <w:spacing w:after="200" w:line="276" w:lineRule="auto"/>
      </w:pPr>
      <w:r w:rsidRPr="007C2D51">
        <w:t>Virgin Islands</w:t>
      </w:r>
    </w:p>
    <w:p w:rsidR="003475DA" w:rsidRPr="007C2D51" w:rsidRDefault="003475DA" w:rsidP="003475DA">
      <w:pPr>
        <w:pStyle w:val="Heading3"/>
      </w:pPr>
      <w:r w:rsidRPr="007C2D51">
        <w:t>Calculation steps</w:t>
      </w:r>
    </w:p>
    <w:p w:rsidR="003475DA" w:rsidRPr="007C2D51" w:rsidRDefault="003475DA" w:rsidP="003475DA">
      <w:pPr>
        <w:pStyle w:val="BodyText"/>
      </w:pPr>
      <w:r w:rsidRPr="007C2D51">
        <w:t>CES software performed seven steps:</w:t>
      </w:r>
    </w:p>
    <w:p w:rsidR="003475DA" w:rsidRPr="007C2D51" w:rsidRDefault="003475DA" w:rsidP="00526171">
      <w:pPr>
        <w:pStyle w:val="ListBullet"/>
        <w:numPr>
          <w:ilvl w:val="0"/>
          <w:numId w:val="15"/>
        </w:numPr>
        <w:spacing w:after="200" w:line="276" w:lineRule="auto"/>
      </w:pPr>
      <w:r w:rsidRPr="007C2D51">
        <w:t>Identified, based on recipient inputs, counties that were served by demand response services.</w:t>
      </w:r>
    </w:p>
    <w:p w:rsidR="003475DA" w:rsidRPr="007C2D51" w:rsidRDefault="003475DA" w:rsidP="00526171">
      <w:pPr>
        <w:pStyle w:val="ListBullet"/>
        <w:numPr>
          <w:ilvl w:val="0"/>
          <w:numId w:val="15"/>
        </w:numPr>
        <w:spacing w:after="200" w:line="276" w:lineRule="auto"/>
      </w:pPr>
      <w:r w:rsidRPr="007C2D51">
        <w:t>Filtered out states not included in LEHD, as provided in Census documentation (see above).</w:t>
      </w:r>
    </w:p>
    <w:p w:rsidR="003475DA" w:rsidRPr="007C2D51" w:rsidRDefault="003475DA" w:rsidP="00526171">
      <w:pPr>
        <w:pStyle w:val="ListBullet"/>
        <w:numPr>
          <w:ilvl w:val="0"/>
          <w:numId w:val="15"/>
        </w:numPr>
        <w:spacing w:after="200" w:line="276" w:lineRule="auto"/>
      </w:pPr>
      <w:r w:rsidRPr="007C2D51">
        <w:t>Converted county names, as provided by recipients, to three-digit FIPS codes, based on the FIPS code table provided by Census.</w:t>
      </w:r>
    </w:p>
    <w:p w:rsidR="003475DA" w:rsidRPr="007C2D51" w:rsidRDefault="003475DA" w:rsidP="00526171">
      <w:pPr>
        <w:pStyle w:val="ListBullet"/>
        <w:numPr>
          <w:ilvl w:val="0"/>
          <w:numId w:val="15"/>
        </w:numPr>
        <w:spacing w:after="200" w:line="276" w:lineRule="auto"/>
      </w:pPr>
      <w:r w:rsidRPr="007C2D51">
        <w:t>Generated a URL based on the year and quarter required (e.g</w:t>
      </w:r>
      <w:r w:rsidR="00CE332B" w:rsidRPr="007C2D51">
        <w:t xml:space="preserve">.  </w:t>
      </w:r>
      <w:r w:rsidR="002B2222" w:rsidRPr="007C2D51">
        <w:t>2009</w:t>
      </w:r>
      <w:r w:rsidRPr="007C2D51">
        <w:t>), the state, the FIPS code for the county, and the total employment variable.</w:t>
      </w:r>
    </w:p>
    <w:p w:rsidR="003475DA" w:rsidRPr="007C2D51" w:rsidRDefault="003475DA" w:rsidP="00526171">
      <w:pPr>
        <w:pStyle w:val="ListBullet"/>
        <w:numPr>
          <w:ilvl w:val="0"/>
          <w:numId w:val="15"/>
        </w:numPr>
        <w:spacing w:after="200" w:line="276" w:lineRule="auto"/>
      </w:pPr>
      <w:r w:rsidRPr="007C2D51">
        <w:t>Extracted the cached spreadsheet URL, and used it to retrieve the data and integrate it into an LEHD county data table.</w:t>
      </w:r>
    </w:p>
    <w:p w:rsidR="003475DA" w:rsidRPr="007C2D51" w:rsidRDefault="003475DA" w:rsidP="00526171">
      <w:pPr>
        <w:pStyle w:val="ListBullet"/>
        <w:numPr>
          <w:ilvl w:val="0"/>
          <w:numId w:val="15"/>
        </w:numPr>
        <w:spacing w:after="200" w:line="276" w:lineRule="auto"/>
      </w:pPr>
      <w:r w:rsidRPr="007C2D51">
        <w:lastRenderedPageBreak/>
        <w:t>Summed the raw total employment figures for 2006:02 by industry to generate an overall “Total Employment” for the county, and summed the weighted industry figures to generate a low-wage employment figure.</w:t>
      </w:r>
    </w:p>
    <w:p w:rsidR="003475DA" w:rsidRPr="007C2D51" w:rsidRDefault="003475DA" w:rsidP="00526171">
      <w:pPr>
        <w:pStyle w:val="ListBullet"/>
        <w:numPr>
          <w:ilvl w:val="0"/>
          <w:numId w:val="15"/>
        </w:numPr>
        <w:spacing w:after="200" w:line="276" w:lineRule="auto"/>
      </w:pPr>
      <w:r w:rsidRPr="007C2D51">
        <w:t>Integrated these totals into spreadsheets provided to the analysts.</w:t>
      </w:r>
    </w:p>
    <w:p w:rsidR="003475DA" w:rsidRPr="007C2D51" w:rsidRDefault="003475DA" w:rsidP="003475DA">
      <w:pPr>
        <w:pStyle w:val="BodyText"/>
      </w:pPr>
      <w:r w:rsidRPr="007C2D51">
        <w:t>Using this automated process,</w:t>
      </w:r>
      <w:r w:rsidR="002B2222" w:rsidRPr="007C2D51">
        <w:t xml:space="preserve"> 1,388 </w:t>
      </w:r>
      <w:r w:rsidRPr="007C2D51">
        <w:t>spreadsheets were retrieved from the LEHD website.</w:t>
      </w:r>
    </w:p>
    <w:p w:rsidR="003475DA" w:rsidRPr="007C2D51" w:rsidRDefault="003475DA" w:rsidP="003475DA">
      <w:pPr>
        <w:pStyle w:val="Heading3"/>
      </w:pPr>
      <w:r w:rsidRPr="007C2D51">
        <w:t>Verification and quality control</w:t>
      </w:r>
    </w:p>
    <w:p w:rsidR="003475DA" w:rsidRPr="007C2D51" w:rsidRDefault="003475DA" w:rsidP="003475DA">
      <w:pPr>
        <w:pStyle w:val="BodyText"/>
      </w:pPr>
      <w:r w:rsidRPr="007C2D51">
        <w:t>We reviewed each county name provided by Recipients to ensure that it could be mapped to a valid FIPS code</w:t>
      </w:r>
      <w:r w:rsidR="00CE332B" w:rsidRPr="007C2D51">
        <w:t xml:space="preserve">.  </w:t>
      </w:r>
      <w:r w:rsidRPr="007C2D51">
        <w:t>We performed edits as appropriate on these data</w:t>
      </w:r>
      <w:r w:rsidR="00CE332B" w:rsidRPr="007C2D51">
        <w:t xml:space="preserve">.  </w:t>
      </w:r>
      <w:r w:rsidRPr="007C2D51">
        <w:t>Generally, edits involved either fixing typographical errors (e.g</w:t>
      </w:r>
      <w:r w:rsidR="00CE332B" w:rsidRPr="007C2D51">
        <w:t xml:space="preserve">.  </w:t>
      </w:r>
      <w:r w:rsidRPr="007C2D51">
        <w:t>“Carroll” for “Carol”, or “Prince George’s” for “Prince Georges”</w:t>
      </w:r>
      <w:r w:rsidR="002A0F40" w:rsidRPr="007C2D51">
        <w:t>),</w:t>
      </w:r>
      <w:r w:rsidRPr="007C2D51">
        <w:t xml:space="preserve"> eliding “County” or “Parish” at the end of the term, or separating multiple counties across multiple lines (e.g</w:t>
      </w:r>
      <w:r w:rsidR="002A0F40" w:rsidRPr="007C2D51">
        <w:t>.</w:t>
      </w:r>
      <w:r w:rsidR="00CE332B" w:rsidRPr="007C2D51">
        <w:t xml:space="preserve"> </w:t>
      </w:r>
      <w:r w:rsidRPr="007C2D51">
        <w:t>one field containing “Wayne, Oakland” into two rows, one for “Oakland” cou</w:t>
      </w:r>
      <w:r w:rsidR="002A0F40" w:rsidRPr="007C2D51">
        <w:t>nty and one for “Wayne” county).</w:t>
      </w:r>
    </w:p>
    <w:p w:rsidR="003475DA" w:rsidRPr="007C2D51" w:rsidRDefault="003475DA" w:rsidP="003475DA">
      <w:pPr>
        <w:pStyle w:val="Heading2"/>
      </w:pPr>
      <w:bookmarkStart w:id="183" w:name="_Toc269480053"/>
      <w:bookmarkStart w:id="184" w:name="_Toc270512704"/>
      <w:bookmarkStart w:id="185" w:name="_Toc270953192"/>
      <w:bookmarkStart w:id="186" w:name="_Toc273954563"/>
      <w:bookmarkStart w:id="187" w:name="_Toc304965710"/>
      <w:r w:rsidRPr="007C2D51">
        <w:t>Estimating Low-Wage Jobs</w:t>
      </w:r>
      <w:bookmarkEnd w:id="183"/>
      <w:bookmarkEnd w:id="184"/>
      <w:bookmarkEnd w:id="185"/>
      <w:bookmarkEnd w:id="186"/>
      <w:bookmarkEnd w:id="187"/>
    </w:p>
    <w:p w:rsidR="003475DA" w:rsidRPr="007C2D51" w:rsidRDefault="003475DA" w:rsidP="003475DA">
      <w:pPr>
        <w:pStyle w:val="BodyText"/>
      </w:pPr>
      <w:r w:rsidRPr="007C2D51">
        <w:t>A methodology for estimating low-wage jobs was developed to support the approaches for estimating jobs accessed by fixed route and demand response services</w:t>
      </w:r>
      <w:r w:rsidR="00CE332B" w:rsidRPr="007C2D51">
        <w:t xml:space="preserve">.  </w:t>
      </w:r>
    </w:p>
    <w:p w:rsidR="003475DA" w:rsidRPr="007C2D51" w:rsidRDefault="003475DA" w:rsidP="003475DA">
      <w:pPr>
        <w:pStyle w:val="BodyText"/>
      </w:pPr>
      <w:r w:rsidRPr="007C2D51">
        <w:t>Jobs were classified as low-wage if they paid less than $3</w:t>
      </w:r>
      <w:r w:rsidR="00597123" w:rsidRPr="007C2D51">
        <w:t>3</w:t>
      </w:r>
      <w:r w:rsidRPr="007C2D51">
        <w:t>,</w:t>
      </w:r>
      <w:r w:rsidR="00597123" w:rsidRPr="007C2D51">
        <w:t>075</w:t>
      </w:r>
      <w:r w:rsidRPr="007C2D51">
        <w:t xml:space="preserve"> per year or $15.</w:t>
      </w:r>
      <w:r w:rsidR="00597123" w:rsidRPr="007C2D51">
        <w:t>90</w:t>
      </w:r>
      <w:r w:rsidRPr="007C2D51">
        <w:t xml:space="preserve"> per hour in 200</w:t>
      </w:r>
      <w:r w:rsidR="00597123" w:rsidRPr="007C2D51">
        <w:t>9</w:t>
      </w:r>
      <w:r w:rsidR="00CE332B" w:rsidRPr="007C2D51">
        <w:t xml:space="preserve">.  </w:t>
      </w:r>
      <w:r w:rsidRPr="007C2D51">
        <w:t>This is equivalent to 150% of the federal poverty guidelines for a family of four in 200</w:t>
      </w:r>
      <w:r w:rsidR="00597123" w:rsidRPr="007C2D51">
        <w:t>9</w:t>
      </w:r>
      <w:r w:rsidR="00CE332B" w:rsidRPr="007C2D51">
        <w:t xml:space="preserve">.  </w:t>
      </w:r>
      <w:r w:rsidRPr="007C2D51">
        <w:t>The evaluation team calculated the percentage of jobs that fell below $3</w:t>
      </w:r>
      <w:r w:rsidR="00597123" w:rsidRPr="007C2D51">
        <w:t xml:space="preserve">3,075 </w:t>
      </w:r>
      <w:r w:rsidRPr="007C2D51">
        <w:t xml:space="preserve">using wage data derived from the Occupational Employment Statistics Survey from the </w:t>
      </w:r>
      <w:r w:rsidR="00FC1555" w:rsidRPr="007C2D51">
        <w:t>US</w:t>
      </w:r>
      <w:r w:rsidR="00CE332B" w:rsidRPr="007C2D51">
        <w:t xml:space="preserve"> </w:t>
      </w:r>
      <w:r w:rsidRPr="007C2D51">
        <w:t>Bureau of Labor Statistics (BLS)</w:t>
      </w:r>
      <w:r w:rsidR="00CE332B" w:rsidRPr="007C2D51">
        <w:t xml:space="preserve">.  </w:t>
      </w:r>
      <w:r w:rsidRPr="007C2D51">
        <w:t>Percentages were estimated for about 20 job categories, as defined in the North American Industry Classification System (NAICS) at the two-digit level</w:t>
      </w:r>
      <w:r w:rsidR="00CE332B" w:rsidRPr="007C2D51">
        <w:t xml:space="preserve">.  </w:t>
      </w:r>
      <w:r w:rsidRPr="007C2D51">
        <w:t>Using data from the second quarter of 200</w:t>
      </w:r>
      <w:r w:rsidR="00597123" w:rsidRPr="007C2D51">
        <w:t>9</w:t>
      </w:r>
      <w:r w:rsidRPr="007C2D51">
        <w:t>, estimates were based on national quartile data for each two-digit NAICS code and assumed a straight-line distribution of wages within each quartile.</w:t>
      </w:r>
    </w:p>
    <w:p w:rsidR="003475DA" w:rsidRPr="007C2D51" w:rsidRDefault="003475DA" w:rsidP="003475DA">
      <w:pPr>
        <w:pStyle w:val="BodyText"/>
      </w:pPr>
      <w:r w:rsidRPr="007C2D51">
        <w:t>For example, NAICS code 72 is assigned to jobs in the accommodations and food services industry</w:t>
      </w:r>
      <w:r w:rsidR="00CE332B" w:rsidRPr="007C2D51">
        <w:t xml:space="preserve">.  </w:t>
      </w:r>
      <w:r w:rsidRPr="007C2D51">
        <w:t>Using BLS data from 200</w:t>
      </w:r>
      <w:r w:rsidR="00597123" w:rsidRPr="007C2D51">
        <w:t>9</w:t>
      </w:r>
      <w:r w:rsidRPr="007C2D51">
        <w:t xml:space="preserve">, the team estimated that approximately </w:t>
      </w:r>
      <w:r w:rsidR="00597123" w:rsidRPr="007C2D51">
        <w:t>90</w:t>
      </w:r>
      <w:r w:rsidRPr="007C2D51">
        <w:t>% of the jobs in this category could be categorized as low-wage</w:t>
      </w:r>
      <w:r w:rsidR="00CE332B" w:rsidRPr="007C2D51">
        <w:t xml:space="preserve">.  </w:t>
      </w:r>
      <w:r w:rsidRPr="007C2D51">
        <w:t>This information was aggregated for all industries and used to estimate low-wage jobs accessed by JARC-supported services.</w:t>
      </w:r>
    </w:p>
    <w:p w:rsidR="003475DA" w:rsidRPr="007C2D51" w:rsidRDefault="003475DA" w:rsidP="003475DA">
      <w:pPr>
        <w:pStyle w:val="BodyText"/>
      </w:pPr>
      <w:r w:rsidRPr="007C2D51">
        <w:br w:type="page"/>
      </w:r>
      <w:r w:rsidRPr="007C2D51">
        <w:lastRenderedPageBreak/>
        <w:t>The following table shows the estimated proportion of low-wage jobs in each NAICS category at the two-digit summary level</w:t>
      </w:r>
      <w:r w:rsidR="00CE332B" w:rsidRPr="007C2D51">
        <w:t xml:space="preserve">.  </w:t>
      </w:r>
    </w:p>
    <w:tbl>
      <w:tblPr>
        <w:tblStyle w:val="LightList-Accent6"/>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3"/>
        <w:gridCol w:w="7200"/>
        <w:gridCol w:w="864"/>
      </w:tblGrid>
      <w:tr w:rsidR="003475DA" w:rsidRPr="007C2D51" w:rsidTr="00BF096B">
        <w:trPr>
          <w:cnfStyle w:val="100000000000"/>
          <w:trHeight w:val="255"/>
          <w:jc w:val="center"/>
        </w:trPr>
        <w:tc>
          <w:tcPr>
            <w:cnfStyle w:val="001000000000"/>
            <w:tcW w:w="0" w:type="auto"/>
            <w:noWrap/>
            <w:vAlign w:val="bottom"/>
          </w:tcPr>
          <w:p w:rsidR="003475DA" w:rsidRPr="007C2D51" w:rsidRDefault="003475DA" w:rsidP="00597123">
            <w:r w:rsidRPr="007C2D51">
              <w:t>NAICS</w:t>
            </w:r>
          </w:p>
        </w:tc>
        <w:tc>
          <w:tcPr>
            <w:tcW w:w="7200" w:type="dxa"/>
            <w:noWrap/>
            <w:vAlign w:val="bottom"/>
          </w:tcPr>
          <w:p w:rsidR="003475DA" w:rsidRPr="007C2D51" w:rsidRDefault="003475DA" w:rsidP="00597123">
            <w:pPr>
              <w:cnfStyle w:val="100000000000"/>
            </w:pPr>
            <w:r w:rsidRPr="007C2D51">
              <w:t>Description</w:t>
            </w:r>
          </w:p>
        </w:tc>
        <w:tc>
          <w:tcPr>
            <w:tcW w:w="864" w:type="dxa"/>
            <w:noWrap/>
            <w:vAlign w:val="bottom"/>
          </w:tcPr>
          <w:p w:rsidR="003475DA" w:rsidRPr="007C2D51" w:rsidRDefault="00A9370E" w:rsidP="00FF5C52">
            <w:pPr>
              <w:jc w:val="center"/>
              <w:cnfStyle w:val="100000000000"/>
            </w:pPr>
            <w:r w:rsidRPr="007C2D51">
              <w:t>%</w:t>
            </w:r>
          </w:p>
        </w:tc>
      </w:tr>
      <w:tr w:rsidR="00597123" w:rsidRPr="007C2D51" w:rsidTr="00BF096B">
        <w:trPr>
          <w:cnfStyle w:val="000000100000"/>
          <w:trHeight w:val="255"/>
          <w:jc w:val="center"/>
        </w:trPr>
        <w:tc>
          <w:tcPr>
            <w:cnfStyle w:val="001000000000"/>
            <w:tcW w:w="0" w:type="auto"/>
            <w:tcBorders>
              <w:top w:val="none" w:sz="0" w:space="0" w:color="auto"/>
              <w:left w:val="none" w:sz="0" w:space="0" w:color="auto"/>
              <w:bottom w:val="none" w:sz="0" w:space="0" w:color="auto"/>
            </w:tcBorders>
            <w:noWrap/>
            <w:vAlign w:val="bottom"/>
          </w:tcPr>
          <w:p w:rsidR="00597123" w:rsidRPr="00613F0E" w:rsidRDefault="00597123" w:rsidP="00A9370E">
            <w:pPr>
              <w:rPr>
                <w:b w:val="0"/>
              </w:rPr>
            </w:pPr>
            <w:r w:rsidRPr="00613F0E">
              <w:rPr>
                <w:b w:val="0"/>
              </w:rPr>
              <w:t>11</w:t>
            </w:r>
          </w:p>
        </w:tc>
        <w:tc>
          <w:tcPr>
            <w:tcW w:w="7200" w:type="dxa"/>
            <w:tcBorders>
              <w:top w:val="none" w:sz="0" w:space="0" w:color="auto"/>
              <w:bottom w:val="none" w:sz="0" w:space="0" w:color="auto"/>
            </w:tcBorders>
            <w:noWrap/>
            <w:vAlign w:val="bottom"/>
          </w:tcPr>
          <w:p w:rsidR="00597123" w:rsidRPr="007C2D51" w:rsidRDefault="00597123" w:rsidP="00A9370E">
            <w:pPr>
              <w:cnfStyle w:val="000000100000"/>
            </w:pPr>
            <w:r w:rsidRPr="007C2D51">
              <w:t>Agriculture, forestry, fishing and hunting</w:t>
            </w:r>
          </w:p>
        </w:tc>
        <w:tc>
          <w:tcPr>
            <w:tcW w:w="864" w:type="dxa"/>
            <w:tcBorders>
              <w:top w:val="none" w:sz="0" w:space="0" w:color="auto"/>
              <w:bottom w:val="none" w:sz="0" w:space="0" w:color="auto"/>
              <w:right w:val="none" w:sz="0" w:space="0" w:color="auto"/>
            </w:tcBorders>
            <w:noWrap/>
            <w:vAlign w:val="bottom"/>
          </w:tcPr>
          <w:p w:rsidR="00597123" w:rsidRPr="007C2D51" w:rsidRDefault="00597123" w:rsidP="00FF5C52">
            <w:pPr>
              <w:jc w:val="right"/>
              <w:cnfStyle w:val="000000100000"/>
            </w:pPr>
            <w:r w:rsidRPr="007C2D51">
              <w:t>83%</w:t>
            </w:r>
          </w:p>
        </w:tc>
      </w:tr>
      <w:tr w:rsidR="00597123" w:rsidRPr="007C2D51" w:rsidTr="00BF096B">
        <w:trPr>
          <w:trHeight w:val="255"/>
          <w:jc w:val="center"/>
        </w:trPr>
        <w:tc>
          <w:tcPr>
            <w:cnfStyle w:val="001000000000"/>
            <w:tcW w:w="0" w:type="auto"/>
            <w:noWrap/>
            <w:vAlign w:val="bottom"/>
          </w:tcPr>
          <w:p w:rsidR="00597123" w:rsidRPr="00613F0E" w:rsidRDefault="00597123" w:rsidP="00A9370E">
            <w:pPr>
              <w:rPr>
                <w:b w:val="0"/>
              </w:rPr>
            </w:pPr>
            <w:r w:rsidRPr="00613F0E">
              <w:rPr>
                <w:b w:val="0"/>
              </w:rPr>
              <w:t>21</w:t>
            </w:r>
          </w:p>
        </w:tc>
        <w:tc>
          <w:tcPr>
            <w:tcW w:w="7200" w:type="dxa"/>
            <w:noWrap/>
            <w:vAlign w:val="bottom"/>
          </w:tcPr>
          <w:p w:rsidR="00597123" w:rsidRPr="007C2D51" w:rsidRDefault="00597123" w:rsidP="00A9370E">
            <w:pPr>
              <w:cnfStyle w:val="000000000000"/>
            </w:pPr>
            <w:r w:rsidRPr="007C2D51">
              <w:t>Mining, quarrying, oil and gas extraction</w:t>
            </w:r>
          </w:p>
        </w:tc>
        <w:tc>
          <w:tcPr>
            <w:tcW w:w="864" w:type="dxa"/>
            <w:noWrap/>
            <w:vAlign w:val="bottom"/>
          </w:tcPr>
          <w:p w:rsidR="00597123" w:rsidRPr="007C2D51" w:rsidRDefault="00597123" w:rsidP="00FF5C52">
            <w:pPr>
              <w:jc w:val="right"/>
              <w:cnfStyle w:val="000000000000"/>
            </w:pPr>
            <w:r w:rsidRPr="007C2D51">
              <w:t>25%</w:t>
            </w:r>
          </w:p>
        </w:tc>
      </w:tr>
      <w:tr w:rsidR="00597123" w:rsidRPr="007C2D51" w:rsidTr="00BF096B">
        <w:trPr>
          <w:cnfStyle w:val="000000100000"/>
          <w:trHeight w:val="255"/>
          <w:jc w:val="center"/>
        </w:trPr>
        <w:tc>
          <w:tcPr>
            <w:cnfStyle w:val="001000000000"/>
            <w:tcW w:w="0" w:type="auto"/>
            <w:tcBorders>
              <w:top w:val="none" w:sz="0" w:space="0" w:color="auto"/>
              <w:left w:val="none" w:sz="0" w:space="0" w:color="auto"/>
              <w:bottom w:val="none" w:sz="0" w:space="0" w:color="auto"/>
            </w:tcBorders>
            <w:noWrap/>
            <w:vAlign w:val="bottom"/>
          </w:tcPr>
          <w:p w:rsidR="00597123" w:rsidRPr="00613F0E" w:rsidRDefault="00597123" w:rsidP="00A9370E">
            <w:pPr>
              <w:rPr>
                <w:b w:val="0"/>
              </w:rPr>
            </w:pPr>
            <w:r w:rsidRPr="00613F0E">
              <w:rPr>
                <w:b w:val="0"/>
              </w:rPr>
              <w:t>22</w:t>
            </w:r>
          </w:p>
        </w:tc>
        <w:tc>
          <w:tcPr>
            <w:tcW w:w="7200" w:type="dxa"/>
            <w:tcBorders>
              <w:top w:val="none" w:sz="0" w:space="0" w:color="auto"/>
              <w:bottom w:val="none" w:sz="0" w:space="0" w:color="auto"/>
            </w:tcBorders>
            <w:noWrap/>
            <w:vAlign w:val="bottom"/>
          </w:tcPr>
          <w:p w:rsidR="00597123" w:rsidRPr="007C2D51" w:rsidRDefault="00597123" w:rsidP="00A9370E">
            <w:pPr>
              <w:cnfStyle w:val="000000100000"/>
            </w:pPr>
            <w:r w:rsidRPr="007C2D51">
              <w:t>Utilities</w:t>
            </w:r>
          </w:p>
        </w:tc>
        <w:tc>
          <w:tcPr>
            <w:tcW w:w="864" w:type="dxa"/>
            <w:tcBorders>
              <w:top w:val="none" w:sz="0" w:space="0" w:color="auto"/>
              <w:bottom w:val="none" w:sz="0" w:space="0" w:color="auto"/>
              <w:right w:val="none" w:sz="0" w:space="0" w:color="auto"/>
            </w:tcBorders>
            <w:noWrap/>
            <w:vAlign w:val="bottom"/>
          </w:tcPr>
          <w:p w:rsidR="00597123" w:rsidRPr="007C2D51" w:rsidRDefault="00597123" w:rsidP="00FF5C52">
            <w:pPr>
              <w:jc w:val="right"/>
              <w:cnfStyle w:val="000000100000"/>
            </w:pPr>
            <w:r w:rsidRPr="007C2D51">
              <w:t>15%</w:t>
            </w:r>
          </w:p>
        </w:tc>
      </w:tr>
      <w:tr w:rsidR="00597123" w:rsidRPr="007C2D51" w:rsidTr="00BF096B">
        <w:trPr>
          <w:trHeight w:val="255"/>
          <w:jc w:val="center"/>
        </w:trPr>
        <w:tc>
          <w:tcPr>
            <w:cnfStyle w:val="001000000000"/>
            <w:tcW w:w="0" w:type="auto"/>
            <w:noWrap/>
            <w:vAlign w:val="bottom"/>
          </w:tcPr>
          <w:p w:rsidR="00597123" w:rsidRPr="00613F0E" w:rsidRDefault="00597123" w:rsidP="00A9370E">
            <w:pPr>
              <w:rPr>
                <w:b w:val="0"/>
              </w:rPr>
            </w:pPr>
            <w:r w:rsidRPr="00613F0E">
              <w:rPr>
                <w:b w:val="0"/>
              </w:rPr>
              <w:t>23</w:t>
            </w:r>
          </w:p>
        </w:tc>
        <w:tc>
          <w:tcPr>
            <w:tcW w:w="7200" w:type="dxa"/>
            <w:noWrap/>
            <w:vAlign w:val="bottom"/>
          </w:tcPr>
          <w:p w:rsidR="00597123" w:rsidRPr="007C2D51" w:rsidRDefault="00597123" w:rsidP="00A9370E">
            <w:pPr>
              <w:cnfStyle w:val="000000000000"/>
            </w:pPr>
            <w:r w:rsidRPr="007C2D51">
              <w:t>Construction</w:t>
            </w:r>
          </w:p>
        </w:tc>
        <w:tc>
          <w:tcPr>
            <w:tcW w:w="864" w:type="dxa"/>
            <w:noWrap/>
            <w:vAlign w:val="bottom"/>
          </w:tcPr>
          <w:p w:rsidR="00597123" w:rsidRPr="007C2D51" w:rsidRDefault="00597123" w:rsidP="00FF5C52">
            <w:pPr>
              <w:jc w:val="right"/>
              <w:cnfStyle w:val="000000000000"/>
            </w:pPr>
            <w:r w:rsidRPr="007C2D51">
              <w:t>35%</w:t>
            </w:r>
          </w:p>
        </w:tc>
      </w:tr>
      <w:tr w:rsidR="00597123" w:rsidRPr="007C2D51" w:rsidTr="00BF096B">
        <w:trPr>
          <w:cnfStyle w:val="000000100000"/>
          <w:trHeight w:val="255"/>
          <w:jc w:val="center"/>
        </w:trPr>
        <w:tc>
          <w:tcPr>
            <w:cnfStyle w:val="001000000000"/>
            <w:tcW w:w="0" w:type="auto"/>
            <w:tcBorders>
              <w:top w:val="none" w:sz="0" w:space="0" w:color="auto"/>
              <w:left w:val="none" w:sz="0" w:space="0" w:color="auto"/>
              <w:bottom w:val="none" w:sz="0" w:space="0" w:color="auto"/>
            </w:tcBorders>
            <w:noWrap/>
            <w:vAlign w:val="bottom"/>
          </w:tcPr>
          <w:p w:rsidR="00597123" w:rsidRPr="00613F0E" w:rsidRDefault="00597123" w:rsidP="00A9370E">
            <w:pPr>
              <w:rPr>
                <w:b w:val="0"/>
              </w:rPr>
            </w:pPr>
            <w:r w:rsidRPr="00613F0E">
              <w:rPr>
                <w:b w:val="0"/>
              </w:rPr>
              <w:t>31-33</w:t>
            </w:r>
          </w:p>
        </w:tc>
        <w:tc>
          <w:tcPr>
            <w:tcW w:w="7200" w:type="dxa"/>
            <w:tcBorders>
              <w:top w:val="none" w:sz="0" w:space="0" w:color="auto"/>
              <w:bottom w:val="none" w:sz="0" w:space="0" w:color="auto"/>
            </w:tcBorders>
            <w:noWrap/>
            <w:vAlign w:val="bottom"/>
          </w:tcPr>
          <w:p w:rsidR="00597123" w:rsidRPr="007C2D51" w:rsidRDefault="00597123" w:rsidP="00A9370E">
            <w:pPr>
              <w:cnfStyle w:val="000000100000"/>
            </w:pPr>
            <w:r w:rsidRPr="007C2D51">
              <w:t>Manufacturing</w:t>
            </w:r>
          </w:p>
        </w:tc>
        <w:tc>
          <w:tcPr>
            <w:tcW w:w="864" w:type="dxa"/>
            <w:tcBorders>
              <w:top w:val="none" w:sz="0" w:space="0" w:color="auto"/>
              <w:bottom w:val="none" w:sz="0" w:space="0" w:color="auto"/>
              <w:right w:val="none" w:sz="0" w:space="0" w:color="auto"/>
            </w:tcBorders>
            <w:noWrap/>
            <w:vAlign w:val="bottom"/>
          </w:tcPr>
          <w:p w:rsidR="00597123" w:rsidRPr="007C2D51" w:rsidRDefault="00597123" w:rsidP="00FF5C52">
            <w:pPr>
              <w:jc w:val="right"/>
              <w:cnfStyle w:val="000000100000"/>
            </w:pPr>
            <w:r w:rsidRPr="007C2D51">
              <w:t>45%</w:t>
            </w:r>
          </w:p>
        </w:tc>
      </w:tr>
      <w:tr w:rsidR="00597123" w:rsidRPr="007C2D51" w:rsidTr="00BF096B">
        <w:trPr>
          <w:trHeight w:val="255"/>
          <w:jc w:val="center"/>
        </w:trPr>
        <w:tc>
          <w:tcPr>
            <w:cnfStyle w:val="001000000000"/>
            <w:tcW w:w="0" w:type="auto"/>
            <w:noWrap/>
            <w:vAlign w:val="bottom"/>
          </w:tcPr>
          <w:p w:rsidR="00597123" w:rsidRPr="00613F0E" w:rsidRDefault="00597123" w:rsidP="00A9370E">
            <w:pPr>
              <w:rPr>
                <w:b w:val="0"/>
              </w:rPr>
            </w:pPr>
            <w:r w:rsidRPr="00613F0E">
              <w:rPr>
                <w:b w:val="0"/>
              </w:rPr>
              <w:t>42</w:t>
            </w:r>
          </w:p>
        </w:tc>
        <w:tc>
          <w:tcPr>
            <w:tcW w:w="7200" w:type="dxa"/>
            <w:noWrap/>
            <w:vAlign w:val="bottom"/>
          </w:tcPr>
          <w:p w:rsidR="00597123" w:rsidRPr="007C2D51" w:rsidRDefault="00597123" w:rsidP="00A9370E">
            <w:pPr>
              <w:cnfStyle w:val="000000000000"/>
            </w:pPr>
            <w:r w:rsidRPr="007C2D51">
              <w:t>Wholesale trade</w:t>
            </w:r>
          </w:p>
        </w:tc>
        <w:tc>
          <w:tcPr>
            <w:tcW w:w="864" w:type="dxa"/>
            <w:noWrap/>
            <w:vAlign w:val="bottom"/>
          </w:tcPr>
          <w:p w:rsidR="00597123" w:rsidRPr="007C2D51" w:rsidRDefault="00597123" w:rsidP="00FF5C52">
            <w:pPr>
              <w:jc w:val="right"/>
              <w:cnfStyle w:val="000000000000"/>
            </w:pPr>
            <w:r w:rsidRPr="007C2D51">
              <w:t>40%</w:t>
            </w:r>
          </w:p>
        </w:tc>
      </w:tr>
      <w:tr w:rsidR="00597123" w:rsidRPr="007C2D51" w:rsidTr="00BF096B">
        <w:trPr>
          <w:cnfStyle w:val="000000100000"/>
          <w:trHeight w:val="255"/>
          <w:jc w:val="center"/>
        </w:trPr>
        <w:tc>
          <w:tcPr>
            <w:cnfStyle w:val="001000000000"/>
            <w:tcW w:w="0" w:type="auto"/>
            <w:tcBorders>
              <w:top w:val="none" w:sz="0" w:space="0" w:color="auto"/>
              <w:left w:val="none" w:sz="0" w:space="0" w:color="auto"/>
              <w:bottom w:val="none" w:sz="0" w:space="0" w:color="auto"/>
            </w:tcBorders>
            <w:noWrap/>
            <w:vAlign w:val="bottom"/>
          </w:tcPr>
          <w:p w:rsidR="00597123" w:rsidRPr="00613F0E" w:rsidRDefault="00597123" w:rsidP="00A9370E">
            <w:pPr>
              <w:rPr>
                <w:b w:val="0"/>
              </w:rPr>
            </w:pPr>
            <w:r w:rsidRPr="00613F0E">
              <w:rPr>
                <w:b w:val="0"/>
              </w:rPr>
              <w:t>44-45</w:t>
            </w:r>
          </w:p>
        </w:tc>
        <w:tc>
          <w:tcPr>
            <w:tcW w:w="7200" w:type="dxa"/>
            <w:tcBorders>
              <w:top w:val="none" w:sz="0" w:space="0" w:color="auto"/>
              <w:bottom w:val="none" w:sz="0" w:space="0" w:color="auto"/>
            </w:tcBorders>
            <w:noWrap/>
            <w:vAlign w:val="bottom"/>
          </w:tcPr>
          <w:p w:rsidR="00597123" w:rsidRPr="007C2D51" w:rsidRDefault="00597123" w:rsidP="00A9370E">
            <w:pPr>
              <w:cnfStyle w:val="000000100000"/>
            </w:pPr>
            <w:r w:rsidRPr="007C2D51">
              <w:t>Retail trade</w:t>
            </w:r>
          </w:p>
        </w:tc>
        <w:tc>
          <w:tcPr>
            <w:tcW w:w="864" w:type="dxa"/>
            <w:tcBorders>
              <w:top w:val="none" w:sz="0" w:space="0" w:color="auto"/>
              <w:bottom w:val="none" w:sz="0" w:space="0" w:color="auto"/>
              <w:right w:val="none" w:sz="0" w:space="0" w:color="auto"/>
            </w:tcBorders>
            <w:noWrap/>
            <w:vAlign w:val="bottom"/>
          </w:tcPr>
          <w:p w:rsidR="00597123" w:rsidRPr="007C2D51" w:rsidRDefault="00597123" w:rsidP="00FF5C52">
            <w:pPr>
              <w:jc w:val="right"/>
              <w:cnfStyle w:val="000000100000"/>
            </w:pPr>
            <w:r w:rsidRPr="007C2D51">
              <w:t>77%</w:t>
            </w:r>
          </w:p>
        </w:tc>
      </w:tr>
      <w:tr w:rsidR="00597123" w:rsidRPr="007C2D51" w:rsidTr="00BF096B">
        <w:trPr>
          <w:trHeight w:val="255"/>
          <w:jc w:val="center"/>
        </w:trPr>
        <w:tc>
          <w:tcPr>
            <w:cnfStyle w:val="001000000000"/>
            <w:tcW w:w="0" w:type="auto"/>
            <w:noWrap/>
            <w:vAlign w:val="bottom"/>
          </w:tcPr>
          <w:p w:rsidR="00597123" w:rsidRPr="00613F0E" w:rsidRDefault="00597123" w:rsidP="00A9370E">
            <w:pPr>
              <w:rPr>
                <w:b w:val="0"/>
              </w:rPr>
            </w:pPr>
            <w:r w:rsidRPr="00613F0E">
              <w:rPr>
                <w:b w:val="0"/>
              </w:rPr>
              <w:t>48-49</w:t>
            </w:r>
          </w:p>
        </w:tc>
        <w:tc>
          <w:tcPr>
            <w:tcW w:w="7200" w:type="dxa"/>
            <w:vAlign w:val="bottom"/>
          </w:tcPr>
          <w:p w:rsidR="00597123" w:rsidRPr="007C2D51" w:rsidRDefault="00597123" w:rsidP="00A9370E">
            <w:pPr>
              <w:cnfStyle w:val="000000000000"/>
            </w:pPr>
            <w:r w:rsidRPr="007C2D51">
              <w:t>Transportation and warehousing</w:t>
            </w:r>
          </w:p>
        </w:tc>
        <w:tc>
          <w:tcPr>
            <w:tcW w:w="864" w:type="dxa"/>
            <w:noWrap/>
            <w:vAlign w:val="bottom"/>
          </w:tcPr>
          <w:p w:rsidR="00597123" w:rsidRPr="007C2D51" w:rsidRDefault="00597123" w:rsidP="00FF5C52">
            <w:pPr>
              <w:jc w:val="right"/>
              <w:cnfStyle w:val="000000000000"/>
            </w:pPr>
            <w:r w:rsidRPr="007C2D51">
              <w:t>35%</w:t>
            </w:r>
          </w:p>
        </w:tc>
      </w:tr>
      <w:tr w:rsidR="00597123" w:rsidRPr="007C2D51" w:rsidTr="00BF096B">
        <w:trPr>
          <w:cnfStyle w:val="000000100000"/>
          <w:trHeight w:val="255"/>
          <w:jc w:val="center"/>
        </w:trPr>
        <w:tc>
          <w:tcPr>
            <w:cnfStyle w:val="001000000000"/>
            <w:tcW w:w="0" w:type="auto"/>
            <w:tcBorders>
              <w:top w:val="none" w:sz="0" w:space="0" w:color="auto"/>
              <w:left w:val="none" w:sz="0" w:space="0" w:color="auto"/>
              <w:bottom w:val="none" w:sz="0" w:space="0" w:color="auto"/>
            </w:tcBorders>
            <w:noWrap/>
            <w:vAlign w:val="bottom"/>
          </w:tcPr>
          <w:p w:rsidR="00597123" w:rsidRPr="00613F0E" w:rsidRDefault="00597123" w:rsidP="00A9370E">
            <w:pPr>
              <w:rPr>
                <w:b w:val="0"/>
              </w:rPr>
            </w:pPr>
            <w:r w:rsidRPr="00613F0E">
              <w:rPr>
                <w:b w:val="0"/>
              </w:rPr>
              <w:t>51</w:t>
            </w:r>
          </w:p>
        </w:tc>
        <w:tc>
          <w:tcPr>
            <w:tcW w:w="7200" w:type="dxa"/>
            <w:tcBorders>
              <w:top w:val="none" w:sz="0" w:space="0" w:color="auto"/>
              <w:bottom w:val="none" w:sz="0" w:space="0" w:color="auto"/>
            </w:tcBorders>
            <w:vAlign w:val="bottom"/>
          </w:tcPr>
          <w:p w:rsidR="00597123" w:rsidRPr="007C2D51" w:rsidRDefault="00597123" w:rsidP="00A9370E">
            <w:pPr>
              <w:cnfStyle w:val="000000100000"/>
            </w:pPr>
            <w:r w:rsidRPr="007C2D51">
              <w:t>Information</w:t>
            </w:r>
          </w:p>
        </w:tc>
        <w:tc>
          <w:tcPr>
            <w:tcW w:w="864" w:type="dxa"/>
            <w:tcBorders>
              <w:top w:val="none" w:sz="0" w:space="0" w:color="auto"/>
              <w:bottom w:val="none" w:sz="0" w:space="0" w:color="auto"/>
              <w:right w:val="none" w:sz="0" w:space="0" w:color="auto"/>
            </w:tcBorders>
            <w:noWrap/>
            <w:vAlign w:val="bottom"/>
          </w:tcPr>
          <w:p w:rsidR="00597123" w:rsidRPr="007C2D51" w:rsidRDefault="00597123" w:rsidP="00FF5C52">
            <w:pPr>
              <w:jc w:val="right"/>
              <w:cnfStyle w:val="000000100000"/>
            </w:pPr>
            <w:r w:rsidRPr="007C2D51">
              <w:t>30%</w:t>
            </w:r>
          </w:p>
        </w:tc>
      </w:tr>
      <w:tr w:rsidR="00597123" w:rsidRPr="007C2D51" w:rsidTr="00BF096B">
        <w:trPr>
          <w:trHeight w:val="255"/>
          <w:jc w:val="center"/>
        </w:trPr>
        <w:tc>
          <w:tcPr>
            <w:cnfStyle w:val="001000000000"/>
            <w:tcW w:w="0" w:type="auto"/>
            <w:noWrap/>
            <w:vAlign w:val="bottom"/>
          </w:tcPr>
          <w:p w:rsidR="00597123" w:rsidRPr="00613F0E" w:rsidRDefault="00597123" w:rsidP="00A9370E">
            <w:pPr>
              <w:rPr>
                <w:b w:val="0"/>
              </w:rPr>
            </w:pPr>
            <w:r w:rsidRPr="00613F0E">
              <w:rPr>
                <w:b w:val="0"/>
              </w:rPr>
              <w:t>52</w:t>
            </w:r>
          </w:p>
        </w:tc>
        <w:tc>
          <w:tcPr>
            <w:tcW w:w="7200" w:type="dxa"/>
            <w:vAlign w:val="bottom"/>
          </w:tcPr>
          <w:p w:rsidR="00597123" w:rsidRPr="007C2D51" w:rsidRDefault="00597123" w:rsidP="00A9370E">
            <w:pPr>
              <w:cnfStyle w:val="000000000000"/>
            </w:pPr>
            <w:r w:rsidRPr="007C2D51">
              <w:t>Finance and insurance</w:t>
            </w:r>
          </w:p>
        </w:tc>
        <w:tc>
          <w:tcPr>
            <w:tcW w:w="864" w:type="dxa"/>
            <w:noWrap/>
            <w:vAlign w:val="bottom"/>
          </w:tcPr>
          <w:p w:rsidR="00597123" w:rsidRPr="007C2D51" w:rsidRDefault="00597123" w:rsidP="00FF5C52">
            <w:pPr>
              <w:jc w:val="right"/>
              <w:cnfStyle w:val="000000000000"/>
            </w:pPr>
            <w:r w:rsidRPr="007C2D51">
              <w:t>35%</w:t>
            </w:r>
          </w:p>
        </w:tc>
      </w:tr>
      <w:tr w:rsidR="00597123" w:rsidRPr="007C2D51" w:rsidTr="00BF096B">
        <w:trPr>
          <w:cnfStyle w:val="000000100000"/>
          <w:trHeight w:val="255"/>
          <w:jc w:val="center"/>
        </w:trPr>
        <w:tc>
          <w:tcPr>
            <w:cnfStyle w:val="001000000000"/>
            <w:tcW w:w="0" w:type="auto"/>
            <w:tcBorders>
              <w:top w:val="none" w:sz="0" w:space="0" w:color="auto"/>
              <w:left w:val="none" w:sz="0" w:space="0" w:color="auto"/>
              <w:bottom w:val="none" w:sz="0" w:space="0" w:color="auto"/>
            </w:tcBorders>
            <w:noWrap/>
            <w:vAlign w:val="bottom"/>
          </w:tcPr>
          <w:p w:rsidR="00597123" w:rsidRPr="00613F0E" w:rsidRDefault="00597123" w:rsidP="00A9370E">
            <w:pPr>
              <w:rPr>
                <w:b w:val="0"/>
              </w:rPr>
            </w:pPr>
            <w:r w:rsidRPr="00613F0E">
              <w:rPr>
                <w:b w:val="0"/>
              </w:rPr>
              <w:t>53</w:t>
            </w:r>
          </w:p>
        </w:tc>
        <w:tc>
          <w:tcPr>
            <w:tcW w:w="7200" w:type="dxa"/>
            <w:tcBorders>
              <w:top w:val="none" w:sz="0" w:space="0" w:color="auto"/>
              <w:bottom w:val="none" w:sz="0" w:space="0" w:color="auto"/>
            </w:tcBorders>
            <w:vAlign w:val="bottom"/>
          </w:tcPr>
          <w:p w:rsidR="00597123" w:rsidRPr="007C2D51" w:rsidRDefault="00597123" w:rsidP="00A9370E">
            <w:pPr>
              <w:cnfStyle w:val="000000100000"/>
            </w:pPr>
            <w:r w:rsidRPr="007C2D51">
              <w:t>Real estate and rental and leasing</w:t>
            </w:r>
          </w:p>
        </w:tc>
        <w:tc>
          <w:tcPr>
            <w:tcW w:w="864" w:type="dxa"/>
            <w:tcBorders>
              <w:top w:val="none" w:sz="0" w:space="0" w:color="auto"/>
              <w:bottom w:val="none" w:sz="0" w:space="0" w:color="auto"/>
              <w:right w:val="none" w:sz="0" w:space="0" w:color="auto"/>
            </w:tcBorders>
            <w:noWrap/>
            <w:vAlign w:val="bottom"/>
          </w:tcPr>
          <w:p w:rsidR="00597123" w:rsidRPr="007C2D51" w:rsidRDefault="00597123" w:rsidP="00FF5C52">
            <w:pPr>
              <w:jc w:val="right"/>
              <w:cnfStyle w:val="000000100000"/>
            </w:pPr>
            <w:r w:rsidRPr="007C2D51">
              <w:t>60%</w:t>
            </w:r>
          </w:p>
        </w:tc>
      </w:tr>
      <w:tr w:rsidR="00597123" w:rsidRPr="007C2D51" w:rsidTr="00BF096B">
        <w:trPr>
          <w:trHeight w:val="255"/>
          <w:jc w:val="center"/>
        </w:trPr>
        <w:tc>
          <w:tcPr>
            <w:cnfStyle w:val="001000000000"/>
            <w:tcW w:w="0" w:type="auto"/>
            <w:noWrap/>
            <w:vAlign w:val="bottom"/>
          </w:tcPr>
          <w:p w:rsidR="00597123" w:rsidRPr="00613F0E" w:rsidRDefault="00597123" w:rsidP="00A9370E">
            <w:pPr>
              <w:rPr>
                <w:b w:val="0"/>
              </w:rPr>
            </w:pPr>
            <w:r w:rsidRPr="00613F0E">
              <w:rPr>
                <w:b w:val="0"/>
              </w:rPr>
              <w:t>54</w:t>
            </w:r>
          </w:p>
        </w:tc>
        <w:tc>
          <w:tcPr>
            <w:tcW w:w="7200" w:type="dxa"/>
            <w:vAlign w:val="bottom"/>
          </w:tcPr>
          <w:p w:rsidR="00597123" w:rsidRPr="007C2D51" w:rsidRDefault="00597123" w:rsidP="00A9370E">
            <w:pPr>
              <w:cnfStyle w:val="000000000000"/>
            </w:pPr>
            <w:r w:rsidRPr="007C2D51">
              <w:t>Professional, scientific, and technical services</w:t>
            </w:r>
          </w:p>
        </w:tc>
        <w:tc>
          <w:tcPr>
            <w:tcW w:w="864" w:type="dxa"/>
            <w:noWrap/>
            <w:vAlign w:val="bottom"/>
          </w:tcPr>
          <w:p w:rsidR="00597123" w:rsidRPr="007C2D51" w:rsidRDefault="00597123" w:rsidP="00FF5C52">
            <w:pPr>
              <w:jc w:val="right"/>
              <w:cnfStyle w:val="000000000000"/>
            </w:pPr>
            <w:r w:rsidRPr="007C2D51">
              <w:t>20%</w:t>
            </w:r>
          </w:p>
        </w:tc>
      </w:tr>
      <w:tr w:rsidR="00597123" w:rsidRPr="007C2D51" w:rsidTr="00BF096B">
        <w:trPr>
          <w:cnfStyle w:val="000000100000"/>
          <w:trHeight w:val="255"/>
          <w:jc w:val="center"/>
        </w:trPr>
        <w:tc>
          <w:tcPr>
            <w:cnfStyle w:val="001000000000"/>
            <w:tcW w:w="0" w:type="auto"/>
            <w:tcBorders>
              <w:top w:val="none" w:sz="0" w:space="0" w:color="auto"/>
              <w:left w:val="none" w:sz="0" w:space="0" w:color="auto"/>
              <w:bottom w:val="none" w:sz="0" w:space="0" w:color="auto"/>
            </w:tcBorders>
            <w:noWrap/>
            <w:vAlign w:val="bottom"/>
          </w:tcPr>
          <w:p w:rsidR="00597123" w:rsidRPr="00613F0E" w:rsidRDefault="00597123" w:rsidP="00A9370E">
            <w:pPr>
              <w:rPr>
                <w:b w:val="0"/>
              </w:rPr>
            </w:pPr>
            <w:r w:rsidRPr="00613F0E">
              <w:rPr>
                <w:b w:val="0"/>
              </w:rPr>
              <w:t>55</w:t>
            </w:r>
          </w:p>
        </w:tc>
        <w:tc>
          <w:tcPr>
            <w:tcW w:w="7200" w:type="dxa"/>
            <w:tcBorders>
              <w:top w:val="none" w:sz="0" w:space="0" w:color="auto"/>
              <w:bottom w:val="none" w:sz="0" w:space="0" w:color="auto"/>
            </w:tcBorders>
            <w:vAlign w:val="bottom"/>
          </w:tcPr>
          <w:p w:rsidR="00597123" w:rsidRPr="007C2D51" w:rsidRDefault="00597123" w:rsidP="00A9370E">
            <w:pPr>
              <w:cnfStyle w:val="000000100000"/>
            </w:pPr>
            <w:r w:rsidRPr="007C2D51">
              <w:t>Management of companies and enterprises</w:t>
            </w:r>
          </w:p>
        </w:tc>
        <w:tc>
          <w:tcPr>
            <w:tcW w:w="864" w:type="dxa"/>
            <w:tcBorders>
              <w:top w:val="none" w:sz="0" w:space="0" w:color="auto"/>
              <w:bottom w:val="none" w:sz="0" w:space="0" w:color="auto"/>
              <w:right w:val="none" w:sz="0" w:space="0" w:color="auto"/>
            </w:tcBorders>
            <w:noWrap/>
            <w:vAlign w:val="bottom"/>
          </w:tcPr>
          <w:p w:rsidR="00597123" w:rsidRPr="007C2D51" w:rsidRDefault="00597123" w:rsidP="00FF5C52">
            <w:pPr>
              <w:jc w:val="right"/>
              <w:cnfStyle w:val="000000100000"/>
            </w:pPr>
            <w:r w:rsidRPr="007C2D51">
              <w:t>23%</w:t>
            </w:r>
          </w:p>
        </w:tc>
      </w:tr>
      <w:tr w:rsidR="00597123" w:rsidRPr="007C2D51" w:rsidTr="00BF096B">
        <w:trPr>
          <w:trHeight w:val="255"/>
          <w:jc w:val="center"/>
        </w:trPr>
        <w:tc>
          <w:tcPr>
            <w:cnfStyle w:val="001000000000"/>
            <w:tcW w:w="0" w:type="auto"/>
            <w:noWrap/>
            <w:vAlign w:val="bottom"/>
          </w:tcPr>
          <w:p w:rsidR="00597123" w:rsidRPr="00613F0E" w:rsidRDefault="00597123" w:rsidP="00A9370E">
            <w:pPr>
              <w:rPr>
                <w:b w:val="0"/>
              </w:rPr>
            </w:pPr>
            <w:r w:rsidRPr="00613F0E">
              <w:rPr>
                <w:b w:val="0"/>
              </w:rPr>
              <w:t>56</w:t>
            </w:r>
          </w:p>
        </w:tc>
        <w:tc>
          <w:tcPr>
            <w:tcW w:w="7200" w:type="dxa"/>
            <w:vAlign w:val="bottom"/>
          </w:tcPr>
          <w:p w:rsidR="00597123" w:rsidRPr="007C2D51" w:rsidRDefault="00597123" w:rsidP="00A9370E">
            <w:pPr>
              <w:cnfStyle w:val="000000000000"/>
            </w:pPr>
            <w:r w:rsidRPr="007C2D51">
              <w:t>Administrative and support , waste management and remediation</w:t>
            </w:r>
          </w:p>
        </w:tc>
        <w:tc>
          <w:tcPr>
            <w:tcW w:w="864" w:type="dxa"/>
            <w:noWrap/>
            <w:vAlign w:val="bottom"/>
          </w:tcPr>
          <w:p w:rsidR="00597123" w:rsidRPr="007C2D51" w:rsidRDefault="00597123" w:rsidP="00FF5C52">
            <w:pPr>
              <w:jc w:val="right"/>
              <w:cnfStyle w:val="000000000000"/>
            </w:pPr>
            <w:r w:rsidRPr="007C2D51">
              <w:t>66%</w:t>
            </w:r>
          </w:p>
        </w:tc>
      </w:tr>
      <w:tr w:rsidR="00597123" w:rsidRPr="007C2D51" w:rsidTr="00BF096B">
        <w:trPr>
          <w:cnfStyle w:val="000000100000"/>
          <w:trHeight w:val="255"/>
          <w:jc w:val="center"/>
        </w:trPr>
        <w:tc>
          <w:tcPr>
            <w:cnfStyle w:val="001000000000"/>
            <w:tcW w:w="0" w:type="auto"/>
            <w:tcBorders>
              <w:top w:val="none" w:sz="0" w:space="0" w:color="auto"/>
              <w:left w:val="none" w:sz="0" w:space="0" w:color="auto"/>
              <w:bottom w:val="none" w:sz="0" w:space="0" w:color="auto"/>
            </w:tcBorders>
            <w:noWrap/>
            <w:vAlign w:val="bottom"/>
          </w:tcPr>
          <w:p w:rsidR="00597123" w:rsidRPr="00613F0E" w:rsidRDefault="00597123" w:rsidP="00A9370E">
            <w:pPr>
              <w:rPr>
                <w:b w:val="0"/>
              </w:rPr>
            </w:pPr>
            <w:r w:rsidRPr="00613F0E">
              <w:rPr>
                <w:b w:val="0"/>
              </w:rPr>
              <w:t>61</w:t>
            </w:r>
          </w:p>
        </w:tc>
        <w:tc>
          <w:tcPr>
            <w:tcW w:w="7200" w:type="dxa"/>
            <w:tcBorders>
              <w:top w:val="none" w:sz="0" w:space="0" w:color="auto"/>
              <w:bottom w:val="none" w:sz="0" w:space="0" w:color="auto"/>
            </w:tcBorders>
            <w:vAlign w:val="bottom"/>
          </w:tcPr>
          <w:p w:rsidR="00597123" w:rsidRPr="007C2D51" w:rsidRDefault="00597123" w:rsidP="00A9370E">
            <w:pPr>
              <w:cnfStyle w:val="000000100000"/>
            </w:pPr>
            <w:r w:rsidRPr="007C2D51">
              <w:t>Educational services</w:t>
            </w:r>
          </w:p>
        </w:tc>
        <w:tc>
          <w:tcPr>
            <w:tcW w:w="864" w:type="dxa"/>
            <w:tcBorders>
              <w:top w:val="none" w:sz="0" w:space="0" w:color="auto"/>
              <w:bottom w:val="none" w:sz="0" w:space="0" w:color="auto"/>
              <w:right w:val="none" w:sz="0" w:space="0" w:color="auto"/>
            </w:tcBorders>
            <w:noWrap/>
            <w:vAlign w:val="bottom"/>
          </w:tcPr>
          <w:p w:rsidR="00597123" w:rsidRPr="007C2D51" w:rsidRDefault="00597123" w:rsidP="00FF5C52">
            <w:pPr>
              <w:jc w:val="right"/>
              <w:cnfStyle w:val="000000100000"/>
            </w:pPr>
            <w:r w:rsidRPr="007C2D51">
              <w:t>38%</w:t>
            </w:r>
          </w:p>
        </w:tc>
      </w:tr>
      <w:tr w:rsidR="00597123" w:rsidRPr="007C2D51" w:rsidTr="00BF096B">
        <w:trPr>
          <w:trHeight w:val="255"/>
          <w:jc w:val="center"/>
        </w:trPr>
        <w:tc>
          <w:tcPr>
            <w:cnfStyle w:val="001000000000"/>
            <w:tcW w:w="0" w:type="auto"/>
            <w:noWrap/>
            <w:vAlign w:val="bottom"/>
          </w:tcPr>
          <w:p w:rsidR="00597123" w:rsidRPr="00613F0E" w:rsidRDefault="00597123" w:rsidP="00A9370E">
            <w:pPr>
              <w:rPr>
                <w:b w:val="0"/>
              </w:rPr>
            </w:pPr>
            <w:r w:rsidRPr="00613F0E">
              <w:rPr>
                <w:b w:val="0"/>
              </w:rPr>
              <w:t>62</w:t>
            </w:r>
          </w:p>
        </w:tc>
        <w:tc>
          <w:tcPr>
            <w:tcW w:w="7200" w:type="dxa"/>
            <w:vAlign w:val="bottom"/>
          </w:tcPr>
          <w:p w:rsidR="00597123" w:rsidRPr="007C2D51" w:rsidRDefault="00597123" w:rsidP="00A9370E">
            <w:pPr>
              <w:cnfStyle w:val="000000000000"/>
            </w:pPr>
            <w:r w:rsidRPr="007C2D51">
              <w:t>Health care and social assistance</w:t>
            </w:r>
          </w:p>
        </w:tc>
        <w:tc>
          <w:tcPr>
            <w:tcW w:w="864" w:type="dxa"/>
            <w:noWrap/>
            <w:vAlign w:val="bottom"/>
          </w:tcPr>
          <w:p w:rsidR="00597123" w:rsidRPr="007C2D51" w:rsidRDefault="00597123" w:rsidP="00FF5C52">
            <w:pPr>
              <w:jc w:val="right"/>
              <w:cnfStyle w:val="000000000000"/>
            </w:pPr>
            <w:r w:rsidRPr="007C2D51">
              <w:t>50%</w:t>
            </w:r>
          </w:p>
        </w:tc>
      </w:tr>
      <w:tr w:rsidR="00597123" w:rsidRPr="007C2D51" w:rsidTr="00BF096B">
        <w:trPr>
          <w:cnfStyle w:val="000000100000"/>
          <w:trHeight w:val="255"/>
          <w:jc w:val="center"/>
        </w:trPr>
        <w:tc>
          <w:tcPr>
            <w:cnfStyle w:val="001000000000"/>
            <w:tcW w:w="0" w:type="auto"/>
            <w:tcBorders>
              <w:top w:val="none" w:sz="0" w:space="0" w:color="auto"/>
              <w:left w:val="none" w:sz="0" w:space="0" w:color="auto"/>
              <w:bottom w:val="none" w:sz="0" w:space="0" w:color="auto"/>
            </w:tcBorders>
            <w:noWrap/>
            <w:vAlign w:val="bottom"/>
          </w:tcPr>
          <w:p w:rsidR="00597123" w:rsidRPr="00613F0E" w:rsidRDefault="00597123" w:rsidP="00A9370E">
            <w:pPr>
              <w:rPr>
                <w:b w:val="0"/>
              </w:rPr>
            </w:pPr>
            <w:r w:rsidRPr="00613F0E">
              <w:rPr>
                <w:b w:val="0"/>
              </w:rPr>
              <w:t>71</w:t>
            </w:r>
          </w:p>
        </w:tc>
        <w:tc>
          <w:tcPr>
            <w:tcW w:w="7200" w:type="dxa"/>
            <w:tcBorders>
              <w:top w:val="none" w:sz="0" w:space="0" w:color="auto"/>
              <w:bottom w:val="none" w:sz="0" w:space="0" w:color="auto"/>
            </w:tcBorders>
            <w:vAlign w:val="bottom"/>
          </w:tcPr>
          <w:p w:rsidR="00597123" w:rsidRPr="007C2D51" w:rsidRDefault="00597123" w:rsidP="00A9370E">
            <w:pPr>
              <w:cnfStyle w:val="000000100000"/>
            </w:pPr>
            <w:r w:rsidRPr="007C2D51">
              <w:t>Arts, entertainment, and recreation</w:t>
            </w:r>
          </w:p>
        </w:tc>
        <w:tc>
          <w:tcPr>
            <w:tcW w:w="864" w:type="dxa"/>
            <w:tcBorders>
              <w:top w:val="none" w:sz="0" w:space="0" w:color="auto"/>
              <w:bottom w:val="none" w:sz="0" w:space="0" w:color="auto"/>
              <w:right w:val="none" w:sz="0" w:space="0" w:color="auto"/>
            </w:tcBorders>
            <w:noWrap/>
            <w:vAlign w:val="bottom"/>
          </w:tcPr>
          <w:p w:rsidR="00597123" w:rsidRPr="007C2D51" w:rsidRDefault="00597123" w:rsidP="00FF5C52">
            <w:pPr>
              <w:jc w:val="right"/>
              <w:cnfStyle w:val="000000100000"/>
            </w:pPr>
            <w:r w:rsidRPr="007C2D51">
              <w:t>65%</w:t>
            </w:r>
          </w:p>
        </w:tc>
      </w:tr>
      <w:tr w:rsidR="00597123" w:rsidRPr="007C2D51" w:rsidTr="00BF096B">
        <w:trPr>
          <w:trHeight w:val="255"/>
          <w:jc w:val="center"/>
        </w:trPr>
        <w:tc>
          <w:tcPr>
            <w:cnfStyle w:val="001000000000"/>
            <w:tcW w:w="0" w:type="auto"/>
            <w:noWrap/>
            <w:vAlign w:val="bottom"/>
          </w:tcPr>
          <w:p w:rsidR="00597123" w:rsidRPr="00613F0E" w:rsidRDefault="00597123" w:rsidP="00A9370E">
            <w:pPr>
              <w:rPr>
                <w:b w:val="0"/>
              </w:rPr>
            </w:pPr>
            <w:r w:rsidRPr="00613F0E">
              <w:rPr>
                <w:b w:val="0"/>
              </w:rPr>
              <w:t>72</w:t>
            </w:r>
          </w:p>
        </w:tc>
        <w:tc>
          <w:tcPr>
            <w:tcW w:w="7200" w:type="dxa"/>
            <w:vAlign w:val="bottom"/>
          </w:tcPr>
          <w:p w:rsidR="00597123" w:rsidRPr="007C2D51" w:rsidRDefault="00597123" w:rsidP="00A9370E">
            <w:pPr>
              <w:cnfStyle w:val="000000000000"/>
            </w:pPr>
            <w:r w:rsidRPr="007C2D51">
              <w:t>Accommodation and food services</w:t>
            </w:r>
          </w:p>
        </w:tc>
        <w:tc>
          <w:tcPr>
            <w:tcW w:w="864" w:type="dxa"/>
            <w:noWrap/>
            <w:vAlign w:val="bottom"/>
          </w:tcPr>
          <w:p w:rsidR="00597123" w:rsidRPr="007C2D51" w:rsidRDefault="00597123" w:rsidP="00FF5C52">
            <w:pPr>
              <w:jc w:val="right"/>
              <w:cnfStyle w:val="000000000000"/>
            </w:pPr>
            <w:r w:rsidRPr="007C2D51">
              <w:t>90%</w:t>
            </w:r>
          </w:p>
        </w:tc>
      </w:tr>
      <w:tr w:rsidR="00597123" w:rsidRPr="007C2D51" w:rsidTr="00BF096B">
        <w:trPr>
          <w:cnfStyle w:val="000000100000"/>
          <w:trHeight w:val="255"/>
          <w:jc w:val="center"/>
        </w:trPr>
        <w:tc>
          <w:tcPr>
            <w:cnfStyle w:val="001000000000"/>
            <w:tcW w:w="0" w:type="auto"/>
            <w:tcBorders>
              <w:top w:val="none" w:sz="0" w:space="0" w:color="auto"/>
              <w:left w:val="none" w:sz="0" w:space="0" w:color="auto"/>
              <w:bottom w:val="none" w:sz="0" w:space="0" w:color="auto"/>
            </w:tcBorders>
            <w:noWrap/>
            <w:vAlign w:val="bottom"/>
          </w:tcPr>
          <w:p w:rsidR="00597123" w:rsidRPr="00613F0E" w:rsidRDefault="00597123" w:rsidP="00A9370E">
            <w:pPr>
              <w:rPr>
                <w:b w:val="0"/>
              </w:rPr>
            </w:pPr>
            <w:r w:rsidRPr="00613F0E">
              <w:rPr>
                <w:b w:val="0"/>
              </w:rPr>
              <w:t>81</w:t>
            </w:r>
          </w:p>
        </w:tc>
        <w:tc>
          <w:tcPr>
            <w:tcW w:w="7200" w:type="dxa"/>
            <w:tcBorders>
              <w:top w:val="none" w:sz="0" w:space="0" w:color="auto"/>
              <w:bottom w:val="none" w:sz="0" w:space="0" w:color="auto"/>
            </w:tcBorders>
            <w:vAlign w:val="bottom"/>
          </w:tcPr>
          <w:p w:rsidR="00597123" w:rsidRPr="007C2D51" w:rsidRDefault="00597123" w:rsidP="00A9370E">
            <w:pPr>
              <w:cnfStyle w:val="000000100000"/>
            </w:pPr>
            <w:r w:rsidRPr="007C2D51">
              <w:t>Other services (except federal, state, and local government)</w:t>
            </w:r>
          </w:p>
        </w:tc>
        <w:tc>
          <w:tcPr>
            <w:tcW w:w="864" w:type="dxa"/>
            <w:tcBorders>
              <w:top w:val="none" w:sz="0" w:space="0" w:color="auto"/>
              <w:bottom w:val="none" w:sz="0" w:space="0" w:color="auto"/>
              <w:right w:val="none" w:sz="0" w:space="0" w:color="auto"/>
            </w:tcBorders>
            <w:noWrap/>
            <w:vAlign w:val="bottom"/>
          </w:tcPr>
          <w:p w:rsidR="00597123" w:rsidRPr="007C2D51" w:rsidRDefault="00597123" w:rsidP="00FF5C52">
            <w:pPr>
              <w:jc w:val="right"/>
              <w:cnfStyle w:val="000000100000"/>
            </w:pPr>
            <w:r w:rsidRPr="007C2D51">
              <w:t>65%</w:t>
            </w:r>
          </w:p>
        </w:tc>
      </w:tr>
      <w:tr w:rsidR="00597123" w:rsidRPr="007C2D51" w:rsidTr="00BF096B">
        <w:trPr>
          <w:trHeight w:val="255"/>
          <w:jc w:val="center"/>
        </w:trPr>
        <w:tc>
          <w:tcPr>
            <w:cnfStyle w:val="001000000000"/>
            <w:tcW w:w="0" w:type="auto"/>
            <w:noWrap/>
            <w:vAlign w:val="bottom"/>
          </w:tcPr>
          <w:p w:rsidR="00597123" w:rsidRPr="00613F0E" w:rsidRDefault="00597123" w:rsidP="00A9370E">
            <w:pPr>
              <w:rPr>
                <w:b w:val="0"/>
              </w:rPr>
            </w:pPr>
            <w:r w:rsidRPr="00613F0E">
              <w:rPr>
                <w:b w:val="0"/>
              </w:rPr>
              <w:t>99</w:t>
            </w:r>
          </w:p>
        </w:tc>
        <w:tc>
          <w:tcPr>
            <w:tcW w:w="7200" w:type="dxa"/>
            <w:vAlign w:val="bottom"/>
          </w:tcPr>
          <w:p w:rsidR="00597123" w:rsidRPr="007C2D51" w:rsidRDefault="00597123" w:rsidP="00A9370E">
            <w:pPr>
              <w:cnfStyle w:val="000000000000"/>
            </w:pPr>
            <w:r w:rsidRPr="007C2D51">
              <w:t>Federal, state, and local government</w:t>
            </w:r>
          </w:p>
        </w:tc>
        <w:tc>
          <w:tcPr>
            <w:tcW w:w="864" w:type="dxa"/>
            <w:noWrap/>
            <w:vAlign w:val="bottom"/>
          </w:tcPr>
          <w:p w:rsidR="00597123" w:rsidRPr="007C2D51" w:rsidRDefault="00597123" w:rsidP="00FF5C52">
            <w:pPr>
              <w:jc w:val="right"/>
              <w:cnfStyle w:val="000000000000"/>
            </w:pPr>
            <w:r w:rsidRPr="007C2D51">
              <w:t>28%</w:t>
            </w:r>
          </w:p>
        </w:tc>
      </w:tr>
      <w:tr w:rsidR="003475DA" w:rsidRPr="007C2D51" w:rsidTr="00BF096B">
        <w:trPr>
          <w:cnfStyle w:val="000000100000"/>
          <w:trHeight w:val="255"/>
          <w:jc w:val="center"/>
        </w:trPr>
        <w:tc>
          <w:tcPr>
            <w:cnfStyle w:val="001000000000"/>
            <w:tcW w:w="0" w:type="auto"/>
            <w:tcBorders>
              <w:top w:val="none" w:sz="0" w:space="0" w:color="auto"/>
              <w:left w:val="none" w:sz="0" w:space="0" w:color="auto"/>
              <w:bottom w:val="none" w:sz="0" w:space="0" w:color="auto"/>
            </w:tcBorders>
            <w:noWrap/>
            <w:vAlign w:val="bottom"/>
          </w:tcPr>
          <w:p w:rsidR="003475DA" w:rsidRPr="00613F0E" w:rsidRDefault="003475DA" w:rsidP="00A9370E">
            <w:pPr>
              <w:rPr>
                <w:b w:val="0"/>
              </w:rPr>
            </w:pPr>
          </w:p>
        </w:tc>
        <w:tc>
          <w:tcPr>
            <w:tcW w:w="7200" w:type="dxa"/>
            <w:tcBorders>
              <w:top w:val="none" w:sz="0" w:space="0" w:color="auto"/>
              <w:bottom w:val="none" w:sz="0" w:space="0" w:color="auto"/>
            </w:tcBorders>
            <w:noWrap/>
            <w:vAlign w:val="bottom"/>
          </w:tcPr>
          <w:p w:rsidR="003475DA" w:rsidRPr="007C2D51" w:rsidRDefault="00597123" w:rsidP="00A9370E">
            <w:pPr>
              <w:cnfStyle w:val="000000100000"/>
            </w:pPr>
            <w:r w:rsidRPr="007C2D51">
              <w:t>All industries</w:t>
            </w:r>
          </w:p>
        </w:tc>
        <w:tc>
          <w:tcPr>
            <w:tcW w:w="864" w:type="dxa"/>
            <w:tcBorders>
              <w:top w:val="none" w:sz="0" w:space="0" w:color="auto"/>
              <w:bottom w:val="none" w:sz="0" w:space="0" w:color="auto"/>
              <w:right w:val="none" w:sz="0" w:space="0" w:color="auto"/>
            </w:tcBorders>
            <w:noWrap/>
            <w:vAlign w:val="bottom"/>
          </w:tcPr>
          <w:p w:rsidR="003475DA" w:rsidRPr="007C2D51" w:rsidRDefault="00597123" w:rsidP="00FF5C52">
            <w:pPr>
              <w:jc w:val="right"/>
              <w:cnfStyle w:val="000000100000"/>
            </w:pPr>
            <w:r w:rsidRPr="007C2D51">
              <w:t>50</w:t>
            </w:r>
            <w:r w:rsidR="003475DA" w:rsidRPr="007C2D51">
              <w:t>%</w:t>
            </w:r>
          </w:p>
        </w:tc>
      </w:tr>
    </w:tbl>
    <w:p w:rsidR="003475DA" w:rsidRPr="007C2D51" w:rsidRDefault="003475DA" w:rsidP="003475DA">
      <w:pPr>
        <w:pStyle w:val="BodyText"/>
      </w:pPr>
    </w:p>
    <w:p w:rsidR="003475DA" w:rsidRPr="007C2D51" w:rsidRDefault="003475DA" w:rsidP="003475DA">
      <w:pPr>
        <w:pStyle w:val="BodyText"/>
      </w:pPr>
      <w:r w:rsidRPr="007C2D51">
        <w:t>These weights were used to estimate the proportion of total employment in each industry could be considered low-wage jobs for both the fixed-route and demand-response components of the analysis</w:t>
      </w:r>
      <w:r w:rsidR="00CE332B" w:rsidRPr="007C2D51">
        <w:t xml:space="preserve">.  </w:t>
      </w:r>
    </w:p>
    <w:p w:rsidR="003475DA" w:rsidRPr="007C2D51" w:rsidRDefault="003475DA" w:rsidP="003475DA">
      <w:pPr>
        <w:pStyle w:val="Heading2"/>
      </w:pPr>
      <w:bookmarkStart w:id="188" w:name="_Toc270953193"/>
      <w:bookmarkStart w:id="189" w:name="_Toc273954564"/>
      <w:bookmarkStart w:id="190" w:name="_Toc304965711"/>
      <w:r w:rsidRPr="007C2D51">
        <w:t>Estimating Jobs Likely Reached</w:t>
      </w:r>
      <w:bookmarkEnd w:id="188"/>
      <w:bookmarkEnd w:id="189"/>
      <w:bookmarkEnd w:id="190"/>
    </w:p>
    <w:p w:rsidR="003475DA" w:rsidRPr="007C2D51" w:rsidRDefault="003475DA" w:rsidP="003475DA">
      <w:pPr>
        <w:pStyle w:val="BodyText"/>
      </w:pPr>
      <w:r w:rsidRPr="007C2D51">
        <w:t>The approaches described above provide an estimate of the number of jobs that JARC services made accessible based on the geographic coverage of fixed route and demand response services</w:t>
      </w:r>
      <w:r w:rsidR="00CE332B" w:rsidRPr="007C2D51">
        <w:t xml:space="preserve">.  </w:t>
      </w:r>
      <w:r w:rsidRPr="007C2D51">
        <w:t>This approach is consistent with FTA’s policy decision to measure the performance of most trip-based JARC programs based on the total number of jobs and low-wage jobs in the service region – in other words, the jobs that a customer could reach using the service on any given day</w:t>
      </w:r>
      <w:r w:rsidR="00CE332B" w:rsidRPr="007C2D51">
        <w:t xml:space="preserve">.  </w:t>
      </w:r>
      <w:r w:rsidRPr="007C2D51">
        <w:t>This measure highlights the capability of JARC services to make jobs in a particular service region accessible to low-income earners.</w:t>
      </w:r>
    </w:p>
    <w:p w:rsidR="003475DA" w:rsidRPr="007C2D51" w:rsidRDefault="003475DA" w:rsidP="003475DA">
      <w:pPr>
        <w:pStyle w:val="BodyText"/>
      </w:pPr>
      <w:r w:rsidRPr="007C2D51">
        <w:t xml:space="preserve">However, while a service might be expected to reach </w:t>
      </w:r>
      <w:r w:rsidRPr="007C2D51">
        <w:rPr>
          <w:i/>
        </w:rPr>
        <w:t>any</w:t>
      </w:r>
      <w:r w:rsidRPr="007C2D51">
        <w:t xml:space="preserve"> job in its service area, under normal circumstances, no transit service could be expected to provide transportation to </w:t>
      </w:r>
      <w:r w:rsidRPr="007C2D51">
        <w:rPr>
          <w:i/>
        </w:rPr>
        <w:t>every</w:t>
      </w:r>
      <w:r w:rsidRPr="007C2D51">
        <w:t xml:space="preserve"> job in its service region simultaneously</w:t>
      </w:r>
      <w:r w:rsidR="00CE332B" w:rsidRPr="007C2D51">
        <w:t xml:space="preserve">.  </w:t>
      </w:r>
      <w:r w:rsidRPr="007C2D51">
        <w:t xml:space="preserve">For both fixed route and demand response, the measures of jobs accessed described above can be more accurately defined as measures of </w:t>
      </w:r>
      <w:r w:rsidRPr="007C2D51">
        <w:rPr>
          <w:i/>
        </w:rPr>
        <w:t>potential</w:t>
      </w:r>
      <w:r w:rsidRPr="007C2D51">
        <w:t xml:space="preserve"> accessibility; these measures are independent of transit capacity and instead estimate the maximum number of jobs accessible via JARC-supported services</w:t>
      </w:r>
      <w:r w:rsidR="00CE332B" w:rsidRPr="007C2D51">
        <w:t xml:space="preserve">.  </w:t>
      </w:r>
    </w:p>
    <w:p w:rsidR="003475DA" w:rsidRPr="007C2D51" w:rsidRDefault="003475DA" w:rsidP="00597123">
      <w:pPr>
        <w:pStyle w:val="BodyText"/>
        <w:rPr>
          <w:rFonts w:eastAsia="Georgia"/>
        </w:rPr>
      </w:pPr>
      <w:r w:rsidRPr="007C2D51">
        <w:lastRenderedPageBreak/>
        <w:t xml:space="preserve">To complement this calculation, the team </w:t>
      </w:r>
      <w:r w:rsidR="00A9370E" w:rsidRPr="007C2D51">
        <w:t xml:space="preserve">added </w:t>
      </w:r>
      <w:r w:rsidRPr="007C2D51">
        <w:t xml:space="preserve">a measure of </w:t>
      </w:r>
      <w:r w:rsidRPr="007C2D51">
        <w:rPr>
          <w:i/>
        </w:rPr>
        <w:t>jobs likely reached</w:t>
      </w:r>
      <w:r w:rsidR="00A9370E" w:rsidRPr="007C2D51">
        <w:t xml:space="preserve">. The methodology, originally developed for the FY 2009 analysis, </w:t>
      </w:r>
      <w:r w:rsidRPr="007C2D51">
        <w:rPr>
          <w:rFonts w:eastAsia="Georgia"/>
        </w:rPr>
        <w:t>uses the following steps and assumptions:</w:t>
      </w:r>
    </w:p>
    <w:p w:rsidR="003475DA" w:rsidRPr="007C2D51" w:rsidRDefault="003475DA" w:rsidP="00597123">
      <w:pPr>
        <w:pStyle w:val="ListBullet"/>
        <w:rPr>
          <w:rFonts w:eastAsia="Georgia"/>
        </w:rPr>
      </w:pPr>
      <w:r w:rsidRPr="007C2D51">
        <w:rPr>
          <w:rFonts w:eastAsia="Georgia"/>
        </w:rPr>
        <w:t>Estimate total one-way trips for all fixed route (including flex routes and shuttles) and demand response as reported by designated recipients.</w:t>
      </w:r>
    </w:p>
    <w:p w:rsidR="003475DA" w:rsidRPr="007C2D51" w:rsidRDefault="003475DA" w:rsidP="00597123">
      <w:pPr>
        <w:pStyle w:val="ListBullet"/>
        <w:rPr>
          <w:rFonts w:eastAsia="Georgia"/>
        </w:rPr>
      </w:pPr>
      <w:r w:rsidRPr="007C2D51">
        <w:rPr>
          <w:rFonts w:eastAsia="Georgia"/>
        </w:rPr>
        <w:t>Divide the number of one-way trips by two to represent individuals.</w:t>
      </w:r>
    </w:p>
    <w:p w:rsidR="003475DA" w:rsidRPr="007C2D51" w:rsidRDefault="003475DA" w:rsidP="00597123">
      <w:pPr>
        <w:pStyle w:val="ListBullet"/>
        <w:rPr>
          <w:rFonts w:eastAsia="Georgia"/>
        </w:rPr>
      </w:pPr>
      <w:r w:rsidRPr="007C2D51">
        <w:rPr>
          <w:rFonts w:eastAsia="Georgia"/>
        </w:rPr>
        <w:t>Estimate the percentage of people making commute trips, which will serve as a proxy for jobs accessed</w:t>
      </w:r>
      <w:r w:rsidR="00CE332B" w:rsidRPr="007C2D51">
        <w:rPr>
          <w:rFonts w:eastAsia="Georgia"/>
        </w:rPr>
        <w:t xml:space="preserve">.  </w:t>
      </w:r>
      <w:r w:rsidRPr="007C2D51">
        <w:rPr>
          <w:rFonts w:eastAsia="Georgia"/>
        </w:rPr>
        <w:t>According to the American Public Transportation Association, 59.2% of transit trips are commuting trips (traveling between home and work)</w:t>
      </w:r>
      <w:r w:rsidR="00A9370E" w:rsidRPr="007C2D51">
        <w:rPr>
          <w:rFonts w:eastAsia="Georgia"/>
        </w:rPr>
        <w:t>.</w:t>
      </w:r>
      <w:r w:rsidRPr="007C2D51">
        <w:rPr>
          <w:rStyle w:val="FootnoteReference"/>
        </w:rPr>
        <w:footnoteReference w:id="3"/>
      </w:r>
      <w:r w:rsidR="00CE332B" w:rsidRPr="007C2D51">
        <w:rPr>
          <w:rFonts w:eastAsia="Georgia"/>
        </w:rPr>
        <w:t xml:space="preserve">  </w:t>
      </w:r>
      <w:r w:rsidRPr="007C2D51">
        <w:rPr>
          <w:rFonts w:eastAsia="Georgia"/>
        </w:rPr>
        <w:t>For ease of calculation, this example uses 60%</w:t>
      </w:r>
      <w:r w:rsidR="00CE332B" w:rsidRPr="007C2D51">
        <w:rPr>
          <w:rFonts w:eastAsia="Georgia"/>
        </w:rPr>
        <w:t xml:space="preserve">.  </w:t>
      </w:r>
    </w:p>
    <w:p w:rsidR="003475DA" w:rsidRPr="007C2D51" w:rsidRDefault="003475DA" w:rsidP="002F4CBF">
      <w:pPr>
        <w:pStyle w:val="BodyText"/>
      </w:pPr>
      <w:r w:rsidRPr="007C2D51">
        <w:t>The following table illustrates these calculations</w:t>
      </w:r>
      <w:r w:rsidR="00CE332B" w:rsidRPr="007C2D51">
        <w:t xml:space="preserve">.  </w:t>
      </w:r>
    </w:p>
    <w:tbl>
      <w:tblPr>
        <w:tblStyle w:val="LightList-Accent6"/>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3"/>
        <w:gridCol w:w="1867"/>
        <w:gridCol w:w="1873"/>
        <w:gridCol w:w="1873"/>
        <w:gridCol w:w="708"/>
      </w:tblGrid>
      <w:tr w:rsidR="002F4CBF" w:rsidRPr="007C2D51" w:rsidTr="00BF096B">
        <w:trPr>
          <w:cnfStyle w:val="100000000000"/>
          <w:trHeight w:val="300"/>
        </w:trPr>
        <w:tc>
          <w:tcPr>
            <w:cnfStyle w:val="001000000000"/>
            <w:tcW w:w="1618" w:type="pct"/>
            <w:noWrap/>
            <w:vAlign w:val="bottom"/>
          </w:tcPr>
          <w:p w:rsidR="003475DA" w:rsidRPr="007C2D51" w:rsidRDefault="003475DA" w:rsidP="00892115"/>
        </w:tc>
        <w:tc>
          <w:tcPr>
            <w:tcW w:w="999" w:type="pct"/>
            <w:noWrap/>
            <w:vAlign w:val="bottom"/>
          </w:tcPr>
          <w:p w:rsidR="003475DA" w:rsidRPr="007C2D51" w:rsidRDefault="003475DA" w:rsidP="00732C2A">
            <w:pPr>
              <w:jc w:val="center"/>
              <w:cnfStyle w:val="100000000000"/>
            </w:pPr>
            <w:r w:rsidRPr="007C2D51">
              <w:t>One-way trips</w:t>
            </w:r>
          </w:p>
        </w:tc>
        <w:tc>
          <w:tcPr>
            <w:tcW w:w="1002" w:type="pct"/>
            <w:noWrap/>
            <w:vAlign w:val="bottom"/>
          </w:tcPr>
          <w:p w:rsidR="003475DA" w:rsidRPr="007C2D51" w:rsidRDefault="003475DA" w:rsidP="00732C2A">
            <w:pPr>
              <w:jc w:val="center"/>
              <w:cnfStyle w:val="100000000000"/>
            </w:pPr>
            <w:r w:rsidRPr="007C2D51">
              <w:t>Individuals</w:t>
            </w:r>
          </w:p>
        </w:tc>
        <w:tc>
          <w:tcPr>
            <w:tcW w:w="1002" w:type="pct"/>
            <w:noWrap/>
            <w:vAlign w:val="bottom"/>
          </w:tcPr>
          <w:p w:rsidR="003475DA" w:rsidRPr="007C2D51" w:rsidRDefault="003475DA" w:rsidP="00732C2A">
            <w:pPr>
              <w:jc w:val="center"/>
              <w:cnfStyle w:val="100000000000"/>
            </w:pPr>
            <w:r w:rsidRPr="007C2D51">
              <w:t>Jobs accessed</w:t>
            </w:r>
          </w:p>
        </w:tc>
        <w:tc>
          <w:tcPr>
            <w:tcW w:w="379" w:type="pct"/>
            <w:noWrap/>
            <w:vAlign w:val="bottom"/>
          </w:tcPr>
          <w:p w:rsidR="003475DA" w:rsidRPr="007C2D51" w:rsidRDefault="003475DA" w:rsidP="00732C2A">
            <w:pPr>
              <w:jc w:val="center"/>
              <w:cnfStyle w:val="100000000000"/>
            </w:pPr>
            <w:r w:rsidRPr="007C2D51">
              <w:t>%</w:t>
            </w:r>
          </w:p>
        </w:tc>
      </w:tr>
      <w:tr w:rsidR="00732C2A" w:rsidRPr="007C2D51" w:rsidTr="00BF096B">
        <w:trPr>
          <w:cnfStyle w:val="000000100000"/>
          <w:trHeight w:val="295"/>
        </w:trPr>
        <w:tc>
          <w:tcPr>
            <w:cnfStyle w:val="001000000000"/>
            <w:tcW w:w="1618" w:type="pct"/>
            <w:tcBorders>
              <w:top w:val="none" w:sz="0" w:space="0" w:color="auto"/>
              <w:left w:val="none" w:sz="0" w:space="0" w:color="auto"/>
              <w:bottom w:val="none" w:sz="0" w:space="0" w:color="auto"/>
            </w:tcBorders>
            <w:noWrap/>
            <w:vAlign w:val="bottom"/>
          </w:tcPr>
          <w:p w:rsidR="00732C2A" w:rsidRPr="007C2D51" w:rsidRDefault="00732C2A" w:rsidP="00892115">
            <w:r w:rsidRPr="007C2D51">
              <w:t>Fixed route</w:t>
            </w:r>
          </w:p>
        </w:tc>
        <w:tc>
          <w:tcPr>
            <w:tcW w:w="999" w:type="pct"/>
            <w:tcBorders>
              <w:top w:val="none" w:sz="0" w:space="0" w:color="auto"/>
              <w:bottom w:val="none" w:sz="0" w:space="0" w:color="auto"/>
            </w:tcBorders>
            <w:noWrap/>
            <w:vAlign w:val="bottom"/>
          </w:tcPr>
          <w:p w:rsidR="00732C2A" w:rsidRPr="007C2D51" w:rsidRDefault="00732C2A" w:rsidP="00732C2A">
            <w:pPr>
              <w:jc w:val="right"/>
              <w:cnfStyle w:val="000000100000"/>
              <w:rPr>
                <w:rFonts w:cs="Calibri"/>
                <w:color w:val="000000"/>
              </w:rPr>
            </w:pPr>
            <w:r w:rsidRPr="007C2D51">
              <w:rPr>
                <w:rFonts w:cs="Calibri"/>
                <w:color w:val="000000"/>
              </w:rPr>
              <w:t xml:space="preserve">47,363,009 </w:t>
            </w:r>
          </w:p>
        </w:tc>
        <w:tc>
          <w:tcPr>
            <w:tcW w:w="1002" w:type="pct"/>
            <w:tcBorders>
              <w:top w:val="none" w:sz="0" w:space="0" w:color="auto"/>
              <w:bottom w:val="none" w:sz="0" w:space="0" w:color="auto"/>
            </w:tcBorders>
            <w:noWrap/>
            <w:vAlign w:val="bottom"/>
          </w:tcPr>
          <w:p w:rsidR="00732C2A" w:rsidRPr="007C2D51" w:rsidRDefault="00732C2A" w:rsidP="00732C2A">
            <w:pPr>
              <w:jc w:val="right"/>
              <w:cnfStyle w:val="000000100000"/>
              <w:rPr>
                <w:rFonts w:cs="Calibri"/>
                <w:color w:val="000000"/>
              </w:rPr>
            </w:pPr>
            <w:r w:rsidRPr="007C2D51">
              <w:rPr>
                <w:rFonts w:cs="Calibri"/>
                <w:color w:val="000000"/>
              </w:rPr>
              <w:t xml:space="preserve">23,681,505 </w:t>
            </w:r>
          </w:p>
        </w:tc>
        <w:tc>
          <w:tcPr>
            <w:tcW w:w="1002" w:type="pct"/>
            <w:tcBorders>
              <w:top w:val="none" w:sz="0" w:space="0" w:color="auto"/>
              <w:bottom w:val="none" w:sz="0" w:space="0" w:color="auto"/>
            </w:tcBorders>
            <w:noWrap/>
            <w:vAlign w:val="bottom"/>
          </w:tcPr>
          <w:p w:rsidR="00732C2A" w:rsidRPr="007C2D51" w:rsidRDefault="00732C2A" w:rsidP="00732C2A">
            <w:pPr>
              <w:jc w:val="right"/>
              <w:cnfStyle w:val="000000100000"/>
              <w:rPr>
                <w:rFonts w:cs="Calibri"/>
                <w:color w:val="000000"/>
              </w:rPr>
            </w:pPr>
            <w:r w:rsidRPr="007C2D51">
              <w:rPr>
                <w:rFonts w:cs="Calibri"/>
                <w:color w:val="000000"/>
              </w:rPr>
              <w:t xml:space="preserve">14,208,903 </w:t>
            </w:r>
          </w:p>
        </w:tc>
        <w:tc>
          <w:tcPr>
            <w:tcW w:w="379" w:type="pct"/>
            <w:tcBorders>
              <w:top w:val="none" w:sz="0" w:space="0" w:color="auto"/>
              <w:bottom w:val="none" w:sz="0" w:space="0" w:color="auto"/>
              <w:right w:val="none" w:sz="0" w:space="0" w:color="auto"/>
            </w:tcBorders>
            <w:noWrap/>
            <w:vAlign w:val="bottom"/>
          </w:tcPr>
          <w:p w:rsidR="00732C2A" w:rsidRPr="007C2D51" w:rsidRDefault="00732C2A" w:rsidP="00732C2A">
            <w:pPr>
              <w:jc w:val="right"/>
              <w:cnfStyle w:val="000000100000"/>
              <w:rPr>
                <w:rFonts w:cs="Calibri"/>
                <w:color w:val="000000"/>
              </w:rPr>
            </w:pPr>
            <w:r w:rsidRPr="007C2D51">
              <w:rPr>
                <w:rFonts w:cs="Calibri"/>
                <w:color w:val="000000"/>
              </w:rPr>
              <w:t>89%</w:t>
            </w:r>
          </w:p>
        </w:tc>
      </w:tr>
      <w:tr w:rsidR="00732C2A" w:rsidRPr="007C2D51" w:rsidTr="00BF096B">
        <w:trPr>
          <w:trHeight w:val="300"/>
        </w:trPr>
        <w:tc>
          <w:tcPr>
            <w:cnfStyle w:val="001000000000"/>
            <w:tcW w:w="1618" w:type="pct"/>
            <w:noWrap/>
            <w:vAlign w:val="bottom"/>
          </w:tcPr>
          <w:p w:rsidR="00732C2A" w:rsidRPr="007C2D51" w:rsidRDefault="00732C2A" w:rsidP="00892115">
            <w:r w:rsidRPr="007C2D51">
              <w:t>Flexible routing</w:t>
            </w:r>
          </w:p>
        </w:tc>
        <w:tc>
          <w:tcPr>
            <w:tcW w:w="999" w:type="pct"/>
            <w:noWrap/>
            <w:vAlign w:val="bottom"/>
          </w:tcPr>
          <w:p w:rsidR="00732C2A" w:rsidRPr="007C2D51" w:rsidRDefault="00732C2A" w:rsidP="00732C2A">
            <w:pPr>
              <w:jc w:val="right"/>
              <w:cnfStyle w:val="000000000000"/>
              <w:rPr>
                <w:rFonts w:cs="Calibri"/>
                <w:color w:val="000000"/>
              </w:rPr>
            </w:pPr>
            <w:r w:rsidRPr="007C2D51">
              <w:rPr>
                <w:rFonts w:cs="Calibri"/>
                <w:color w:val="000000"/>
              </w:rPr>
              <w:t xml:space="preserve">1,431,176 </w:t>
            </w:r>
          </w:p>
        </w:tc>
        <w:tc>
          <w:tcPr>
            <w:tcW w:w="1002" w:type="pct"/>
            <w:noWrap/>
            <w:vAlign w:val="bottom"/>
          </w:tcPr>
          <w:p w:rsidR="00732C2A" w:rsidRPr="007C2D51" w:rsidRDefault="00732C2A" w:rsidP="00732C2A">
            <w:pPr>
              <w:jc w:val="right"/>
              <w:cnfStyle w:val="000000000000"/>
              <w:rPr>
                <w:rFonts w:cs="Calibri"/>
                <w:color w:val="000000"/>
              </w:rPr>
            </w:pPr>
            <w:r w:rsidRPr="007C2D51">
              <w:rPr>
                <w:rFonts w:cs="Calibri"/>
                <w:color w:val="000000"/>
              </w:rPr>
              <w:t xml:space="preserve">715,588 </w:t>
            </w:r>
          </w:p>
        </w:tc>
        <w:tc>
          <w:tcPr>
            <w:tcW w:w="1002" w:type="pct"/>
            <w:noWrap/>
            <w:vAlign w:val="bottom"/>
          </w:tcPr>
          <w:p w:rsidR="00732C2A" w:rsidRPr="007C2D51" w:rsidRDefault="00732C2A" w:rsidP="00732C2A">
            <w:pPr>
              <w:jc w:val="right"/>
              <w:cnfStyle w:val="000000000000"/>
              <w:rPr>
                <w:rFonts w:cs="Calibri"/>
                <w:color w:val="000000"/>
              </w:rPr>
            </w:pPr>
            <w:r w:rsidRPr="007C2D51">
              <w:rPr>
                <w:rFonts w:cs="Calibri"/>
                <w:color w:val="000000"/>
              </w:rPr>
              <w:t xml:space="preserve">429,353 </w:t>
            </w:r>
          </w:p>
        </w:tc>
        <w:tc>
          <w:tcPr>
            <w:tcW w:w="379" w:type="pct"/>
            <w:noWrap/>
            <w:vAlign w:val="bottom"/>
          </w:tcPr>
          <w:p w:rsidR="00732C2A" w:rsidRPr="007C2D51" w:rsidRDefault="00732C2A" w:rsidP="00732C2A">
            <w:pPr>
              <w:jc w:val="right"/>
              <w:cnfStyle w:val="000000000000"/>
              <w:rPr>
                <w:rFonts w:cs="Calibri"/>
                <w:color w:val="000000"/>
              </w:rPr>
            </w:pPr>
            <w:r w:rsidRPr="007C2D51">
              <w:rPr>
                <w:rFonts w:cs="Calibri"/>
                <w:color w:val="000000"/>
              </w:rPr>
              <w:t>3%</w:t>
            </w:r>
          </w:p>
        </w:tc>
      </w:tr>
      <w:tr w:rsidR="00732C2A" w:rsidRPr="007C2D51" w:rsidTr="00BF096B">
        <w:trPr>
          <w:cnfStyle w:val="000000100000"/>
          <w:trHeight w:val="300"/>
        </w:trPr>
        <w:tc>
          <w:tcPr>
            <w:cnfStyle w:val="001000000000"/>
            <w:tcW w:w="1618" w:type="pct"/>
            <w:tcBorders>
              <w:top w:val="none" w:sz="0" w:space="0" w:color="auto"/>
              <w:left w:val="none" w:sz="0" w:space="0" w:color="auto"/>
              <w:bottom w:val="none" w:sz="0" w:space="0" w:color="auto"/>
            </w:tcBorders>
            <w:noWrap/>
            <w:vAlign w:val="bottom"/>
          </w:tcPr>
          <w:p w:rsidR="00732C2A" w:rsidRPr="007C2D51" w:rsidRDefault="00732C2A" w:rsidP="00892115">
            <w:r w:rsidRPr="007C2D51">
              <w:t>Shuttle/Feeder</w:t>
            </w:r>
          </w:p>
        </w:tc>
        <w:tc>
          <w:tcPr>
            <w:tcW w:w="999" w:type="pct"/>
            <w:tcBorders>
              <w:top w:val="none" w:sz="0" w:space="0" w:color="auto"/>
              <w:bottom w:val="none" w:sz="0" w:space="0" w:color="auto"/>
            </w:tcBorders>
            <w:noWrap/>
            <w:vAlign w:val="bottom"/>
          </w:tcPr>
          <w:p w:rsidR="00732C2A" w:rsidRPr="007C2D51" w:rsidRDefault="00732C2A" w:rsidP="00732C2A">
            <w:pPr>
              <w:jc w:val="right"/>
              <w:cnfStyle w:val="000000100000"/>
              <w:rPr>
                <w:rFonts w:cs="Calibri"/>
                <w:color w:val="000000"/>
              </w:rPr>
            </w:pPr>
            <w:r w:rsidRPr="007C2D51">
              <w:rPr>
                <w:rFonts w:cs="Calibri"/>
                <w:color w:val="000000"/>
              </w:rPr>
              <w:t xml:space="preserve">1,229,871 </w:t>
            </w:r>
          </w:p>
        </w:tc>
        <w:tc>
          <w:tcPr>
            <w:tcW w:w="1002" w:type="pct"/>
            <w:tcBorders>
              <w:top w:val="none" w:sz="0" w:space="0" w:color="auto"/>
              <w:bottom w:val="none" w:sz="0" w:space="0" w:color="auto"/>
            </w:tcBorders>
            <w:noWrap/>
            <w:vAlign w:val="bottom"/>
          </w:tcPr>
          <w:p w:rsidR="00732C2A" w:rsidRPr="007C2D51" w:rsidRDefault="00732C2A" w:rsidP="00732C2A">
            <w:pPr>
              <w:jc w:val="right"/>
              <w:cnfStyle w:val="000000100000"/>
              <w:rPr>
                <w:rFonts w:cs="Calibri"/>
                <w:color w:val="000000"/>
              </w:rPr>
            </w:pPr>
            <w:r w:rsidRPr="007C2D51">
              <w:rPr>
                <w:rFonts w:cs="Calibri"/>
                <w:color w:val="000000"/>
              </w:rPr>
              <w:t xml:space="preserve">614,936 </w:t>
            </w:r>
          </w:p>
        </w:tc>
        <w:tc>
          <w:tcPr>
            <w:tcW w:w="1002" w:type="pct"/>
            <w:tcBorders>
              <w:top w:val="none" w:sz="0" w:space="0" w:color="auto"/>
              <w:bottom w:val="none" w:sz="0" w:space="0" w:color="auto"/>
            </w:tcBorders>
            <w:noWrap/>
            <w:vAlign w:val="bottom"/>
          </w:tcPr>
          <w:p w:rsidR="00732C2A" w:rsidRPr="007C2D51" w:rsidRDefault="00732C2A" w:rsidP="00732C2A">
            <w:pPr>
              <w:jc w:val="right"/>
              <w:cnfStyle w:val="000000100000"/>
              <w:rPr>
                <w:rFonts w:cs="Calibri"/>
                <w:color w:val="000000"/>
              </w:rPr>
            </w:pPr>
            <w:r w:rsidRPr="007C2D51">
              <w:rPr>
                <w:rFonts w:cs="Calibri"/>
                <w:color w:val="000000"/>
              </w:rPr>
              <w:t xml:space="preserve">368,961 </w:t>
            </w:r>
          </w:p>
        </w:tc>
        <w:tc>
          <w:tcPr>
            <w:tcW w:w="379" w:type="pct"/>
            <w:tcBorders>
              <w:top w:val="none" w:sz="0" w:space="0" w:color="auto"/>
              <w:bottom w:val="none" w:sz="0" w:space="0" w:color="auto"/>
              <w:right w:val="none" w:sz="0" w:space="0" w:color="auto"/>
            </w:tcBorders>
            <w:noWrap/>
            <w:vAlign w:val="bottom"/>
          </w:tcPr>
          <w:p w:rsidR="00732C2A" w:rsidRPr="007C2D51" w:rsidRDefault="00732C2A" w:rsidP="00732C2A">
            <w:pPr>
              <w:jc w:val="right"/>
              <w:cnfStyle w:val="000000100000"/>
              <w:rPr>
                <w:rFonts w:cs="Calibri"/>
                <w:color w:val="000000"/>
              </w:rPr>
            </w:pPr>
            <w:r w:rsidRPr="007C2D51">
              <w:rPr>
                <w:rFonts w:cs="Calibri"/>
                <w:color w:val="000000"/>
              </w:rPr>
              <w:t>2%</w:t>
            </w:r>
          </w:p>
        </w:tc>
      </w:tr>
      <w:tr w:rsidR="00732C2A" w:rsidRPr="007C2D51" w:rsidTr="00BF096B">
        <w:trPr>
          <w:trHeight w:val="300"/>
        </w:trPr>
        <w:tc>
          <w:tcPr>
            <w:cnfStyle w:val="001000000000"/>
            <w:tcW w:w="1618" w:type="pct"/>
            <w:noWrap/>
            <w:vAlign w:val="bottom"/>
          </w:tcPr>
          <w:p w:rsidR="00732C2A" w:rsidRPr="007C2D51" w:rsidRDefault="00732C2A" w:rsidP="00892115">
            <w:r w:rsidRPr="007C2D51">
              <w:t>Demand response</w:t>
            </w:r>
          </w:p>
        </w:tc>
        <w:tc>
          <w:tcPr>
            <w:tcW w:w="999" w:type="pct"/>
            <w:noWrap/>
            <w:vAlign w:val="bottom"/>
          </w:tcPr>
          <w:p w:rsidR="00732C2A" w:rsidRPr="007C2D51" w:rsidRDefault="00732C2A" w:rsidP="00732C2A">
            <w:pPr>
              <w:jc w:val="right"/>
              <w:cnfStyle w:val="000000000000"/>
              <w:rPr>
                <w:rFonts w:cs="Calibri"/>
                <w:color w:val="000000"/>
              </w:rPr>
            </w:pPr>
            <w:r w:rsidRPr="007C2D51">
              <w:rPr>
                <w:rFonts w:cs="Calibri"/>
                <w:color w:val="000000"/>
              </w:rPr>
              <w:t xml:space="preserve">3,054,526 </w:t>
            </w:r>
          </w:p>
        </w:tc>
        <w:tc>
          <w:tcPr>
            <w:tcW w:w="1002" w:type="pct"/>
            <w:noWrap/>
            <w:vAlign w:val="bottom"/>
          </w:tcPr>
          <w:p w:rsidR="00732C2A" w:rsidRPr="007C2D51" w:rsidRDefault="00732C2A" w:rsidP="00732C2A">
            <w:pPr>
              <w:jc w:val="right"/>
              <w:cnfStyle w:val="000000000000"/>
              <w:rPr>
                <w:rFonts w:cs="Calibri"/>
                <w:color w:val="000000"/>
              </w:rPr>
            </w:pPr>
            <w:r w:rsidRPr="007C2D51">
              <w:rPr>
                <w:rFonts w:cs="Calibri"/>
                <w:color w:val="000000"/>
              </w:rPr>
              <w:t xml:space="preserve">1,527,263 </w:t>
            </w:r>
          </w:p>
        </w:tc>
        <w:tc>
          <w:tcPr>
            <w:tcW w:w="1002" w:type="pct"/>
            <w:noWrap/>
            <w:vAlign w:val="bottom"/>
          </w:tcPr>
          <w:p w:rsidR="00732C2A" w:rsidRPr="007C2D51" w:rsidRDefault="00732C2A" w:rsidP="00732C2A">
            <w:pPr>
              <w:jc w:val="right"/>
              <w:cnfStyle w:val="000000000000"/>
              <w:rPr>
                <w:rFonts w:cs="Calibri"/>
                <w:color w:val="000000"/>
              </w:rPr>
            </w:pPr>
            <w:r w:rsidRPr="007C2D51">
              <w:rPr>
                <w:rFonts w:cs="Calibri"/>
                <w:color w:val="000000"/>
              </w:rPr>
              <w:t xml:space="preserve">916,358 </w:t>
            </w:r>
          </w:p>
        </w:tc>
        <w:tc>
          <w:tcPr>
            <w:tcW w:w="379" w:type="pct"/>
            <w:noWrap/>
            <w:vAlign w:val="bottom"/>
          </w:tcPr>
          <w:p w:rsidR="00732C2A" w:rsidRPr="007C2D51" w:rsidRDefault="00732C2A" w:rsidP="00732C2A">
            <w:pPr>
              <w:jc w:val="right"/>
              <w:cnfStyle w:val="000000000000"/>
              <w:rPr>
                <w:rFonts w:cs="Calibri"/>
                <w:color w:val="000000"/>
              </w:rPr>
            </w:pPr>
            <w:r w:rsidRPr="007C2D51">
              <w:rPr>
                <w:rFonts w:cs="Calibri"/>
                <w:color w:val="000000"/>
              </w:rPr>
              <w:t>6%</w:t>
            </w:r>
          </w:p>
        </w:tc>
      </w:tr>
      <w:tr w:rsidR="00732C2A" w:rsidRPr="007C2D51" w:rsidTr="00BF096B">
        <w:trPr>
          <w:cnfStyle w:val="000000100000"/>
          <w:trHeight w:val="300"/>
        </w:trPr>
        <w:tc>
          <w:tcPr>
            <w:cnfStyle w:val="001000000000"/>
            <w:tcW w:w="1618" w:type="pct"/>
            <w:tcBorders>
              <w:top w:val="none" w:sz="0" w:space="0" w:color="auto"/>
              <w:left w:val="none" w:sz="0" w:space="0" w:color="auto"/>
              <w:bottom w:val="none" w:sz="0" w:space="0" w:color="auto"/>
            </w:tcBorders>
            <w:noWrap/>
            <w:vAlign w:val="bottom"/>
          </w:tcPr>
          <w:p w:rsidR="00732C2A" w:rsidRPr="00613F0E" w:rsidRDefault="00732C2A" w:rsidP="00892115">
            <w:r w:rsidRPr="00613F0E">
              <w:t>Total</w:t>
            </w:r>
          </w:p>
        </w:tc>
        <w:tc>
          <w:tcPr>
            <w:tcW w:w="999" w:type="pct"/>
            <w:tcBorders>
              <w:top w:val="none" w:sz="0" w:space="0" w:color="auto"/>
              <w:bottom w:val="none" w:sz="0" w:space="0" w:color="auto"/>
            </w:tcBorders>
            <w:noWrap/>
            <w:vAlign w:val="bottom"/>
          </w:tcPr>
          <w:p w:rsidR="00732C2A" w:rsidRPr="00613F0E" w:rsidRDefault="00732C2A" w:rsidP="00732C2A">
            <w:pPr>
              <w:jc w:val="right"/>
              <w:cnfStyle w:val="000000100000"/>
              <w:rPr>
                <w:rFonts w:cs="Calibri"/>
                <w:b/>
                <w:color w:val="000000"/>
              </w:rPr>
            </w:pPr>
            <w:r w:rsidRPr="00613F0E">
              <w:rPr>
                <w:rFonts w:cs="Calibri"/>
                <w:b/>
                <w:color w:val="000000"/>
              </w:rPr>
              <w:t xml:space="preserve">53,078,582 </w:t>
            </w:r>
          </w:p>
        </w:tc>
        <w:tc>
          <w:tcPr>
            <w:tcW w:w="1002" w:type="pct"/>
            <w:tcBorders>
              <w:top w:val="none" w:sz="0" w:space="0" w:color="auto"/>
              <w:bottom w:val="none" w:sz="0" w:space="0" w:color="auto"/>
            </w:tcBorders>
            <w:noWrap/>
            <w:vAlign w:val="bottom"/>
          </w:tcPr>
          <w:p w:rsidR="00732C2A" w:rsidRPr="00613F0E" w:rsidRDefault="00732C2A" w:rsidP="00732C2A">
            <w:pPr>
              <w:jc w:val="right"/>
              <w:cnfStyle w:val="000000100000"/>
              <w:rPr>
                <w:rFonts w:cs="Calibri"/>
                <w:b/>
                <w:color w:val="000000"/>
              </w:rPr>
            </w:pPr>
            <w:r w:rsidRPr="00613F0E">
              <w:rPr>
                <w:rFonts w:cs="Calibri"/>
                <w:b/>
                <w:color w:val="000000"/>
              </w:rPr>
              <w:t xml:space="preserve">26,539,291 </w:t>
            </w:r>
          </w:p>
        </w:tc>
        <w:tc>
          <w:tcPr>
            <w:tcW w:w="1002" w:type="pct"/>
            <w:tcBorders>
              <w:top w:val="none" w:sz="0" w:space="0" w:color="auto"/>
              <w:bottom w:val="none" w:sz="0" w:space="0" w:color="auto"/>
            </w:tcBorders>
            <w:noWrap/>
            <w:vAlign w:val="bottom"/>
          </w:tcPr>
          <w:p w:rsidR="00732C2A" w:rsidRPr="00613F0E" w:rsidRDefault="00732C2A" w:rsidP="00732C2A">
            <w:pPr>
              <w:jc w:val="right"/>
              <w:cnfStyle w:val="000000100000"/>
              <w:rPr>
                <w:rFonts w:cs="Calibri"/>
                <w:b/>
                <w:color w:val="000000"/>
              </w:rPr>
            </w:pPr>
            <w:r w:rsidRPr="00613F0E">
              <w:rPr>
                <w:rFonts w:cs="Calibri"/>
                <w:b/>
                <w:color w:val="000000"/>
              </w:rPr>
              <w:t xml:space="preserve">15,923,575 </w:t>
            </w:r>
          </w:p>
        </w:tc>
        <w:tc>
          <w:tcPr>
            <w:tcW w:w="379" w:type="pct"/>
            <w:tcBorders>
              <w:top w:val="none" w:sz="0" w:space="0" w:color="auto"/>
              <w:bottom w:val="none" w:sz="0" w:space="0" w:color="auto"/>
              <w:right w:val="none" w:sz="0" w:space="0" w:color="auto"/>
            </w:tcBorders>
            <w:noWrap/>
            <w:vAlign w:val="bottom"/>
          </w:tcPr>
          <w:p w:rsidR="00732C2A" w:rsidRPr="00613F0E" w:rsidRDefault="00732C2A" w:rsidP="00732C2A">
            <w:pPr>
              <w:jc w:val="right"/>
              <w:cnfStyle w:val="000000100000"/>
              <w:rPr>
                <w:rFonts w:cs="Calibri"/>
                <w:b/>
                <w:color w:val="000000"/>
              </w:rPr>
            </w:pPr>
            <w:r w:rsidRPr="00613F0E">
              <w:rPr>
                <w:rFonts w:cs="Calibri"/>
                <w:b/>
                <w:color w:val="000000"/>
              </w:rPr>
              <w:t>100%</w:t>
            </w:r>
          </w:p>
        </w:tc>
      </w:tr>
    </w:tbl>
    <w:p w:rsidR="003475DA" w:rsidRPr="007C2D51" w:rsidRDefault="003475DA" w:rsidP="003475DA"/>
    <w:p w:rsidR="003475DA" w:rsidRPr="007C2D51" w:rsidRDefault="003475DA" w:rsidP="003475DA">
      <w:pPr>
        <w:pStyle w:val="Heading2"/>
      </w:pPr>
      <w:bookmarkStart w:id="191" w:name="_Toc270953194"/>
      <w:bookmarkStart w:id="192" w:name="_Toc273954565"/>
      <w:bookmarkStart w:id="193" w:name="_Toc304965712"/>
      <w:r w:rsidRPr="007C2D51">
        <w:t xml:space="preserve">Jobs Accessed in FY </w:t>
      </w:r>
      <w:r w:rsidR="00D56012" w:rsidRPr="007C2D51">
        <w:t>2010</w:t>
      </w:r>
      <w:bookmarkEnd w:id="191"/>
      <w:bookmarkEnd w:id="192"/>
      <w:bookmarkEnd w:id="193"/>
    </w:p>
    <w:p w:rsidR="003475DA" w:rsidRPr="007C2D51" w:rsidRDefault="003475DA" w:rsidP="003475DA">
      <w:pPr>
        <w:pStyle w:val="BodyText"/>
      </w:pPr>
      <w:r w:rsidRPr="007C2D51">
        <w:t xml:space="preserve">For FY </w:t>
      </w:r>
      <w:r w:rsidR="00D56012" w:rsidRPr="007C2D51">
        <w:t>2010</w:t>
      </w:r>
      <w:r w:rsidRPr="007C2D51">
        <w:t>, JARC-supported services were estimated to provide access to a maximum of 5</w:t>
      </w:r>
      <w:r w:rsidR="00F232DD" w:rsidRPr="007C2D51">
        <w:t>3.</w:t>
      </w:r>
      <w:r w:rsidR="00732C2A" w:rsidRPr="007C2D51">
        <w:t>6</w:t>
      </w:r>
      <w:r w:rsidRPr="007C2D51">
        <w:t xml:space="preserve"> million jobs, of which 2</w:t>
      </w:r>
      <w:r w:rsidR="00F232DD" w:rsidRPr="007C2D51">
        <w:t>6.</w:t>
      </w:r>
      <w:r w:rsidR="00732C2A" w:rsidRPr="007C2D51">
        <w:t>5</w:t>
      </w:r>
      <w:r w:rsidRPr="007C2D51">
        <w:t xml:space="preserve"> million were categorized as low-wage</w:t>
      </w:r>
      <w:r w:rsidR="00CE332B" w:rsidRPr="007C2D51">
        <w:t xml:space="preserve">.  </w:t>
      </w:r>
      <w:r w:rsidRPr="007C2D51">
        <w:t xml:space="preserve">It is further estimated that JARC services could provide access to approximately </w:t>
      </w:r>
      <w:r w:rsidR="00F232DD" w:rsidRPr="007C2D51">
        <w:t>15.9</w:t>
      </w:r>
      <w:r w:rsidRPr="007C2D51">
        <w:t xml:space="preserve"> million jobs based on vehicle capacity constraints</w:t>
      </w:r>
      <w:r w:rsidR="00CE332B" w:rsidRPr="007C2D51">
        <w:t xml:space="preserve">.  </w:t>
      </w:r>
    </w:p>
    <w:p w:rsidR="00F63BE3" w:rsidRPr="007C2D51" w:rsidRDefault="00F63BE3" w:rsidP="00F63BE3">
      <w:pPr>
        <w:pStyle w:val="BodyText"/>
      </w:pPr>
      <w:r w:rsidRPr="007C2D51">
        <w:t>As the following table shows, the unconstrained analysis indicates that</w:t>
      </w:r>
      <w:r w:rsidR="00630108" w:rsidRPr="007C2D51">
        <w:t xml:space="preserve"> demand response</w:t>
      </w:r>
      <w:r w:rsidRPr="007C2D51">
        <w:t xml:space="preserve"> services connected passengers </w:t>
      </w:r>
      <w:r w:rsidR="00630108" w:rsidRPr="007C2D51">
        <w:t>with 46% of the jobs</w:t>
      </w:r>
      <w:r w:rsidRPr="007C2D51">
        <w:t xml:space="preserve"> accessed in FY </w:t>
      </w:r>
      <w:r w:rsidR="00D56012" w:rsidRPr="007C2D51">
        <w:t>2010</w:t>
      </w:r>
      <w:r w:rsidRPr="007C2D51">
        <w:t xml:space="preserve"> and </w:t>
      </w:r>
      <w:r w:rsidR="00630108" w:rsidRPr="007C2D51">
        <w:t>fixed route</w:t>
      </w:r>
      <w:r w:rsidRPr="007C2D51">
        <w:t xml:space="preserve"> services reached </w:t>
      </w:r>
      <w:r w:rsidR="00630108" w:rsidRPr="007C2D51">
        <w:t>another 44%</w:t>
      </w:r>
      <w:r w:rsidR="00CE332B" w:rsidRPr="007C2D51">
        <w:t xml:space="preserve">.  </w:t>
      </w:r>
      <w:r w:rsidRPr="007C2D51">
        <w:t>The constrained analysis paints a different picture, however</w:t>
      </w:r>
      <w:r w:rsidR="00CE332B" w:rsidRPr="007C2D51">
        <w:t xml:space="preserve">.  </w:t>
      </w:r>
      <w:r w:rsidRPr="007C2D51">
        <w:t>Reflecting the capacity difference between fixed route services and other types of JARC-supported services, the analysis of likely access suggests that fixed route services provided access to</w:t>
      </w:r>
      <w:r w:rsidR="00630108" w:rsidRPr="007C2D51">
        <w:t xml:space="preserve"> fully </w:t>
      </w:r>
      <w:r w:rsidR="00732C2A" w:rsidRPr="007C2D51">
        <w:t>89</w:t>
      </w:r>
      <w:r w:rsidRPr="007C2D51">
        <w:t xml:space="preserve">% of all jobs reached in FY </w:t>
      </w:r>
      <w:r w:rsidR="00D56012" w:rsidRPr="007C2D51">
        <w:t>2010</w:t>
      </w:r>
      <w:r w:rsidRPr="007C2D51">
        <w:t xml:space="preserve"> and the demand response share fell to </w:t>
      </w:r>
      <w:r w:rsidR="00630108" w:rsidRPr="007C2D51">
        <w:t>6</w:t>
      </w:r>
      <w:r w:rsidRPr="007C2D51">
        <w:t>%.</w:t>
      </w:r>
    </w:p>
    <w:p w:rsidR="00F63BE3" w:rsidRPr="007C2D51" w:rsidRDefault="00F63BE3" w:rsidP="00F63BE3">
      <w:pPr>
        <w:pStyle w:val="Caption"/>
      </w:pPr>
      <w:r w:rsidRPr="007C2D51">
        <w:lastRenderedPageBreak/>
        <w:t>Jobs Accessed Estimate</w:t>
      </w:r>
    </w:p>
    <w:tbl>
      <w:tblPr>
        <w:tblStyle w:val="LightList-Accent6"/>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07"/>
        <w:gridCol w:w="1208"/>
        <w:gridCol w:w="691"/>
        <w:gridCol w:w="1208"/>
        <w:gridCol w:w="691"/>
        <w:gridCol w:w="1314"/>
        <w:gridCol w:w="751"/>
      </w:tblGrid>
      <w:tr w:rsidR="00732C2A" w:rsidRPr="007C2D51" w:rsidTr="00BF096B">
        <w:trPr>
          <w:cnfStyle w:val="100000000000"/>
          <w:jc w:val="center"/>
        </w:trPr>
        <w:tc>
          <w:tcPr>
            <w:cnfStyle w:val="001000000000"/>
            <w:tcW w:w="0" w:type="auto"/>
            <w:vAlign w:val="bottom"/>
          </w:tcPr>
          <w:p w:rsidR="00732C2A" w:rsidRPr="007C2D51" w:rsidRDefault="00732C2A" w:rsidP="001739B2"/>
        </w:tc>
        <w:tc>
          <w:tcPr>
            <w:tcW w:w="0" w:type="auto"/>
            <w:gridSpan w:val="2"/>
            <w:vAlign w:val="bottom"/>
          </w:tcPr>
          <w:p w:rsidR="00732C2A" w:rsidRPr="007C2D51" w:rsidRDefault="00732C2A" w:rsidP="001739B2">
            <w:pPr>
              <w:jc w:val="center"/>
              <w:cnfStyle w:val="100000000000"/>
            </w:pPr>
            <w:r w:rsidRPr="007C2D51">
              <w:t xml:space="preserve">All Jobs  </w:t>
            </w:r>
          </w:p>
          <w:p w:rsidR="00732C2A" w:rsidRPr="007C2D51" w:rsidRDefault="00732C2A" w:rsidP="001739B2">
            <w:pPr>
              <w:jc w:val="center"/>
              <w:cnfStyle w:val="100000000000"/>
            </w:pPr>
            <w:r w:rsidRPr="007C2D51">
              <w:t>Made Accessible</w:t>
            </w:r>
          </w:p>
        </w:tc>
        <w:tc>
          <w:tcPr>
            <w:tcW w:w="0" w:type="auto"/>
            <w:gridSpan w:val="2"/>
            <w:vAlign w:val="bottom"/>
          </w:tcPr>
          <w:p w:rsidR="00732C2A" w:rsidRPr="007C2D51" w:rsidRDefault="00732C2A" w:rsidP="001739B2">
            <w:pPr>
              <w:jc w:val="center"/>
              <w:cnfStyle w:val="100000000000"/>
            </w:pPr>
            <w:r w:rsidRPr="007C2D51">
              <w:t xml:space="preserve">Low-Wage Jobs </w:t>
            </w:r>
          </w:p>
          <w:p w:rsidR="00732C2A" w:rsidRPr="007C2D51" w:rsidRDefault="00732C2A" w:rsidP="001739B2">
            <w:pPr>
              <w:jc w:val="center"/>
              <w:cnfStyle w:val="100000000000"/>
            </w:pPr>
            <w:r w:rsidRPr="007C2D51">
              <w:t>Made Accessible</w:t>
            </w:r>
          </w:p>
        </w:tc>
        <w:tc>
          <w:tcPr>
            <w:tcW w:w="0" w:type="auto"/>
            <w:gridSpan w:val="2"/>
            <w:vAlign w:val="bottom"/>
          </w:tcPr>
          <w:p w:rsidR="00732C2A" w:rsidRPr="007C2D51" w:rsidRDefault="00732C2A" w:rsidP="001739B2">
            <w:pPr>
              <w:jc w:val="center"/>
              <w:cnfStyle w:val="100000000000"/>
            </w:pPr>
            <w:r w:rsidRPr="007C2D51">
              <w:t>Jobs Likely Reached</w:t>
            </w:r>
          </w:p>
        </w:tc>
      </w:tr>
      <w:tr w:rsidR="00732C2A" w:rsidRPr="007C2D51" w:rsidTr="00BF096B">
        <w:trPr>
          <w:cnfStyle w:val="000000100000"/>
          <w:jc w:val="center"/>
        </w:trPr>
        <w:tc>
          <w:tcPr>
            <w:cnfStyle w:val="001000000000"/>
            <w:tcW w:w="0" w:type="auto"/>
            <w:tcBorders>
              <w:top w:val="none" w:sz="0" w:space="0" w:color="auto"/>
              <w:left w:val="none" w:sz="0" w:space="0" w:color="auto"/>
              <w:bottom w:val="none" w:sz="0" w:space="0" w:color="auto"/>
            </w:tcBorders>
            <w:vAlign w:val="bottom"/>
          </w:tcPr>
          <w:p w:rsidR="00732C2A" w:rsidRPr="007C2D51" w:rsidRDefault="00732C2A" w:rsidP="001739B2">
            <w:r w:rsidRPr="007C2D51">
              <w:t>Service type</w:t>
            </w:r>
          </w:p>
        </w:tc>
        <w:tc>
          <w:tcPr>
            <w:tcW w:w="0" w:type="auto"/>
            <w:tcBorders>
              <w:top w:val="none" w:sz="0" w:space="0" w:color="auto"/>
              <w:bottom w:val="none" w:sz="0" w:space="0" w:color="auto"/>
            </w:tcBorders>
            <w:vAlign w:val="bottom"/>
          </w:tcPr>
          <w:p w:rsidR="00732C2A" w:rsidRPr="007C2D51" w:rsidRDefault="00732C2A" w:rsidP="001739B2">
            <w:pPr>
              <w:jc w:val="center"/>
              <w:cnfStyle w:val="000000100000"/>
              <w:rPr>
                <w:b/>
              </w:rPr>
            </w:pPr>
            <w:r w:rsidRPr="007C2D51">
              <w:rPr>
                <w:b/>
              </w:rPr>
              <w:t>#</w:t>
            </w:r>
          </w:p>
        </w:tc>
        <w:tc>
          <w:tcPr>
            <w:tcW w:w="0" w:type="auto"/>
            <w:tcBorders>
              <w:top w:val="none" w:sz="0" w:space="0" w:color="auto"/>
              <w:bottom w:val="none" w:sz="0" w:space="0" w:color="auto"/>
            </w:tcBorders>
            <w:vAlign w:val="bottom"/>
          </w:tcPr>
          <w:p w:rsidR="00732C2A" w:rsidRPr="007C2D51" w:rsidRDefault="00732C2A" w:rsidP="001739B2">
            <w:pPr>
              <w:jc w:val="center"/>
              <w:cnfStyle w:val="000000100000"/>
              <w:rPr>
                <w:b/>
              </w:rPr>
            </w:pPr>
            <w:r w:rsidRPr="007C2D51">
              <w:rPr>
                <w:b/>
              </w:rPr>
              <w:t>%</w:t>
            </w:r>
          </w:p>
        </w:tc>
        <w:tc>
          <w:tcPr>
            <w:tcW w:w="0" w:type="auto"/>
            <w:tcBorders>
              <w:top w:val="none" w:sz="0" w:space="0" w:color="auto"/>
              <w:bottom w:val="none" w:sz="0" w:space="0" w:color="auto"/>
            </w:tcBorders>
            <w:vAlign w:val="bottom"/>
          </w:tcPr>
          <w:p w:rsidR="00732C2A" w:rsidRPr="007C2D51" w:rsidRDefault="00732C2A" w:rsidP="001739B2">
            <w:pPr>
              <w:jc w:val="center"/>
              <w:cnfStyle w:val="000000100000"/>
              <w:rPr>
                <w:b/>
              </w:rPr>
            </w:pPr>
            <w:r w:rsidRPr="007C2D51">
              <w:rPr>
                <w:b/>
              </w:rPr>
              <w:t>#</w:t>
            </w:r>
          </w:p>
        </w:tc>
        <w:tc>
          <w:tcPr>
            <w:tcW w:w="0" w:type="auto"/>
            <w:tcBorders>
              <w:top w:val="none" w:sz="0" w:space="0" w:color="auto"/>
              <w:bottom w:val="none" w:sz="0" w:space="0" w:color="auto"/>
            </w:tcBorders>
            <w:vAlign w:val="bottom"/>
          </w:tcPr>
          <w:p w:rsidR="00732C2A" w:rsidRPr="007C2D51" w:rsidRDefault="00732C2A" w:rsidP="001739B2">
            <w:pPr>
              <w:jc w:val="center"/>
              <w:cnfStyle w:val="000000100000"/>
              <w:rPr>
                <w:b/>
              </w:rPr>
            </w:pPr>
            <w:r w:rsidRPr="007C2D51">
              <w:rPr>
                <w:b/>
              </w:rPr>
              <w:t>%</w:t>
            </w:r>
          </w:p>
        </w:tc>
        <w:tc>
          <w:tcPr>
            <w:tcW w:w="0" w:type="auto"/>
            <w:tcBorders>
              <w:top w:val="none" w:sz="0" w:space="0" w:color="auto"/>
              <w:bottom w:val="none" w:sz="0" w:space="0" w:color="auto"/>
            </w:tcBorders>
            <w:vAlign w:val="bottom"/>
          </w:tcPr>
          <w:p w:rsidR="00732C2A" w:rsidRPr="007C2D51" w:rsidRDefault="00732C2A" w:rsidP="001739B2">
            <w:pPr>
              <w:jc w:val="center"/>
              <w:cnfStyle w:val="000000100000"/>
              <w:rPr>
                <w:b/>
              </w:rPr>
            </w:pPr>
            <w:r w:rsidRPr="007C2D51">
              <w:rPr>
                <w:b/>
              </w:rPr>
              <w:t>#</w:t>
            </w:r>
          </w:p>
        </w:tc>
        <w:tc>
          <w:tcPr>
            <w:tcW w:w="0" w:type="auto"/>
            <w:tcBorders>
              <w:top w:val="none" w:sz="0" w:space="0" w:color="auto"/>
              <w:bottom w:val="none" w:sz="0" w:space="0" w:color="auto"/>
              <w:right w:val="none" w:sz="0" w:space="0" w:color="auto"/>
            </w:tcBorders>
            <w:vAlign w:val="bottom"/>
          </w:tcPr>
          <w:p w:rsidR="00732C2A" w:rsidRPr="007C2D51" w:rsidRDefault="00732C2A" w:rsidP="001739B2">
            <w:pPr>
              <w:jc w:val="center"/>
              <w:cnfStyle w:val="000000100000"/>
              <w:rPr>
                <w:b/>
              </w:rPr>
            </w:pPr>
            <w:r w:rsidRPr="007C2D51">
              <w:rPr>
                <w:b/>
              </w:rPr>
              <w:t>%</w:t>
            </w:r>
          </w:p>
        </w:tc>
      </w:tr>
      <w:tr w:rsidR="00732C2A" w:rsidRPr="007C2D51" w:rsidTr="00BF096B">
        <w:trPr>
          <w:jc w:val="center"/>
        </w:trPr>
        <w:tc>
          <w:tcPr>
            <w:cnfStyle w:val="001000000000"/>
            <w:tcW w:w="0" w:type="auto"/>
            <w:vAlign w:val="bottom"/>
          </w:tcPr>
          <w:p w:rsidR="00732C2A" w:rsidRPr="007C2D51" w:rsidRDefault="00732C2A" w:rsidP="001739B2">
            <w:r w:rsidRPr="007C2D51">
              <w:t>Demand response</w:t>
            </w:r>
          </w:p>
        </w:tc>
        <w:tc>
          <w:tcPr>
            <w:tcW w:w="0" w:type="auto"/>
            <w:vAlign w:val="bottom"/>
          </w:tcPr>
          <w:p w:rsidR="00732C2A" w:rsidRPr="007C2D51" w:rsidRDefault="00732C2A" w:rsidP="001739B2">
            <w:pPr>
              <w:jc w:val="right"/>
              <w:cnfStyle w:val="000000000000"/>
              <w:rPr>
                <w:rFonts w:cs="Calibri"/>
                <w:color w:val="000000"/>
              </w:rPr>
            </w:pPr>
            <w:r w:rsidRPr="007C2D51">
              <w:rPr>
                <w:rFonts w:cs="Calibri"/>
                <w:color w:val="000000"/>
              </w:rPr>
              <w:t>24,825,393</w:t>
            </w:r>
          </w:p>
        </w:tc>
        <w:tc>
          <w:tcPr>
            <w:tcW w:w="0" w:type="auto"/>
            <w:vAlign w:val="bottom"/>
          </w:tcPr>
          <w:p w:rsidR="00732C2A" w:rsidRPr="007C2D51" w:rsidRDefault="00732C2A" w:rsidP="001739B2">
            <w:pPr>
              <w:jc w:val="right"/>
              <w:cnfStyle w:val="000000000000"/>
              <w:rPr>
                <w:rFonts w:cs="Calibri"/>
                <w:color w:val="000000"/>
              </w:rPr>
            </w:pPr>
            <w:r w:rsidRPr="007C2D51">
              <w:rPr>
                <w:rFonts w:cs="Calibri"/>
                <w:color w:val="000000"/>
              </w:rPr>
              <w:t>46%</w:t>
            </w:r>
          </w:p>
        </w:tc>
        <w:tc>
          <w:tcPr>
            <w:tcW w:w="0" w:type="auto"/>
            <w:vAlign w:val="bottom"/>
          </w:tcPr>
          <w:p w:rsidR="00732C2A" w:rsidRPr="007C2D51" w:rsidRDefault="00732C2A" w:rsidP="001739B2">
            <w:pPr>
              <w:jc w:val="right"/>
              <w:cnfStyle w:val="000000000000"/>
              <w:rPr>
                <w:rFonts w:cs="Calibri"/>
                <w:color w:val="000000"/>
              </w:rPr>
            </w:pPr>
            <w:r w:rsidRPr="007C2D51">
              <w:rPr>
                <w:rFonts w:cs="Calibri"/>
                <w:color w:val="000000"/>
              </w:rPr>
              <w:t>12,631,442</w:t>
            </w:r>
          </w:p>
        </w:tc>
        <w:tc>
          <w:tcPr>
            <w:tcW w:w="0" w:type="auto"/>
            <w:vAlign w:val="bottom"/>
          </w:tcPr>
          <w:p w:rsidR="00732C2A" w:rsidRPr="007C2D51" w:rsidRDefault="00732C2A" w:rsidP="001739B2">
            <w:pPr>
              <w:jc w:val="right"/>
              <w:cnfStyle w:val="000000000000"/>
              <w:rPr>
                <w:rFonts w:cs="Calibri"/>
                <w:color w:val="000000"/>
              </w:rPr>
            </w:pPr>
            <w:r w:rsidRPr="007C2D51">
              <w:rPr>
                <w:rFonts w:cs="Calibri"/>
                <w:color w:val="000000"/>
              </w:rPr>
              <w:t>48%</w:t>
            </w:r>
          </w:p>
        </w:tc>
        <w:tc>
          <w:tcPr>
            <w:tcW w:w="0" w:type="auto"/>
            <w:vAlign w:val="bottom"/>
          </w:tcPr>
          <w:p w:rsidR="00732C2A" w:rsidRPr="007C2D51" w:rsidRDefault="00732C2A" w:rsidP="001739B2">
            <w:pPr>
              <w:jc w:val="right"/>
              <w:cnfStyle w:val="000000000000"/>
              <w:rPr>
                <w:rFonts w:cs="Calibri"/>
                <w:color w:val="000000"/>
              </w:rPr>
            </w:pPr>
            <w:r w:rsidRPr="007C2D51">
              <w:rPr>
                <w:rFonts w:cs="Calibri"/>
                <w:color w:val="000000"/>
              </w:rPr>
              <w:t>916,358</w:t>
            </w:r>
          </w:p>
        </w:tc>
        <w:tc>
          <w:tcPr>
            <w:tcW w:w="0" w:type="auto"/>
            <w:vAlign w:val="bottom"/>
          </w:tcPr>
          <w:p w:rsidR="00732C2A" w:rsidRPr="007C2D51" w:rsidRDefault="00732C2A" w:rsidP="001739B2">
            <w:pPr>
              <w:jc w:val="right"/>
              <w:cnfStyle w:val="000000000000"/>
              <w:rPr>
                <w:rFonts w:cs="Calibri"/>
                <w:color w:val="000000"/>
              </w:rPr>
            </w:pPr>
            <w:r w:rsidRPr="007C2D51">
              <w:rPr>
                <w:rFonts w:cs="Calibri"/>
                <w:color w:val="000000"/>
              </w:rPr>
              <w:t>6%</w:t>
            </w:r>
          </w:p>
        </w:tc>
      </w:tr>
      <w:tr w:rsidR="00732C2A" w:rsidRPr="007C2D51" w:rsidTr="00BF096B">
        <w:trPr>
          <w:cnfStyle w:val="000000100000"/>
          <w:jc w:val="center"/>
        </w:trPr>
        <w:tc>
          <w:tcPr>
            <w:cnfStyle w:val="001000000000"/>
            <w:tcW w:w="0" w:type="auto"/>
            <w:tcBorders>
              <w:top w:val="none" w:sz="0" w:space="0" w:color="auto"/>
              <w:left w:val="none" w:sz="0" w:space="0" w:color="auto"/>
              <w:bottom w:val="none" w:sz="0" w:space="0" w:color="auto"/>
            </w:tcBorders>
            <w:vAlign w:val="bottom"/>
          </w:tcPr>
          <w:p w:rsidR="00732C2A" w:rsidRPr="007C2D51" w:rsidRDefault="00732C2A" w:rsidP="001739B2">
            <w:r w:rsidRPr="007C2D51">
              <w:t>Fixed route</w:t>
            </w:r>
          </w:p>
        </w:tc>
        <w:tc>
          <w:tcPr>
            <w:tcW w:w="0" w:type="auto"/>
            <w:tcBorders>
              <w:top w:val="none" w:sz="0" w:space="0" w:color="auto"/>
              <w:bottom w:val="none" w:sz="0" w:space="0" w:color="auto"/>
            </w:tcBorders>
            <w:vAlign w:val="bottom"/>
          </w:tcPr>
          <w:p w:rsidR="00732C2A" w:rsidRPr="007C2D51" w:rsidRDefault="00732C2A" w:rsidP="001739B2">
            <w:pPr>
              <w:jc w:val="right"/>
              <w:cnfStyle w:val="000000100000"/>
              <w:rPr>
                <w:rFonts w:cs="Calibri"/>
                <w:color w:val="000000"/>
              </w:rPr>
            </w:pPr>
            <w:r w:rsidRPr="007C2D51">
              <w:rPr>
                <w:rFonts w:cs="Calibri"/>
                <w:color w:val="000000"/>
              </w:rPr>
              <w:t>23,821,533</w:t>
            </w:r>
          </w:p>
        </w:tc>
        <w:tc>
          <w:tcPr>
            <w:tcW w:w="0" w:type="auto"/>
            <w:tcBorders>
              <w:top w:val="none" w:sz="0" w:space="0" w:color="auto"/>
              <w:bottom w:val="none" w:sz="0" w:space="0" w:color="auto"/>
            </w:tcBorders>
            <w:vAlign w:val="bottom"/>
          </w:tcPr>
          <w:p w:rsidR="00732C2A" w:rsidRPr="007C2D51" w:rsidRDefault="00732C2A" w:rsidP="001739B2">
            <w:pPr>
              <w:jc w:val="right"/>
              <w:cnfStyle w:val="000000100000"/>
              <w:rPr>
                <w:rFonts w:cs="Calibri"/>
                <w:color w:val="000000"/>
              </w:rPr>
            </w:pPr>
            <w:r w:rsidRPr="007C2D51">
              <w:rPr>
                <w:rFonts w:cs="Calibri"/>
                <w:color w:val="000000"/>
              </w:rPr>
              <w:t>44%</w:t>
            </w:r>
          </w:p>
        </w:tc>
        <w:tc>
          <w:tcPr>
            <w:tcW w:w="0" w:type="auto"/>
            <w:tcBorders>
              <w:top w:val="none" w:sz="0" w:space="0" w:color="auto"/>
              <w:bottom w:val="none" w:sz="0" w:space="0" w:color="auto"/>
            </w:tcBorders>
            <w:vAlign w:val="bottom"/>
          </w:tcPr>
          <w:p w:rsidR="00732C2A" w:rsidRPr="007C2D51" w:rsidRDefault="00732C2A" w:rsidP="001739B2">
            <w:pPr>
              <w:jc w:val="right"/>
              <w:cnfStyle w:val="000000100000"/>
              <w:rPr>
                <w:rFonts w:cs="Calibri"/>
                <w:color w:val="000000"/>
              </w:rPr>
            </w:pPr>
            <w:r w:rsidRPr="007C2D51">
              <w:rPr>
                <w:rFonts w:cs="Calibri"/>
                <w:color w:val="000000"/>
              </w:rPr>
              <w:t>11,440,935</w:t>
            </w:r>
          </w:p>
        </w:tc>
        <w:tc>
          <w:tcPr>
            <w:tcW w:w="0" w:type="auto"/>
            <w:tcBorders>
              <w:top w:val="none" w:sz="0" w:space="0" w:color="auto"/>
              <w:bottom w:val="none" w:sz="0" w:space="0" w:color="auto"/>
            </w:tcBorders>
            <w:vAlign w:val="bottom"/>
          </w:tcPr>
          <w:p w:rsidR="00732C2A" w:rsidRPr="007C2D51" w:rsidRDefault="00732C2A" w:rsidP="001739B2">
            <w:pPr>
              <w:jc w:val="right"/>
              <w:cnfStyle w:val="000000100000"/>
              <w:rPr>
                <w:rFonts w:cs="Calibri"/>
                <w:color w:val="000000"/>
              </w:rPr>
            </w:pPr>
            <w:r w:rsidRPr="007C2D51">
              <w:rPr>
                <w:rFonts w:cs="Calibri"/>
                <w:color w:val="000000"/>
              </w:rPr>
              <w:t>43%</w:t>
            </w:r>
          </w:p>
        </w:tc>
        <w:tc>
          <w:tcPr>
            <w:tcW w:w="0" w:type="auto"/>
            <w:tcBorders>
              <w:top w:val="none" w:sz="0" w:space="0" w:color="auto"/>
              <w:bottom w:val="none" w:sz="0" w:space="0" w:color="auto"/>
            </w:tcBorders>
            <w:vAlign w:val="bottom"/>
          </w:tcPr>
          <w:p w:rsidR="00732C2A" w:rsidRPr="007C2D51" w:rsidRDefault="00732C2A" w:rsidP="001739B2">
            <w:pPr>
              <w:jc w:val="right"/>
              <w:cnfStyle w:val="000000100000"/>
              <w:rPr>
                <w:rFonts w:cs="Calibri"/>
                <w:color w:val="000000"/>
              </w:rPr>
            </w:pPr>
            <w:r w:rsidRPr="007C2D51">
              <w:rPr>
                <w:rFonts w:cs="Calibri"/>
                <w:color w:val="000000"/>
              </w:rPr>
              <w:t>14,208,903</w:t>
            </w:r>
          </w:p>
        </w:tc>
        <w:tc>
          <w:tcPr>
            <w:tcW w:w="0" w:type="auto"/>
            <w:tcBorders>
              <w:top w:val="none" w:sz="0" w:space="0" w:color="auto"/>
              <w:bottom w:val="none" w:sz="0" w:space="0" w:color="auto"/>
              <w:right w:val="none" w:sz="0" w:space="0" w:color="auto"/>
            </w:tcBorders>
            <w:vAlign w:val="bottom"/>
          </w:tcPr>
          <w:p w:rsidR="00732C2A" w:rsidRPr="007C2D51" w:rsidRDefault="00732C2A" w:rsidP="001739B2">
            <w:pPr>
              <w:jc w:val="right"/>
              <w:cnfStyle w:val="000000100000"/>
              <w:rPr>
                <w:rFonts w:cs="Calibri"/>
                <w:color w:val="000000"/>
              </w:rPr>
            </w:pPr>
            <w:r w:rsidRPr="007C2D51">
              <w:rPr>
                <w:rFonts w:cs="Calibri"/>
                <w:color w:val="000000"/>
              </w:rPr>
              <w:t>89%</w:t>
            </w:r>
          </w:p>
        </w:tc>
      </w:tr>
      <w:tr w:rsidR="00732C2A" w:rsidRPr="007C2D51" w:rsidTr="00BF096B">
        <w:trPr>
          <w:jc w:val="center"/>
        </w:trPr>
        <w:tc>
          <w:tcPr>
            <w:cnfStyle w:val="001000000000"/>
            <w:tcW w:w="0" w:type="auto"/>
            <w:vAlign w:val="bottom"/>
          </w:tcPr>
          <w:p w:rsidR="00732C2A" w:rsidRPr="007C2D51" w:rsidRDefault="00732C2A" w:rsidP="001739B2">
            <w:r w:rsidRPr="007C2D51">
              <w:t>Flex route</w:t>
            </w:r>
          </w:p>
        </w:tc>
        <w:tc>
          <w:tcPr>
            <w:tcW w:w="0" w:type="auto"/>
            <w:vAlign w:val="bottom"/>
          </w:tcPr>
          <w:p w:rsidR="00732C2A" w:rsidRPr="007C2D51" w:rsidRDefault="00732C2A" w:rsidP="001739B2">
            <w:pPr>
              <w:jc w:val="right"/>
              <w:cnfStyle w:val="000000000000"/>
              <w:rPr>
                <w:rFonts w:cs="Calibri"/>
                <w:color w:val="000000"/>
              </w:rPr>
            </w:pPr>
            <w:r w:rsidRPr="007C2D51">
              <w:rPr>
                <w:rFonts w:cs="Calibri"/>
                <w:color w:val="000000"/>
              </w:rPr>
              <w:t>3,601,625</w:t>
            </w:r>
          </w:p>
        </w:tc>
        <w:tc>
          <w:tcPr>
            <w:tcW w:w="0" w:type="auto"/>
            <w:vAlign w:val="bottom"/>
          </w:tcPr>
          <w:p w:rsidR="00732C2A" w:rsidRPr="007C2D51" w:rsidRDefault="00732C2A" w:rsidP="001739B2">
            <w:pPr>
              <w:jc w:val="right"/>
              <w:cnfStyle w:val="000000000000"/>
              <w:rPr>
                <w:rFonts w:cs="Calibri"/>
                <w:color w:val="000000"/>
              </w:rPr>
            </w:pPr>
            <w:r w:rsidRPr="007C2D51">
              <w:rPr>
                <w:rFonts w:cs="Calibri"/>
                <w:color w:val="000000"/>
              </w:rPr>
              <w:t>7%</w:t>
            </w:r>
          </w:p>
        </w:tc>
        <w:tc>
          <w:tcPr>
            <w:tcW w:w="0" w:type="auto"/>
            <w:vAlign w:val="bottom"/>
          </w:tcPr>
          <w:p w:rsidR="00732C2A" w:rsidRPr="007C2D51" w:rsidRDefault="00732C2A" w:rsidP="001739B2">
            <w:pPr>
              <w:jc w:val="right"/>
              <w:cnfStyle w:val="000000000000"/>
              <w:rPr>
                <w:rFonts w:cs="Calibri"/>
                <w:color w:val="000000"/>
              </w:rPr>
            </w:pPr>
            <w:r w:rsidRPr="007C2D51">
              <w:rPr>
                <w:rFonts w:cs="Calibri"/>
                <w:color w:val="000000"/>
              </w:rPr>
              <w:t>1,729,778</w:t>
            </w:r>
          </w:p>
        </w:tc>
        <w:tc>
          <w:tcPr>
            <w:tcW w:w="0" w:type="auto"/>
            <w:vAlign w:val="bottom"/>
          </w:tcPr>
          <w:p w:rsidR="00732C2A" w:rsidRPr="007C2D51" w:rsidRDefault="00732C2A" w:rsidP="001739B2">
            <w:pPr>
              <w:jc w:val="right"/>
              <w:cnfStyle w:val="000000000000"/>
              <w:rPr>
                <w:rFonts w:cs="Calibri"/>
                <w:color w:val="000000"/>
              </w:rPr>
            </w:pPr>
            <w:r w:rsidRPr="007C2D51">
              <w:rPr>
                <w:rFonts w:cs="Calibri"/>
                <w:color w:val="000000"/>
              </w:rPr>
              <w:t>7%</w:t>
            </w:r>
          </w:p>
        </w:tc>
        <w:tc>
          <w:tcPr>
            <w:tcW w:w="0" w:type="auto"/>
            <w:vAlign w:val="bottom"/>
          </w:tcPr>
          <w:p w:rsidR="00732C2A" w:rsidRPr="007C2D51" w:rsidRDefault="00732C2A" w:rsidP="001739B2">
            <w:pPr>
              <w:jc w:val="right"/>
              <w:cnfStyle w:val="000000000000"/>
              <w:rPr>
                <w:rFonts w:cs="Calibri"/>
                <w:color w:val="000000"/>
              </w:rPr>
            </w:pPr>
            <w:r w:rsidRPr="007C2D51">
              <w:rPr>
                <w:rFonts w:cs="Calibri"/>
                <w:color w:val="000000"/>
              </w:rPr>
              <w:t>429,353</w:t>
            </w:r>
          </w:p>
        </w:tc>
        <w:tc>
          <w:tcPr>
            <w:tcW w:w="0" w:type="auto"/>
            <w:vAlign w:val="bottom"/>
          </w:tcPr>
          <w:p w:rsidR="00732C2A" w:rsidRPr="007C2D51" w:rsidRDefault="00732C2A" w:rsidP="001739B2">
            <w:pPr>
              <w:jc w:val="right"/>
              <w:cnfStyle w:val="000000000000"/>
              <w:rPr>
                <w:rFonts w:cs="Calibri"/>
                <w:color w:val="000000"/>
              </w:rPr>
            </w:pPr>
            <w:r w:rsidRPr="007C2D51">
              <w:rPr>
                <w:rFonts w:cs="Calibri"/>
                <w:color w:val="000000"/>
              </w:rPr>
              <w:t>3%</w:t>
            </w:r>
          </w:p>
        </w:tc>
      </w:tr>
      <w:tr w:rsidR="00732C2A" w:rsidRPr="007C2D51" w:rsidTr="00BF096B">
        <w:trPr>
          <w:cnfStyle w:val="000000100000"/>
          <w:jc w:val="center"/>
        </w:trPr>
        <w:tc>
          <w:tcPr>
            <w:cnfStyle w:val="001000000000"/>
            <w:tcW w:w="0" w:type="auto"/>
            <w:tcBorders>
              <w:top w:val="none" w:sz="0" w:space="0" w:color="auto"/>
              <w:left w:val="none" w:sz="0" w:space="0" w:color="auto"/>
              <w:bottom w:val="none" w:sz="0" w:space="0" w:color="auto"/>
            </w:tcBorders>
            <w:vAlign w:val="bottom"/>
          </w:tcPr>
          <w:p w:rsidR="00732C2A" w:rsidRPr="007C2D51" w:rsidRDefault="00732C2A" w:rsidP="001739B2">
            <w:r w:rsidRPr="007C2D51">
              <w:t>Shuttle feeder</w:t>
            </w:r>
          </w:p>
        </w:tc>
        <w:tc>
          <w:tcPr>
            <w:tcW w:w="0" w:type="auto"/>
            <w:tcBorders>
              <w:top w:val="none" w:sz="0" w:space="0" w:color="auto"/>
              <w:bottom w:val="none" w:sz="0" w:space="0" w:color="auto"/>
            </w:tcBorders>
            <w:vAlign w:val="bottom"/>
          </w:tcPr>
          <w:p w:rsidR="00732C2A" w:rsidRPr="007C2D51" w:rsidRDefault="00732C2A" w:rsidP="001739B2">
            <w:pPr>
              <w:jc w:val="right"/>
              <w:cnfStyle w:val="000000100000"/>
              <w:rPr>
                <w:rFonts w:cs="Calibri"/>
                <w:color w:val="000000"/>
              </w:rPr>
            </w:pPr>
            <w:r w:rsidRPr="007C2D51">
              <w:rPr>
                <w:rFonts w:cs="Calibri"/>
                <w:color w:val="000000"/>
              </w:rPr>
              <w:t>1,399,802</w:t>
            </w:r>
          </w:p>
        </w:tc>
        <w:tc>
          <w:tcPr>
            <w:tcW w:w="0" w:type="auto"/>
            <w:tcBorders>
              <w:top w:val="none" w:sz="0" w:space="0" w:color="auto"/>
              <w:bottom w:val="none" w:sz="0" w:space="0" w:color="auto"/>
            </w:tcBorders>
            <w:vAlign w:val="bottom"/>
          </w:tcPr>
          <w:p w:rsidR="00732C2A" w:rsidRPr="007C2D51" w:rsidRDefault="00732C2A" w:rsidP="001739B2">
            <w:pPr>
              <w:jc w:val="right"/>
              <w:cnfStyle w:val="000000100000"/>
              <w:rPr>
                <w:rFonts w:cs="Calibri"/>
                <w:color w:val="000000"/>
              </w:rPr>
            </w:pPr>
            <w:r w:rsidRPr="007C2D51">
              <w:rPr>
                <w:rFonts w:cs="Calibri"/>
                <w:color w:val="000000"/>
              </w:rPr>
              <w:t>3%</w:t>
            </w:r>
          </w:p>
        </w:tc>
        <w:tc>
          <w:tcPr>
            <w:tcW w:w="0" w:type="auto"/>
            <w:tcBorders>
              <w:top w:val="none" w:sz="0" w:space="0" w:color="auto"/>
              <w:bottom w:val="none" w:sz="0" w:space="0" w:color="auto"/>
            </w:tcBorders>
            <w:vAlign w:val="bottom"/>
          </w:tcPr>
          <w:p w:rsidR="00732C2A" w:rsidRPr="007C2D51" w:rsidRDefault="00732C2A" w:rsidP="001739B2">
            <w:pPr>
              <w:jc w:val="right"/>
              <w:cnfStyle w:val="000000100000"/>
              <w:rPr>
                <w:rFonts w:cs="Calibri"/>
                <w:color w:val="000000"/>
              </w:rPr>
            </w:pPr>
            <w:r w:rsidRPr="007C2D51">
              <w:rPr>
                <w:rFonts w:cs="Calibri"/>
                <w:color w:val="000000"/>
              </w:rPr>
              <w:t>672,293</w:t>
            </w:r>
          </w:p>
        </w:tc>
        <w:tc>
          <w:tcPr>
            <w:tcW w:w="0" w:type="auto"/>
            <w:tcBorders>
              <w:top w:val="none" w:sz="0" w:space="0" w:color="auto"/>
              <w:bottom w:val="none" w:sz="0" w:space="0" w:color="auto"/>
            </w:tcBorders>
            <w:vAlign w:val="bottom"/>
          </w:tcPr>
          <w:p w:rsidR="00732C2A" w:rsidRPr="007C2D51" w:rsidRDefault="00732C2A" w:rsidP="001739B2">
            <w:pPr>
              <w:jc w:val="right"/>
              <w:cnfStyle w:val="000000100000"/>
              <w:rPr>
                <w:rFonts w:cs="Calibri"/>
                <w:color w:val="000000"/>
              </w:rPr>
            </w:pPr>
            <w:r w:rsidRPr="007C2D51">
              <w:rPr>
                <w:rFonts w:cs="Calibri"/>
                <w:color w:val="000000"/>
              </w:rPr>
              <w:t>3%</w:t>
            </w:r>
          </w:p>
        </w:tc>
        <w:tc>
          <w:tcPr>
            <w:tcW w:w="0" w:type="auto"/>
            <w:tcBorders>
              <w:top w:val="none" w:sz="0" w:space="0" w:color="auto"/>
              <w:bottom w:val="none" w:sz="0" w:space="0" w:color="auto"/>
            </w:tcBorders>
            <w:vAlign w:val="bottom"/>
          </w:tcPr>
          <w:p w:rsidR="00732C2A" w:rsidRPr="007C2D51" w:rsidRDefault="00732C2A" w:rsidP="001739B2">
            <w:pPr>
              <w:jc w:val="right"/>
              <w:cnfStyle w:val="000000100000"/>
              <w:rPr>
                <w:rFonts w:cs="Calibri"/>
                <w:color w:val="000000"/>
              </w:rPr>
            </w:pPr>
            <w:r w:rsidRPr="007C2D51">
              <w:rPr>
                <w:rFonts w:cs="Calibri"/>
                <w:color w:val="000000"/>
              </w:rPr>
              <w:t>368,961</w:t>
            </w:r>
          </w:p>
        </w:tc>
        <w:tc>
          <w:tcPr>
            <w:tcW w:w="0" w:type="auto"/>
            <w:tcBorders>
              <w:top w:val="none" w:sz="0" w:space="0" w:color="auto"/>
              <w:bottom w:val="none" w:sz="0" w:space="0" w:color="auto"/>
              <w:right w:val="none" w:sz="0" w:space="0" w:color="auto"/>
            </w:tcBorders>
            <w:vAlign w:val="bottom"/>
          </w:tcPr>
          <w:p w:rsidR="00732C2A" w:rsidRPr="007C2D51" w:rsidRDefault="00732C2A" w:rsidP="001739B2">
            <w:pPr>
              <w:jc w:val="right"/>
              <w:cnfStyle w:val="000000100000"/>
              <w:rPr>
                <w:rFonts w:cs="Calibri"/>
                <w:color w:val="000000"/>
              </w:rPr>
            </w:pPr>
            <w:r w:rsidRPr="007C2D51">
              <w:rPr>
                <w:rFonts w:cs="Calibri"/>
                <w:color w:val="000000"/>
              </w:rPr>
              <w:t>2%</w:t>
            </w:r>
          </w:p>
        </w:tc>
      </w:tr>
      <w:tr w:rsidR="00732C2A" w:rsidRPr="007C2D51" w:rsidTr="00BF096B">
        <w:trPr>
          <w:jc w:val="center"/>
        </w:trPr>
        <w:tc>
          <w:tcPr>
            <w:cnfStyle w:val="001000000000"/>
            <w:tcW w:w="0" w:type="auto"/>
            <w:vAlign w:val="bottom"/>
          </w:tcPr>
          <w:p w:rsidR="00732C2A" w:rsidRPr="007C2D51" w:rsidRDefault="00732C2A" w:rsidP="001739B2">
            <w:r w:rsidRPr="007C2D51">
              <w:t>Total jobs</w:t>
            </w:r>
          </w:p>
        </w:tc>
        <w:tc>
          <w:tcPr>
            <w:tcW w:w="0" w:type="auto"/>
            <w:vAlign w:val="bottom"/>
          </w:tcPr>
          <w:p w:rsidR="00732C2A" w:rsidRPr="007C2D51" w:rsidRDefault="00732C2A" w:rsidP="001739B2">
            <w:pPr>
              <w:jc w:val="right"/>
              <w:cnfStyle w:val="000000000000"/>
              <w:rPr>
                <w:rFonts w:cs="Calibri"/>
                <w:b/>
                <w:color w:val="000000"/>
              </w:rPr>
            </w:pPr>
            <w:r w:rsidRPr="007C2D51">
              <w:rPr>
                <w:rFonts w:cs="Calibri"/>
                <w:b/>
                <w:color w:val="000000"/>
              </w:rPr>
              <w:t>53,648,352</w:t>
            </w:r>
          </w:p>
        </w:tc>
        <w:tc>
          <w:tcPr>
            <w:tcW w:w="0" w:type="auto"/>
            <w:vAlign w:val="bottom"/>
          </w:tcPr>
          <w:p w:rsidR="00732C2A" w:rsidRPr="007C2D51" w:rsidRDefault="00732C2A" w:rsidP="001739B2">
            <w:pPr>
              <w:jc w:val="right"/>
              <w:cnfStyle w:val="000000000000"/>
              <w:rPr>
                <w:rFonts w:cs="Calibri"/>
                <w:b/>
                <w:color w:val="000000"/>
              </w:rPr>
            </w:pPr>
            <w:r w:rsidRPr="007C2D51">
              <w:rPr>
                <w:rFonts w:cs="Calibri"/>
                <w:b/>
                <w:color w:val="000000"/>
              </w:rPr>
              <w:t>100%</w:t>
            </w:r>
          </w:p>
        </w:tc>
        <w:tc>
          <w:tcPr>
            <w:tcW w:w="0" w:type="auto"/>
            <w:vAlign w:val="bottom"/>
          </w:tcPr>
          <w:p w:rsidR="00732C2A" w:rsidRPr="007C2D51" w:rsidRDefault="00732C2A" w:rsidP="001739B2">
            <w:pPr>
              <w:jc w:val="right"/>
              <w:cnfStyle w:val="000000000000"/>
              <w:rPr>
                <w:rFonts w:cs="Calibri"/>
                <w:b/>
                <w:color w:val="000000"/>
              </w:rPr>
            </w:pPr>
            <w:r w:rsidRPr="007C2D51">
              <w:rPr>
                <w:rFonts w:cs="Calibri"/>
                <w:b/>
                <w:color w:val="000000"/>
              </w:rPr>
              <w:t>26,474,447</w:t>
            </w:r>
          </w:p>
        </w:tc>
        <w:tc>
          <w:tcPr>
            <w:tcW w:w="0" w:type="auto"/>
            <w:vAlign w:val="bottom"/>
          </w:tcPr>
          <w:p w:rsidR="00732C2A" w:rsidRPr="007C2D51" w:rsidRDefault="00732C2A" w:rsidP="001739B2">
            <w:pPr>
              <w:jc w:val="right"/>
              <w:cnfStyle w:val="000000000000"/>
              <w:rPr>
                <w:rFonts w:cs="Calibri"/>
                <w:b/>
                <w:color w:val="000000"/>
              </w:rPr>
            </w:pPr>
            <w:r w:rsidRPr="007C2D51">
              <w:rPr>
                <w:rFonts w:cs="Calibri"/>
                <w:b/>
                <w:color w:val="000000"/>
              </w:rPr>
              <w:t>100%</w:t>
            </w:r>
          </w:p>
        </w:tc>
        <w:tc>
          <w:tcPr>
            <w:tcW w:w="0" w:type="auto"/>
            <w:vAlign w:val="bottom"/>
          </w:tcPr>
          <w:p w:rsidR="00732C2A" w:rsidRPr="007C2D51" w:rsidRDefault="00732C2A" w:rsidP="001739B2">
            <w:pPr>
              <w:jc w:val="right"/>
              <w:cnfStyle w:val="000000000000"/>
              <w:rPr>
                <w:rFonts w:cs="Calibri"/>
                <w:b/>
                <w:color w:val="000000"/>
              </w:rPr>
            </w:pPr>
            <w:r w:rsidRPr="007C2D51">
              <w:rPr>
                <w:rFonts w:cs="Calibri"/>
                <w:b/>
                <w:color w:val="000000"/>
              </w:rPr>
              <w:t>15,923,575</w:t>
            </w:r>
          </w:p>
        </w:tc>
        <w:tc>
          <w:tcPr>
            <w:tcW w:w="0" w:type="auto"/>
            <w:vAlign w:val="bottom"/>
          </w:tcPr>
          <w:p w:rsidR="00732C2A" w:rsidRPr="007C2D51" w:rsidRDefault="00732C2A" w:rsidP="001739B2">
            <w:pPr>
              <w:jc w:val="right"/>
              <w:cnfStyle w:val="000000000000"/>
              <w:rPr>
                <w:rFonts w:cs="Calibri"/>
                <w:b/>
                <w:color w:val="000000"/>
              </w:rPr>
            </w:pPr>
            <w:r w:rsidRPr="007C2D51">
              <w:rPr>
                <w:rFonts w:cs="Calibri"/>
                <w:b/>
                <w:color w:val="000000"/>
              </w:rPr>
              <w:t>100%</w:t>
            </w:r>
          </w:p>
        </w:tc>
      </w:tr>
    </w:tbl>
    <w:p w:rsidR="00732C2A" w:rsidRPr="007C2D51" w:rsidRDefault="00732C2A" w:rsidP="003475DA">
      <w:pPr>
        <w:pStyle w:val="BodyText"/>
      </w:pPr>
    </w:p>
    <w:p w:rsidR="003475DA" w:rsidRPr="007C2D51" w:rsidRDefault="003475DA" w:rsidP="003475DA">
      <w:pPr>
        <w:pStyle w:val="BodyText"/>
      </w:pPr>
      <w:r w:rsidRPr="007C2D51">
        <w:t>The findings reflect the data reported by grantees and do not incorporate any expansion factors or other efforts to interpret missing records</w:t>
      </w:r>
      <w:r w:rsidR="00CE332B" w:rsidRPr="007C2D51">
        <w:t xml:space="preserve">.  </w:t>
      </w:r>
    </w:p>
    <w:p w:rsidR="003475DA" w:rsidRPr="007C2D51" w:rsidRDefault="003475DA" w:rsidP="003475DA"/>
    <w:p w:rsidR="003475DA" w:rsidRPr="007C2D51" w:rsidRDefault="003475DA" w:rsidP="003475DA">
      <w:pPr>
        <w:sectPr w:rsidR="003475DA" w:rsidRPr="007C2D51">
          <w:footerReference w:type="default" r:id="rId41"/>
          <w:pgSz w:w="12240" w:h="15840"/>
          <w:pgMar w:top="1440" w:right="1440" w:bottom="1440" w:left="1440" w:header="720" w:footer="720" w:gutter="0"/>
          <w:pgNumType w:start="1"/>
          <w:cols w:space="720"/>
          <w:docGrid w:linePitch="360"/>
        </w:sectPr>
      </w:pPr>
    </w:p>
    <w:p w:rsidR="00656427" w:rsidRPr="007C2D51" w:rsidRDefault="00656427" w:rsidP="005606E4">
      <w:pPr>
        <w:pStyle w:val="Appendix"/>
      </w:pPr>
      <w:r w:rsidRPr="007C2D51">
        <w:lastRenderedPageBreak/>
        <w:t>Appendix C</w:t>
      </w:r>
      <w:r w:rsidRPr="007C2D51">
        <w:br/>
        <w:t>JARC Service Profiles</w:t>
      </w:r>
    </w:p>
    <w:p w:rsidR="00B13A89" w:rsidRPr="007C2D51" w:rsidRDefault="00B13A89" w:rsidP="00B13A89"/>
    <w:p w:rsidR="00656427" w:rsidRPr="007C2D51" w:rsidRDefault="00656427" w:rsidP="00B13A89">
      <w:r w:rsidRPr="007C2D51">
        <w:t>Under separate cover.</w:t>
      </w:r>
    </w:p>
    <w:sectPr w:rsidR="00656427" w:rsidRPr="007C2D51" w:rsidSect="00C739EF">
      <w:footerReference w:type="default" r:id="rId42"/>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4636" w:rsidRDefault="004A4636">
      <w:r>
        <w:separator/>
      </w:r>
    </w:p>
    <w:p w:rsidR="004A4636" w:rsidRDefault="004A4636"/>
    <w:p w:rsidR="004A4636" w:rsidRDefault="004A4636"/>
    <w:p w:rsidR="004A4636" w:rsidRDefault="004A4636"/>
    <w:p w:rsidR="004A4636" w:rsidRDefault="004A4636"/>
  </w:endnote>
  <w:endnote w:type="continuationSeparator" w:id="0">
    <w:p w:rsidR="004A4636" w:rsidRDefault="004A4636">
      <w:r>
        <w:continuationSeparator/>
      </w:r>
    </w:p>
    <w:p w:rsidR="004A4636" w:rsidRDefault="004A4636"/>
    <w:p w:rsidR="004A4636" w:rsidRDefault="004A4636"/>
    <w:p w:rsidR="004A4636" w:rsidRDefault="004A4636"/>
    <w:p w:rsidR="004A4636" w:rsidRDefault="004A4636"/>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94094"/>
      <w:docPartObj>
        <w:docPartGallery w:val="Page Numbers (Bottom of Page)"/>
        <w:docPartUnique/>
      </w:docPartObj>
    </w:sdtPr>
    <w:sdtContent>
      <w:p w:rsidR="00F15767" w:rsidRDefault="00F15767">
        <w:pPr>
          <w:pStyle w:val="Footer"/>
          <w:jc w:val="center"/>
        </w:pPr>
        <w:r>
          <w:t>[</w:t>
        </w:r>
        <w:fldSimple w:instr=" PAGE   \* MERGEFORMAT ">
          <w:r>
            <w:rPr>
              <w:noProof/>
            </w:rPr>
            <w:t>50</w:t>
          </w:r>
        </w:fldSimple>
        <w:r>
          <w:t>]</w:t>
        </w:r>
      </w:p>
    </w:sdtContent>
  </w:sdt>
  <w:p w:rsidR="00F15767" w:rsidRDefault="00F15767">
    <w:pPr>
      <w:pStyle w:val="NoSpacing"/>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94111"/>
      <w:docPartObj>
        <w:docPartGallery w:val="Page Numbers (Bottom of Page)"/>
        <w:docPartUnique/>
      </w:docPartObj>
    </w:sdtPr>
    <w:sdtContent>
      <w:p w:rsidR="00F15767" w:rsidRDefault="00F15767">
        <w:pPr>
          <w:pStyle w:val="Footer"/>
          <w:jc w:val="center"/>
        </w:pPr>
        <w:r>
          <w:t>[</w:t>
        </w:r>
        <w:fldSimple w:instr=" PAGE   \* MERGEFORMAT ">
          <w:r w:rsidR="006D677C">
            <w:rPr>
              <w:noProof/>
            </w:rPr>
            <w:t>vii</w:t>
          </w:r>
        </w:fldSimple>
        <w:r>
          <w:t>]</w:t>
        </w:r>
      </w:p>
    </w:sdtContent>
  </w:sdt>
  <w:p w:rsidR="00F15767" w:rsidRDefault="00F15767">
    <w:pPr>
      <w:pStyle w:val="NoSpacing"/>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88242"/>
      <w:docPartObj>
        <w:docPartGallery w:val="Page Numbers (Bottom of Page)"/>
        <w:docPartUnique/>
      </w:docPartObj>
    </w:sdtPr>
    <w:sdtContent>
      <w:p w:rsidR="00F15767" w:rsidRDefault="00F15767">
        <w:pPr>
          <w:pStyle w:val="Footer"/>
          <w:jc w:val="center"/>
        </w:pPr>
        <w:r>
          <w:t>[</w:t>
        </w:r>
        <w:fldSimple w:instr=" PAGE   \* MERGEFORMAT ">
          <w:r w:rsidR="006D677C">
            <w:rPr>
              <w:noProof/>
            </w:rPr>
            <w:t>i</w:t>
          </w:r>
        </w:fldSimple>
        <w:r>
          <w:t>]</w:t>
        </w:r>
      </w:p>
    </w:sdtContent>
  </w:sdt>
  <w:p w:rsidR="00F15767" w:rsidRDefault="00F15767">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88243"/>
      <w:docPartObj>
        <w:docPartGallery w:val="Page Numbers (Bottom of Page)"/>
        <w:docPartUnique/>
      </w:docPartObj>
    </w:sdtPr>
    <w:sdtContent>
      <w:p w:rsidR="00F15767" w:rsidRDefault="00F15767">
        <w:pPr>
          <w:pStyle w:val="Footer"/>
          <w:jc w:val="center"/>
        </w:pPr>
        <w:r>
          <w:t>[A-</w:t>
        </w:r>
        <w:fldSimple w:instr=" PAGE   \* MERGEFORMAT ">
          <w:r w:rsidR="006D677C">
            <w:rPr>
              <w:noProof/>
            </w:rPr>
            <w:t>4</w:t>
          </w:r>
        </w:fldSimple>
        <w:r>
          <w:t>]</w:t>
        </w:r>
      </w:p>
    </w:sdtContent>
  </w:sdt>
  <w:p w:rsidR="00F15767" w:rsidRDefault="00F15767">
    <w:pPr>
      <w:pStyle w:val="NoSpacing"/>
      <w:rPr>
        <w:sz w:val="2"/>
        <w:szCs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88244"/>
      <w:docPartObj>
        <w:docPartGallery w:val="Page Numbers (Bottom of Page)"/>
        <w:docPartUnique/>
      </w:docPartObj>
    </w:sdtPr>
    <w:sdtContent>
      <w:p w:rsidR="00F15767" w:rsidRDefault="00F15767">
        <w:pPr>
          <w:pStyle w:val="Footer"/>
          <w:jc w:val="center"/>
        </w:pPr>
        <w:r>
          <w:t>[A-</w:t>
        </w:r>
        <w:fldSimple w:instr=" PAGE   \* MERGEFORMAT ">
          <w:r>
            <w:rPr>
              <w:noProof/>
            </w:rPr>
            <w:t>1</w:t>
          </w:r>
        </w:fldSimple>
        <w:r>
          <w:t>]</w:t>
        </w:r>
      </w:p>
    </w:sdtContent>
  </w:sdt>
  <w:p w:rsidR="00F15767" w:rsidRDefault="00F15767">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88245"/>
      <w:docPartObj>
        <w:docPartGallery w:val="Page Numbers (Bottom of Page)"/>
        <w:docPartUnique/>
      </w:docPartObj>
    </w:sdtPr>
    <w:sdtContent>
      <w:p w:rsidR="00F15767" w:rsidRDefault="00F15767">
        <w:pPr>
          <w:pStyle w:val="Footer"/>
          <w:jc w:val="center"/>
        </w:pPr>
        <w:r>
          <w:t>[B-</w:t>
        </w:r>
        <w:fldSimple w:instr=" PAGE   \* MERGEFORMAT ">
          <w:r w:rsidR="006D677C">
            <w:rPr>
              <w:noProof/>
            </w:rPr>
            <w:t>16</w:t>
          </w:r>
        </w:fldSimple>
        <w:r>
          <w:t>]</w:t>
        </w:r>
      </w:p>
    </w:sdtContent>
  </w:sdt>
  <w:p w:rsidR="00F15767" w:rsidRDefault="00F15767">
    <w:pPr>
      <w:pStyle w:val="NoSpacing"/>
      <w:rPr>
        <w:sz w:val="2"/>
        <w:szCs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9628"/>
      <w:docPartObj>
        <w:docPartGallery w:val="Page Numbers (Bottom of Page)"/>
        <w:docPartUnique/>
      </w:docPartObj>
    </w:sdtPr>
    <w:sdtContent>
      <w:p w:rsidR="00F15767" w:rsidRDefault="00F15767">
        <w:pPr>
          <w:pStyle w:val="Footer"/>
          <w:jc w:val="center"/>
        </w:pPr>
        <w:r>
          <w:t>[C-</w:t>
        </w:r>
        <w:fldSimple w:instr=" PAGE   \* MERGEFORMAT ">
          <w:r w:rsidR="006D677C">
            <w:rPr>
              <w:noProof/>
            </w:rPr>
            <w:t>1</w:t>
          </w:r>
        </w:fldSimple>
        <w:r>
          <w:t>]</w:t>
        </w:r>
      </w:p>
    </w:sdtContent>
  </w:sdt>
  <w:p w:rsidR="00F15767" w:rsidRDefault="00F15767">
    <w:pPr>
      <w:pStyle w:val="NoSpacing"/>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4636" w:rsidRDefault="004A4636">
      <w:r>
        <w:separator/>
      </w:r>
    </w:p>
    <w:p w:rsidR="004A4636" w:rsidRDefault="004A4636"/>
    <w:p w:rsidR="004A4636" w:rsidRDefault="004A4636"/>
    <w:p w:rsidR="004A4636" w:rsidRDefault="004A4636"/>
    <w:p w:rsidR="004A4636" w:rsidRDefault="004A4636"/>
  </w:footnote>
  <w:footnote w:type="continuationSeparator" w:id="0">
    <w:p w:rsidR="004A4636" w:rsidRDefault="004A4636">
      <w:r>
        <w:continuationSeparator/>
      </w:r>
    </w:p>
    <w:p w:rsidR="004A4636" w:rsidRDefault="004A4636"/>
    <w:p w:rsidR="004A4636" w:rsidRDefault="004A4636"/>
    <w:p w:rsidR="004A4636" w:rsidRDefault="004A4636"/>
    <w:p w:rsidR="004A4636" w:rsidRDefault="004A4636"/>
  </w:footnote>
  <w:footnote w:id="1">
    <w:p w:rsidR="00F15767" w:rsidRDefault="00F15767">
      <w:pPr>
        <w:pStyle w:val="FootnoteText"/>
      </w:pPr>
      <w:r>
        <w:rPr>
          <w:rStyle w:val="FootnoteReference"/>
        </w:rPr>
        <w:footnoteRef/>
      </w:r>
      <w:r>
        <w:t xml:space="preserve"> Reports from </w:t>
      </w:r>
      <w:r w:rsidRPr="007D5DA1">
        <w:t>CES and TranSystems on JARC</w:t>
      </w:r>
      <w:r>
        <w:t xml:space="preserve"> services in operation from FY 2006 through FY 2009 </w:t>
      </w:r>
      <w:r w:rsidRPr="007D5DA1">
        <w:t xml:space="preserve">can be found on the JARC program page of the FTA website at </w:t>
      </w:r>
      <w:r>
        <w:t>h</w:t>
      </w:r>
      <w:r w:rsidRPr="008A15CE">
        <w:t>ttp://www.fta.dot.gov/funding/grants/grants_financing_9292.html</w:t>
      </w:r>
      <w:r>
        <w:t>.</w:t>
      </w:r>
    </w:p>
  </w:footnote>
  <w:footnote w:id="2">
    <w:p w:rsidR="00F15767" w:rsidRPr="003F6B56" w:rsidRDefault="00F15767" w:rsidP="00EF235F">
      <w:pPr>
        <w:pStyle w:val="FootnoteText"/>
      </w:pPr>
      <w:r>
        <w:rPr>
          <w:rStyle w:val="FootnoteReference"/>
        </w:rPr>
        <w:footnoteRef/>
      </w:r>
      <w:r>
        <w:t xml:space="preserve"> </w:t>
      </w:r>
      <w:r w:rsidRPr="00C92BE6">
        <w:rPr>
          <w:i/>
        </w:rPr>
        <w:t>20</w:t>
      </w:r>
      <w:r>
        <w:rPr>
          <w:i/>
        </w:rPr>
        <w:t>11</w:t>
      </w:r>
      <w:r w:rsidRPr="00C92BE6">
        <w:rPr>
          <w:i/>
        </w:rPr>
        <w:t>Public Transportation Fact Book</w:t>
      </w:r>
      <w:r>
        <w:rPr>
          <w:i/>
        </w:rPr>
        <w:t xml:space="preserve">.  </w:t>
      </w:r>
      <w:r w:rsidRPr="003F6B56">
        <w:t xml:space="preserve">Available online at: </w:t>
      </w:r>
      <w:hyperlink r:id="rId1" w:history="1">
        <w:r w:rsidRPr="00F438CC">
          <w:rPr>
            <w:rStyle w:val="Hyperlink"/>
          </w:rPr>
          <w:t>http://apta.com/resources/statistics/Documents/FactBook/APTA_2011_Fact_Book.pdf</w:t>
        </w:r>
      </w:hyperlink>
    </w:p>
  </w:footnote>
  <w:footnote w:id="3">
    <w:p w:rsidR="00F15767" w:rsidRPr="00C92BE6" w:rsidRDefault="00F15767" w:rsidP="003475DA">
      <w:pPr>
        <w:pStyle w:val="FootnoteText"/>
      </w:pPr>
      <w:r>
        <w:rPr>
          <w:rStyle w:val="FootnoteReference"/>
        </w:rPr>
        <w:footnoteRef/>
      </w:r>
      <w:r>
        <w:t xml:space="preserve"> </w:t>
      </w:r>
      <w:r w:rsidRPr="00C92BE6">
        <w:rPr>
          <w:i/>
        </w:rPr>
        <w:t>2009 Public Transportation Fact Book</w:t>
      </w:r>
      <w:r>
        <w:rPr>
          <w:i/>
        </w:rPr>
        <w:t xml:space="preserve">  </w:t>
      </w:r>
      <w:r>
        <w:rPr>
          <w:i/>
        </w:rPr>
        <w:br/>
      </w:r>
      <w:r w:rsidRPr="00C92BE6">
        <w:t>Accessed at</w:t>
      </w:r>
      <w:r>
        <w:t>:</w:t>
      </w:r>
      <w:r w:rsidRPr="00C92BE6">
        <w:t xml:space="preserve">  http://www.apta.com/gap/policyresearch/Documents/APTA_2009_Fact_Book.pdf</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507790"/>
      <w:dataBinding w:prefixMappings="xmlns:ns0='http://schemas.openxmlformats.org/package/2006/metadata/core-properties' xmlns:ns1='http://purl.org/dc/elements/1.1/'" w:xpath="/ns0:coreProperties[1]/ns1:creator[1]" w:storeItemID="{6C3C8BC8-F283-45AE-878A-BAB7291924A1}"/>
      <w:text/>
    </w:sdtPr>
    <w:sdtContent>
      <w:p w:rsidR="00F15767" w:rsidRDefault="00F15767">
        <w:pPr>
          <w:pStyle w:val="Header"/>
          <w:pBdr>
            <w:bottom w:val="single" w:sz="4" w:space="0" w:color="auto"/>
          </w:pBdr>
        </w:pPr>
        <w:r>
          <w:t>CES, Inc.</w:t>
        </w:r>
      </w:p>
    </w:sdtContent>
  </w:sdt>
  <w:p w:rsidR="00F15767" w:rsidRDefault="00F1576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282920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3E3A2B"/>
    <w:multiLevelType w:val="hybridMultilevel"/>
    <w:tmpl w:val="8F566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87069D"/>
    <w:multiLevelType w:val="hybridMultilevel"/>
    <w:tmpl w:val="801C3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8C70C3"/>
    <w:multiLevelType w:val="hybridMultilevel"/>
    <w:tmpl w:val="3FB45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0E28BF"/>
    <w:multiLevelType w:val="hybridMultilevel"/>
    <w:tmpl w:val="DF1AA88C"/>
    <w:lvl w:ilvl="0" w:tplc="299002B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4B7CF1"/>
    <w:multiLevelType w:val="multilevel"/>
    <w:tmpl w:val="7AC6A14E"/>
    <w:styleLink w:val="UrbanNumberedList"/>
    <w:lvl w:ilvl="0">
      <w:start w:val="1"/>
      <w:numFmt w:val="decimal"/>
      <w:lvlText w:val="%1."/>
      <w:lvlJc w:val="left"/>
      <w:pPr>
        <w:ind w:left="288" w:hanging="288"/>
      </w:pPr>
      <w:rPr>
        <w:rFonts w:asciiTheme="minorHAnsi" w:hAnsiTheme="minorHAnsi" w:hint="default"/>
        <w:i w:val="0"/>
        <w:color w:val="C32D2E" w:themeColor="accent3"/>
        <w:sz w:val="20"/>
      </w:rPr>
    </w:lvl>
    <w:lvl w:ilvl="1">
      <w:start w:val="1"/>
      <w:numFmt w:val="upperLetter"/>
      <w:lvlText w:val="%2."/>
      <w:lvlJc w:val="left"/>
      <w:pPr>
        <w:ind w:left="792" w:hanging="288"/>
      </w:pPr>
      <w:rPr>
        <w:rFonts w:asciiTheme="minorHAnsi" w:hAnsiTheme="minorHAnsi" w:hint="default"/>
        <w:b w:val="0"/>
        <w:i w:val="0"/>
        <w:color w:val="FEB80A" w:themeColor="accent2"/>
        <w:sz w:val="20"/>
      </w:rPr>
    </w:lvl>
    <w:lvl w:ilvl="2">
      <w:start w:val="1"/>
      <w:numFmt w:val="lowerRoman"/>
      <w:lvlText w:val="%3."/>
      <w:lvlJc w:val="right"/>
      <w:pPr>
        <w:ind w:left="1296" w:hanging="288"/>
      </w:pPr>
      <w:rPr>
        <w:rFonts w:asciiTheme="minorHAnsi" w:hAnsiTheme="minorHAnsi" w:hint="default"/>
        <w:b w:val="0"/>
        <w:i w:val="0"/>
        <w:color w:val="3891A7" w:themeColor="accent1"/>
        <w:sz w:val="20"/>
      </w:rPr>
    </w:lvl>
    <w:lvl w:ilvl="3">
      <w:start w:val="1"/>
      <w:numFmt w:val="decimal"/>
      <w:lvlText w:val="%4."/>
      <w:lvlJc w:val="left"/>
      <w:pPr>
        <w:ind w:left="1800" w:hanging="288"/>
      </w:pPr>
      <w:rPr>
        <w:rFonts w:asciiTheme="minorHAnsi" w:hAnsiTheme="minorHAnsi" w:hint="default"/>
        <w:b w:val="0"/>
        <w:i w:val="0"/>
        <w:color w:val="3891A7" w:themeColor="accent1"/>
        <w:sz w:val="20"/>
      </w:rPr>
    </w:lvl>
    <w:lvl w:ilvl="4">
      <w:start w:val="1"/>
      <w:numFmt w:val="lowerLetter"/>
      <w:lvlText w:val="%5."/>
      <w:lvlJc w:val="left"/>
      <w:pPr>
        <w:ind w:left="2304" w:hanging="288"/>
      </w:pPr>
      <w:rPr>
        <w:rFonts w:asciiTheme="minorHAnsi" w:hAnsiTheme="minorHAnsi" w:hint="default"/>
        <w:b w:val="0"/>
        <w:i w:val="0"/>
        <w:color w:val="3891A7" w:themeColor="accent1"/>
        <w:sz w:val="20"/>
      </w:rPr>
    </w:lvl>
    <w:lvl w:ilvl="5">
      <w:start w:val="1"/>
      <w:numFmt w:val="lowerRoman"/>
      <w:lvlText w:val="%6."/>
      <w:lvlJc w:val="right"/>
      <w:pPr>
        <w:ind w:left="2808" w:hanging="288"/>
      </w:pPr>
      <w:rPr>
        <w:rFonts w:asciiTheme="minorHAnsi" w:hAnsiTheme="minorHAnsi" w:hint="default"/>
        <w:b w:val="0"/>
        <w:i w:val="0"/>
        <w:color w:val="3891A7" w:themeColor="accent1"/>
        <w:sz w:val="20"/>
      </w:rPr>
    </w:lvl>
    <w:lvl w:ilvl="6">
      <w:start w:val="1"/>
      <w:numFmt w:val="decimal"/>
      <w:lvlText w:val="%7."/>
      <w:lvlJc w:val="left"/>
      <w:pPr>
        <w:ind w:left="3312" w:hanging="288"/>
      </w:pPr>
      <w:rPr>
        <w:rFonts w:asciiTheme="minorHAnsi" w:hAnsiTheme="minorHAnsi" w:hint="default"/>
        <w:b w:val="0"/>
        <w:i w:val="0"/>
        <w:color w:val="3891A7" w:themeColor="accent1"/>
        <w:sz w:val="20"/>
      </w:rPr>
    </w:lvl>
    <w:lvl w:ilvl="7">
      <w:start w:val="1"/>
      <w:numFmt w:val="lowerLetter"/>
      <w:lvlText w:val="%8."/>
      <w:lvlJc w:val="left"/>
      <w:pPr>
        <w:ind w:left="3816" w:hanging="288"/>
      </w:pPr>
      <w:rPr>
        <w:rFonts w:asciiTheme="minorHAnsi" w:hAnsiTheme="minorHAnsi" w:hint="default"/>
        <w:b w:val="0"/>
        <w:i w:val="0"/>
        <w:color w:val="3891A7" w:themeColor="accent1"/>
        <w:sz w:val="20"/>
      </w:rPr>
    </w:lvl>
    <w:lvl w:ilvl="8">
      <w:start w:val="1"/>
      <w:numFmt w:val="lowerRoman"/>
      <w:lvlText w:val="%9."/>
      <w:lvlJc w:val="right"/>
      <w:pPr>
        <w:ind w:left="4320" w:hanging="288"/>
      </w:pPr>
      <w:rPr>
        <w:rFonts w:asciiTheme="minorHAnsi" w:hAnsiTheme="minorHAnsi" w:hint="default"/>
        <w:b w:val="0"/>
        <w:i w:val="0"/>
        <w:color w:val="3891A7" w:themeColor="accent1"/>
        <w:sz w:val="20"/>
      </w:rPr>
    </w:lvl>
  </w:abstractNum>
  <w:abstractNum w:abstractNumId="6">
    <w:nsid w:val="191C6C7F"/>
    <w:multiLevelType w:val="hybridMultilevel"/>
    <w:tmpl w:val="05945D4A"/>
    <w:lvl w:ilvl="0" w:tplc="3716D15A">
      <w:start w:val="1"/>
      <w:numFmt w:val="bullet"/>
      <w:pStyle w:val="ListBullet3"/>
      <w:lvlText w:val="-"/>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Arial Narro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Narro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Narro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D35B95"/>
    <w:multiLevelType w:val="hybridMultilevel"/>
    <w:tmpl w:val="72360038"/>
    <w:lvl w:ilvl="0" w:tplc="299002B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A21C04"/>
    <w:multiLevelType w:val="hybridMultilevel"/>
    <w:tmpl w:val="6DC8F2C6"/>
    <w:lvl w:ilvl="0" w:tplc="299002B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DB042F"/>
    <w:multiLevelType w:val="hybridMultilevel"/>
    <w:tmpl w:val="801C3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9C46A3"/>
    <w:multiLevelType w:val="multilevel"/>
    <w:tmpl w:val="33B056D0"/>
    <w:styleLink w:val="UrbanBulletedList"/>
    <w:lvl w:ilvl="0">
      <w:start w:val="1"/>
      <w:numFmt w:val="bullet"/>
      <w:pStyle w:val="Bullet1"/>
      <w:lvlText w:val=""/>
      <w:lvlJc w:val="left"/>
      <w:pPr>
        <w:ind w:left="216" w:hanging="216"/>
      </w:pPr>
      <w:rPr>
        <w:rFonts w:ascii="Symbol" w:hAnsi="Symbol" w:hint="default"/>
        <w:b w:val="0"/>
        <w:i w:val="0"/>
        <w:color w:val="C32D2E" w:themeColor="accent3"/>
        <w:sz w:val="18"/>
      </w:rPr>
    </w:lvl>
    <w:lvl w:ilvl="1">
      <w:start w:val="1"/>
      <w:numFmt w:val="bullet"/>
      <w:pStyle w:val="Bullet2"/>
      <w:lvlText w:val=""/>
      <w:lvlJc w:val="left"/>
      <w:pPr>
        <w:ind w:left="461" w:hanging="216"/>
      </w:pPr>
      <w:rPr>
        <w:rFonts w:ascii="Wingdings" w:hAnsi="Wingdings" w:hint="default"/>
        <w:b w:val="0"/>
        <w:i w:val="0"/>
        <w:color w:val="FEB80A" w:themeColor="accent2"/>
        <w:sz w:val="12"/>
      </w:rPr>
    </w:lvl>
    <w:lvl w:ilvl="2">
      <w:start w:val="1"/>
      <w:numFmt w:val="bullet"/>
      <w:pStyle w:val="Bullet3"/>
      <w:lvlText w:val=""/>
      <w:lvlJc w:val="left"/>
      <w:pPr>
        <w:ind w:left="706" w:hanging="216"/>
      </w:pPr>
      <w:rPr>
        <w:rFonts w:ascii="Symbol" w:hAnsi="Symbol" w:hint="default"/>
        <w:b w:val="0"/>
        <w:i w:val="0"/>
        <w:color w:val="3891A7" w:themeColor="accent1"/>
        <w:sz w:val="16"/>
      </w:rPr>
    </w:lvl>
    <w:lvl w:ilvl="3">
      <w:start w:val="1"/>
      <w:numFmt w:val="bullet"/>
      <w:lvlText w:val=""/>
      <w:lvlJc w:val="left"/>
      <w:pPr>
        <w:ind w:left="951" w:hanging="216"/>
      </w:pPr>
      <w:rPr>
        <w:rFonts w:ascii="Symbol" w:hAnsi="Symbol" w:hint="default"/>
        <w:b w:val="0"/>
        <w:i w:val="0"/>
        <w:color w:val="3891A7" w:themeColor="accent1"/>
        <w:sz w:val="16"/>
      </w:rPr>
    </w:lvl>
    <w:lvl w:ilvl="4">
      <w:start w:val="1"/>
      <w:numFmt w:val="bullet"/>
      <w:lvlText w:val=""/>
      <w:lvlJc w:val="left"/>
      <w:pPr>
        <w:ind w:left="1196" w:hanging="216"/>
      </w:pPr>
      <w:rPr>
        <w:rFonts w:ascii="Symbol" w:hAnsi="Symbol" w:hint="default"/>
        <w:color w:val="3891A7" w:themeColor="accent1"/>
        <w:sz w:val="16"/>
      </w:rPr>
    </w:lvl>
    <w:lvl w:ilvl="5">
      <w:start w:val="1"/>
      <w:numFmt w:val="bullet"/>
      <w:lvlText w:val=""/>
      <w:lvlJc w:val="left"/>
      <w:pPr>
        <w:ind w:left="1441" w:hanging="216"/>
      </w:pPr>
      <w:rPr>
        <w:rFonts w:ascii="Symbol" w:hAnsi="Symbol" w:hint="default"/>
        <w:color w:val="3891A7" w:themeColor="accent1"/>
        <w:sz w:val="16"/>
      </w:rPr>
    </w:lvl>
    <w:lvl w:ilvl="6">
      <w:start w:val="1"/>
      <w:numFmt w:val="bullet"/>
      <w:lvlText w:val=""/>
      <w:lvlJc w:val="left"/>
      <w:pPr>
        <w:ind w:left="1686" w:hanging="216"/>
      </w:pPr>
      <w:rPr>
        <w:rFonts w:ascii="Symbol" w:hAnsi="Symbol" w:hint="default"/>
        <w:color w:val="3891A7" w:themeColor="accent1"/>
        <w:sz w:val="16"/>
      </w:rPr>
    </w:lvl>
    <w:lvl w:ilvl="7">
      <w:start w:val="1"/>
      <w:numFmt w:val="bullet"/>
      <w:lvlText w:val=""/>
      <w:lvlJc w:val="left"/>
      <w:pPr>
        <w:ind w:left="1931" w:hanging="216"/>
      </w:pPr>
      <w:rPr>
        <w:rFonts w:ascii="Symbol" w:hAnsi="Symbol" w:hint="default"/>
        <w:color w:val="3891A7" w:themeColor="accent1"/>
        <w:sz w:val="16"/>
      </w:rPr>
    </w:lvl>
    <w:lvl w:ilvl="8">
      <w:start w:val="1"/>
      <w:numFmt w:val="bullet"/>
      <w:lvlText w:val=""/>
      <w:lvlJc w:val="left"/>
      <w:pPr>
        <w:ind w:left="2176" w:hanging="216"/>
      </w:pPr>
      <w:rPr>
        <w:rFonts w:ascii="Symbol" w:hAnsi="Symbol" w:hint="default"/>
        <w:color w:val="3891A7" w:themeColor="accent1"/>
        <w:sz w:val="16"/>
      </w:rPr>
    </w:lvl>
  </w:abstractNum>
  <w:abstractNum w:abstractNumId="11">
    <w:nsid w:val="3F9C160D"/>
    <w:multiLevelType w:val="hybridMultilevel"/>
    <w:tmpl w:val="49F21A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3C343B2"/>
    <w:multiLevelType w:val="hybridMultilevel"/>
    <w:tmpl w:val="69ECE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A46CB3"/>
    <w:multiLevelType w:val="hybridMultilevel"/>
    <w:tmpl w:val="8EF6F5E0"/>
    <w:lvl w:ilvl="0" w:tplc="8B360BEE">
      <w:start w:val="1"/>
      <w:numFmt w:val="decimal"/>
      <w:lvlText w:val="%1."/>
      <w:lvlJc w:val="left"/>
      <w:pPr>
        <w:ind w:left="43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4">
    <w:nsid w:val="48AB14B4"/>
    <w:multiLevelType w:val="hybridMultilevel"/>
    <w:tmpl w:val="E3502A0E"/>
    <w:lvl w:ilvl="0" w:tplc="AA0C3F1E">
      <w:start w:val="1"/>
      <w:numFmt w:val="decimal"/>
      <w:pStyle w:val="Title"/>
      <w:lvlText w:val="Chapter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DF6861"/>
    <w:multiLevelType w:val="hybridMultilevel"/>
    <w:tmpl w:val="2B0E071E"/>
    <w:lvl w:ilvl="0" w:tplc="CD84E41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10457DE"/>
    <w:multiLevelType w:val="hybridMultilevel"/>
    <w:tmpl w:val="8EF6F5E0"/>
    <w:lvl w:ilvl="0" w:tplc="8B360BEE">
      <w:start w:val="1"/>
      <w:numFmt w:val="decimal"/>
      <w:lvlText w:val="%1."/>
      <w:lvlJc w:val="left"/>
      <w:pPr>
        <w:ind w:left="43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7">
    <w:nsid w:val="53E670BD"/>
    <w:multiLevelType w:val="hybridMultilevel"/>
    <w:tmpl w:val="CAA6F0B0"/>
    <w:lvl w:ilvl="0" w:tplc="41E8CC2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FA6C92"/>
    <w:multiLevelType w:val="hybridMultilevel"/>
    <w:tmpl w:val="DD545D1E"/>
    <w:lvl w:ilvl="0" w:tplc="299002B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0921DBE"/>
    <w:multiLevelType w:val="multilevel"/>
    <w:tmpl w:val="9618BEB6"/>
    <w:lvl w:ilvl="0">
      <w:start w:val="1"/>
      <w:numFmt w:val="decimal"/>
      <w:pStyle w:val="Heading1"/>
      <w:lvlText w:val="Chapter %1:  "/>
      <w:lvlJc w:val="left"/>
      <w:pPr>
        <w:ind w:left="4590" w:hanging="360"/>
      </w:pPr>
      <w:rPr>
        <w:rFonts w:asciiTheme="majorHAnsi" w:hAnsiTheme="majorHAnsi" w:cs="Times New Roman" w:hint="default"/>
        <w:b w:val="0"/>
        <w:bCs w:val="0"/>
        <w:i w:val="0"/>
        <w:iCs w:val="0"/>
        <w:caps w:val="0"/>
        <w:smallCaps w:val="0"/>
        <w:strike w:val="0"/>
        <w:dstrike w:val="0"/>
        <w:outline w:val="0"/>
        <w:shadow w:val="0"/>
        <w:emboss w:val="0"/>
        <w:imprint w:val="0"/>
        <w:noProof w:val="0"/>
        <w:snapToGrid w:val="0"/>
        <w:vanish w:val="0"/>
        <w:color w:val="3891A7" w:themeColor="accent1"/>
        <w:spacing w:val="0"/>
        <w:w w:val="0"/>
        <w:kern w:val="0"/>
        <w:position w:val="0"/>
        <w:szCs w:val="0"/>
        <w:u w:val="none"/>
        <w:vertAlign w:val="baseline"/>
        <w:em w:val="none"/>
      </w:rPr>
    </w:lvl>
    <w:lvl w:ilvl="1">
      <w:start w:val="1"/>
      <w:numFmt w:val="none"/>
      <w:pStyle w:val="Heading2"/>
      <w:suff w:val="nothing"/>
      <w:lvlText w:val=""/>
      <w:lvlJc w:val="left"/>
      <w:pPr>
        <w:ind w:left="990" w:firstLine="0"/>
      </w:pPr>
      <w:rPr>
        <w:rFonts w:hint="default"/>
      </w:rPr>
    </w:lvl>
    <w:lvl w:ilvl="2">
      <w:start w:val="1"/>
      <w:numFmt w:val="none"/>
      <w:pStyle w:val="Heading3"/>
      <w:suff w:val="nothing"/>
      <w:lvlText w:val=""/>
      <w:lvlJc w:val="left"/>
      <w:pPr>
        <w:ind w:left="990" w:firstLine="0"/>
      </w:pPr>
      <w:rPr>
        <w:rFonts w:hint="default"/>
      </w:rPr>
    </w:lvl>
    <w:lvl w:ilvl="3">
      <w:start w:val="1"/>
      <w:numFmt w:val="none"/>
      <w:pStyle w:val="Heading4"/>
      <w:suff w:val="nothing"/>
      <w:lvlText w:val=""/>
      <w:lvlJc w:val="left"/>
      <w:pPr>
        <w:ind w:left="990" w:firstLine="0"/>
      </w:pPr>
      <w:rPr>
        <w:rFonts w:hint="default"/>
      </w:rPr>
    </w:lvl>
    <w:lvl w:ilvl="4">
      <w:start w:val="1"/>
      <w:numFmt w:val="none"/>
      <w:pStyle w:val="Heading5"/>
      <w:suff w:val="nothing"/>
      <w:lvlText w:val=""/>
      <w:lvlJc w:val="left"/>
      <w:pPr>
        <w:ind w:left="990" w:firstLine="0"/>
      </w:pPr>
      <w:rPr>
        <w:rFonts w:hint="default"/>
      </w:rPr>
    </w:lvl>
    <w:lvl w:ilvl="5">
      <w:start w:val="1"/>
      <w:numFmt w:val="none"/>
      <w:pStyle w:val="Heading6"/>
      <w:suff w:val="nothing"/>
      <w:lvlText w:val=""/>
      <w:lvlJc w:val="left"/>
      <w:pPr>
        <w:ind w:left="990" w:firstLine="0"/>
      </w:pPr>
      <w:rPr>
        <w:rFonts w:hint="default"/>
      </w:rPr>
    </w:lvl>
    <w:lvl w:ilvl="6">
      <w:start w:val="1"/>
      <w:numFmt w:val="none"/>
      <w:pStyle w:val="Heading7"/>
      <w:suff w:val="nothing"/>
      <w:lvlText w:val=""/>
      <w:lvlJc w:val="left"/>
      <w:pPr>
        <w:ind w:left="990" w:firstLine="0"/>
      </w:pPr>
      <w:rPr>
        <w:rFonts w:hint="default"/>
      </w:rPr>
    </w:lvl>
    <w:lvl w:ilvl="7">
      <w:start w:val="1"/>
      <w:numFmt w:val="none"/>
      <w:pStyle w:val="Heading8"/>
      <w:suff w:val="nothing"/>
      <w:lvlText w:val=""/>
      <w:lvlJc w:val="left"/>
      <w:pPr>
        <w:ind w:left="990" w:firstLine="0"/>
      </w:pPr>
      <w:rPr>
        <w:rFonts w:hint="default"/>
      </w:rPr>
    </w:lvl>
    <w:lvl w:ilvl="8">
      <w:start w:val="1"/>
      <w:numFmt w:val="none"/>
      <w:pStyle w:val="Heading9"/>
      <w:suff w:val="nothing"/>
      <w:lvlText w:val=""/>
      <w:lvlJc w:val="left"/>
      <w:pPr>
        <w:ind w:left="990" w:firstLine="0"/>
      </w:pPr>
      <w:rPr>
        <w:rFonts w:hint="default"/>
      </w:rPr>
    </w:lvl>
  </w:abstractNum>
  <w:abstractNum w:abstractNumId="20">
    <w:nsid w:val="663D7424"/>
    <w:multiLevelType w:val="hybridMultilevel"/>
    <w:tmpl w:val="D2CC83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6A50E3C"/>
    <w:multiLevelType w:val="hybridMultilevel"/>
    <w:tmpl w:val="6ABC21FE"/>
    <w:lvl w:ilvl="0" w:tplc="299002B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D32FC6"/>
    <w:multiLevelType w:val="hybridMultilevel"/>
    <w:tmpl w:val="B7BEA2E2"/>
    <w:lvl w:ilvl="0" w:tplc="71E86C5A">
      <w:start w:val="1"/>
      <w:numFmt w:val="bullet"/>
      <w:pStyle w:val="CommentSubjec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Narro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Narro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Narro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AD12539"/>
    <w:multiLevelType w:val="hybridMultilevel"/>
    <w:tmpl w:val="6310C3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CCE7662"/>
    <w:multiLevelType w:val="hybridMultilevel"/>
    <w:tmpl w:val="6DC8F2C6"/>
    <w:lvl w:ilvl="0" w:tplc="299002B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4C2F43"/>
    <w:multiLevelType w:val="hybridMultilevel"/>
    <w:tmpl w:val="94867E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EEA2E4B"/>
    <w:multiLevelType w:val="hybridMultilevel"/>
    <w:tmpl w:val="3FB450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F8D0EC9"/>
    <w:multiLevelType w:val="hybridMultilevel"/>
    <w:tmpl w:val="3FB45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5"/>
  </w:num>
  <w:num w:numId="4">
    <w:abstractNumId w:val="10"/>
  </w:num>
  <w:num w:numId="5">
    <w:abstractNumId w:val="6"/>
  </w:num>
  <w:num w:numId="6">
    <w:abstractNumId w:val="22"/>
  </w:num>
  <w:num w:numId="7">
    <w:abstractNumId w:val="14"/>
  </w:num>
  <w:num w:numId="8">
    <w:abstractNumId w:val="19"/>
  </w:num>
  <w:num w:numId="9">
    <w:abstractNumId w:val="12"/>
  </w:num>
  <w:num w:numId="10">
    <w:abstractNumId w:val="1"/>
  </w:num>
  <w:num w:numId="11">
    <w:abstractNumId w:val="27"/>
  </w:num>
  <w:num w:numId="12">
    <w:abstractNumId w:val="3"/>
  </w:num>
  <w:num w:numId="13">
    <w:abstractNumId w:val="2"/>
  </w:num>
  <w:num w:numId="14">
    <w:abstractNumId w:val="9"/>
  </w:num>
  <w:num w:numId="15">
    <w:abstractNumId w:val="20"/>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25"/>
  </w:num>
  <w:num w:numId="19">
    <w:abstractNumId w:val="11"/>
  </w:num>
  <w:num w:numId="20">
    <w:abstractNumId w:val="15"/>
  </w:num>
  <w:num w:numId="21">
    <w:abstractNumId w:val="26"/>
  </w:num>
  <w:num w:numId="22">
    <w:abstractNumId w:val="18"/>
  </w:num>
  <w:num w:numId="23">
    <w:abstractNumId w:val="16"/>
  </w:num>
  <w:num w:numId="24">
    <w:abstractNumId w:val="13"/>
  </w:num>
  <w:num w:numId="25">
    <w:abstractNumId w:val="17"/>
  </w:num>
  <w:num w:numId="26">
    <w:abstractNumId w:val="7"/>
  </w:num>
  <w:num w:numId="27">
    <w:abstractNumId w:val="4"/>
  </w:num>
  <w:num w:numId="28">
    <w:abstractNumId w:val="21"/>
  </w:num>
  <w:num w:numId="29">
    <w:abstractNumId w:val="24"/>
  </w:num>
  <w:num w:numId="30">
    <w:abstractNumId w:val="8"/>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stylePaneFormatFilter w:val="1008"/>
  <w:doNotTrackMoves/>
  <w:defaultTabStop w:val="720"/>
  <w:drawingGridHorizontalSpacing w:val="100"/>
  <w:displayHorizontalDrawingGridEvery w:val="2"/>
  <w:characterSpacingControl w:val="doNotCompress"/>
  <w:hdrShapeDefaults>
    <o:shapedefaults v:ext="edit" spidmax="17410" fillcolor="white">
      <v:fill color="white"/>
      <o:colormru v:ext="edit" colors="#334c4f,#79b5b0,#b77851,#d1e1e3,#066,#7ea8ac,#4e767a,#293d3f"/>
      <o:colormenu v:ext="edit" fillcolor="none" strokecolor="none" shadowcolor="none" extrusioncolor="none"/>
    </o:shapedefaults>
  </w:hdrShapeDefaults>
  <w:footnotePr>
    <w:footnote w:id="-1"/>
    <w:footnote w:id="0"/>
  </w:footnotePr>
  <w:endnotePr>
    <w:endnote w:id="-1"/>
    <w:endnote w:id="0"/>
  </w:endnotePr>
  <w:compat>
    <w:doNotSnapToGridInCell/>
    <w:doNotWrapTextWithPunct/>
    <w:doNotUseEastAsianBreakRules/>
    <w:growAutofit/>
  </w:compat>
  <w:rsids>
    <w:rsidRoot w:val="00E36225"/>
    <w:rsid w:val="00000702"/>
    <w:rsid w:val="00000819"/>
    <w:rsid w:val="0000114D"/>
    <w:rsid w:val="00006349"/>
    <w:rsid w:val="000118B0"/>
    <w:rsid w:val="00014281"/>
    <w:rsid w:val="00014DC0"/>
    <w:rsid w:val="000175C3"/>
    <w:rsid w:val="00022E2F"/>
    <w:rsid w:val="00025F0B"/>
    <w:rsid w:val="00026156"/>
    <w:rsid w:val="00026169"/>
    <w:rsid w:val="00030807"/>
    <w:rsid w:val="00031E26"/>
    <w:rsid w:val="00033129"/>
    <w:rsid w:val="00033BC0"/>
    <w:rsid w:val="00033C3A"/>
    <w:rsid w:val="0003566E"/>
    <w:rsid w:val="00044543"/>
    <w:rsid w:val="0005059A"/>
    <w:rsid w:val="000505DF"/>
    <w:rsid w:val="00050CE1"/>
    <w:rsid w:val="00050FB0"/>
    <w:rsid w:val="000512C8"/>
    <w:rsid w:val="00052309"/>
    <w:rsid w:val="00054AEA"/>
    <w:rsid w:val="00061C4C"/>
    <w:rsid w:val="00064866"/>
    <w:rsid w:val="0006525E"/>
    <w:rsid w:val="000757D2"/>
    <w:rsid w:val="00077DCE"/>
    <w:rsid w:val="00080494"/>
    <w:rsid w:val="00084A4F"/>
    <w:rsid w:val="00085F61"/>
    <w:rsid w:val="000904D9"/>
    <w:rsid w:val="0009209A"/>
    <w:rsid w:val="00093E59"/>
    <w:rsid w:val="000949CD"/>
    <w:rsid w:val="00096B74"/>
    <w:rsid w:val="0009713B"/>
    <w:rsid w:val="000A0A1F"/>
    <w:rsid w:val="000A26B2"/>
    <w:rsid w:val="000A31FE"/>
    <w:rsid w:val="000A6E30"/>
    <w:rsid w:val="000B229A"/>
    <w:rsid w:val="000B3DFA"/>
    <w:rsid w:val="000B581A"/>
    <w:rsid w:val="000B6365"/>
    <w:rsid w:val="000C1625"/>
    <w:rsid w:val="000C25B2"/>
    <w:rsid w:val="000C3710"/>
    <w:rsid w:val="000C3CCA"/>
    <w:rsid w:val="000C43EF"/>
    <w:rsid w:val="000C4941"/>
    <w:rsid w:val="000C599E"/>
    <w:rsid w:val="000D0BAA"/>
    <w:rsid w:val="000D1B2B"/>
    <w:rsid w:val="000D3C49"/>
    <w:rsid w:val="000D40B1"/>
    <w:rsid w:val="000D782B"/>
    <w:rsid w:val="000E1322"/>
    <w:rsid w:val="000E2239"/>
    <w:rsid w:val="000E27AB"/>
    <w:rsid w:val="000E38EF"/>
    <w:rsid w:val="000F0692"/>
    <w:rsid w:val="000F39B9"/>
    <w:rsid w:val="000F3AC7"/>
    <w:rsid w:val="000F51AC"/>
    <w:rsid w:val="000F5575"/>
    <w:rsid w:val="000F6660"/>
    <w:rsid w:val="001002D4"/>
    <w:rsid w:val="00105CF4"/>
    <w:rsid w:val="0011234F"/>
    <w:rsid w:val="001178B1"/>
    <w:rsid w:val="0012325A"/>
    <w:rsid w:val="00123D99"/>
    <w:rsid w:val="001251D8"/>
    <w:rsid w:val="00125C75"/>
    <w:rsid w:val="0012689F"/>
    <w:rsid w:val="00130044"/>
    <w:rsid w:val="0013028C"/>
    <w:rsid w:val="00130BF3"/>
    <w:rsid w:val="00133E1D"/>
    <w:rsid w:val="0013410A"/>
    <w:rsid w:val="00136526"/>
    <w:rsid w:val="001369FE"/>
    <w:rsid w:val="0014246C"/>
    <w:rsid w:val="00145109"/>
    <w:rsid w:val="00146E5E"/>
    <w:rsid w:val="00147447"/>
    <w:rsid w:val="00151897"/>
    <w:rsid w:val="00152C31"/>
    <w:rsid w:val="001548C3"/>
    <w:rsid w:val="001550A7"/>
    <w:rsid w:val="001565DB"/>
    <w:rsid w:val="00160875"/>
    <w:rsid w:val="00162981"/>
    <w:rsid w:val="001644DC"/>
    <w:rsid w:val="00164DEC"/>
    <w:rsid w:val="00171182"/>
    <w:rsid w:val="00172990"/>
    <w:rsid w:val="001739B2"/>
    <w:rsid w:val="00173A7F"/>
    <w:rsid w:val="00182183"/>
    <w:rsid w:val="001828A2"/>
    <w:rsid w:val="001853B5"/>
    <w:rsid w:val="00185C7D"/>
    <w:rsid w:val="0018730B"/>
    <w:rsid w:val="00187CAB"/>
    <w:rsid w:val="001906D9"/>
    <w:rsid w:val="001919C5"/>
    <w:rsid w:val="001933A5"/>
    <w:rsid w:val="00194ACC"/>
    <w:rsid w:val="00194D9B"/>
    <w:rsid w:val="00196614"/>
    <w:rsid w:val="0019765A"/>
    <w:rsid w:val="00197FBC"/>
    <w:rsid w:val="001A0F5F"/>
    <w:rsid w:val="001A4BDA"/>
    <w:rsid w:val="001A5ACA"/>
    <w:rsid w:val="001A6FB5"/>
    <w:rsid w:val="001A745B"/>
    <w:rsid w:val="001A78A8"/>
    <w:rsid w:val="001B03FB"/>
    <w:rsid w:val="001B48DD"/>
    <w:rsid w:val="001B6705"/>
    <w:rsid w:val="001C01AD"/>
    <w:rsid w:val="001C0AFC"/>
    <w:rsid w:val="001C11C7"/>
    <w:rsid w:val="001C1321"/>
    <w:rsid w:val="001C21B0"/>
    <w:rsid w:val="001C2676"/>
    <w:rsid w:val="001C7AE7"/>
    <w:rsid w:val="001D2571"/>
    <w:rsid w:val="001D6E41"/>
    <w:rsid w:val="001D6E6E"/>
    <w:rsid w:val="001E08F4"/>
    <w:rsid w:val="001E1932"/>
    <w:rsid w:val="001E2D25"/>
    <w:rsid w:val="001E3881"/>
    <w:rsid w:val="001E3EFE"/>
    <w:rsid w:val="001E4BB1"/>
    <w:rsid w:val="001E63A2"/>
    <w:rsid w:val="001E6BDE"/>
    <w:rsid w:val="001E770E"/>
    <w:rsid w:val="001F21AB"/>
    <w:rsid w:val="001F4233"/>
    <w:rsid w:val="001F5334"/>
    <w:rsid w:val="00203490"/>
    <w:rsid w:val="00203B06"/>
    <w:rsid w:val="00204BD6"/>
    <w:rsid w:val="00205B2E"/>
    <w:rsid w:val="00210BD5"/>
    <w:rsid w:val="00211155"/>
    <w:rsid w:val="00211D54"/>
    <w:rsid w:val="00211F2F"/>
    <w:rsid w:val="00216AFC"/>
    <w:rsid w:val="00222E82"/>
    <w:rsid w:val="00223F5C"/>
    <w:rsid w:val="00224ACF"/>
    <w:rsid w:val="002273AC"/>
    <w:rsid w:val="002305CE"/>
    <w:rsid w:val="00233BD2"/>
    <w:rsid w:val="00234F67"/>
    <w:rsid w:val="0024595A"/>
    <w:rsid w:val="0024599E"/>
    <w:rsid w:val="00246122"/>
    <w:rsid w:val="002461BA"/>
    <w:rsid w:val="0025197D"/>
    <w:rsid w:val="00251EE7"/>
    <w:rsid w:val="002541EF"/>
    <w:rsid w:val="00254595"/>
    <w:rsid w:val="002546F3"/>
    <w:rsid w:val="00254AA9"/>
    <w:rsid w:val="0025597B"/>
    <w:rsid w:val="00255AD3"/>
    <w:rsid w:val="00256968"/>
    <w:rsid w:val="00260100"/>
    <w:rsid w:val="002636A9"/>
    <w:rsid w:val="00263EFE"/>
    <w:rsid w:val="00264722"/>
    <w:rsid w:val="002652A1"/>
    <w:rsid w:val="0026754E"/>
    <w:rsid w:val="00267B81"/>
    <w:rsid w:val="00267BBD"/>
    <w:rsid w:val="00272E37"/>
    <w:rsid w:val="00276DD0"/>
    <w:rsid w:val="00276FD9"/>
    <w:rsid w:val="00282156"/>
    <w:rsid w:val="00283FE6"/>
    <w:rsid w:val="002844D4"/>
    <w:rsid w:val="002867E6"/>
    <w:rsid w:val="002868E5"/>
    <w:rsid w:val="002873DD"/>
    <w:rsid w:val="002874E8"/>
    <w:rsid w:val="002876BA"/>
    <w:rsid w:val="00290C63"/>
    <w:rsid w:val="0029147B"/>
    <w:rsid w:val="0029388F"/>
    <w:rsid w:val="00295B7B"/>
    <w:rsid w:val="00295D1C"/>
    <w:rsid w:val="002A0000"/>
    <w:rsid w:val="002A0F40"/>
    <w:rsid w:val="002A5A97"/>
    <w:rsid w:val="002A6C6B"/>
    <w:rsid w:val="002B0ECC"/>
    <w:rsid w:val="002B2222"/>
    <w:rsid w:val="002B7689"/>
    <w:rsid w:val="002C2729"/>
    <w:rsid w:val="002C397C"/>
    <w:rsid w:val="002C5F35"/>
    <w:rsid w:val="002C62A8"/>
    <w:rsid w:val="002D2005"/>
    <w:rsid w:val="002D6513"/>
    <w:rsid w:val="002E08F4"/>
    <w:rsid w:val="002E0E31"/>
    <w:rsid w:val="002E0E9D"/>
    <w:rsid w:val="002E4D95"/>
    <w:rsid w:val="002E5963"/>
    <w:rsid w:val="002E67CB"/>
    <w:rsid w:val="002F1982"/>
    <w:rsid w:val="002F4CBF"/>
    <w:rsid w:val="002F579C"/>
    <w:rsid w:val="002F669E"/>
    <w:rsid w:val="003021F1"/>
    <w:rsid w:val="003034B4"/>
    <w:rsid w:val="00305FA3"/>
    <w:rsid w:val="003067C2"/>
    <w:rsid w:val="00307364"/>
    <w:rsid w:val="0031075C"/>
    <w:rsid w:val="0031345B"/>
    <w:rsid w:val="003149AF"/>
    <w:rsid w:val="00315F76"/>
    <w:rsid w:val="00316100"/>
    <w:rsid w:val="00316823"/>
    <w:rsid w:val="00317AD7"/>
    <w:rsid w:val="00317C3F"/>
    <w:rsid w:val="00320010"/>
    <w:rsid w:val="0032004E"/>
    <w:rsid w:val="003215A8"/>
    <w:rsid w:val="00324DC6"/>
    <w:rsid w:val="00330E48"/>
    <w:rsid w:val="003313E3"/>
    <w:rsid w:val="0033183B"/>
    <w:rsid w:val="00335E87"/>
    <w:rsid w:val="0034146F"/>
    <w:rsid w:val="00341684"/>
    <w:rsid w:val="00344692"/>
    <w:rsid w:val="003475DA"/>
    <w:rsid w:val="00347FC6"/>
    <w:rsid w:val="003531A7"/>
    <w:rsid w:val="003552BF"/>
    <w:rsid w:val="00355C38"/>
    <w:rsid w:val="0035707C"/>
    <w:rsid w:val="00360678"/>
    <w:rsid w:val="00362897"/>
    <w:rsid w:val="00362972"/>
    <w:rsid w:val="00366B3F"/>
    <w:rsid w:val="00367924"/>
    <w:rsid w:val="0037079D"/>
    <w:rsid w:val="00371AA0"/>
    <w:rsid w:val="00373630"/>
    <w:rsid w:val="00373F8F"/>
    <w:rsid w:val="00376232"/>
    <w:rsid w:val="00376E0C"/>
    <w:rsid w:val="00381E5F"/>
    <w:rsid w:val="00381F00"/>
    <w:rsid w:val="00382CA1"/>
    <w:rsid w:val="00386163"/>
    <w:rsid w:val="00386173"/>
    <w:rsid w:val="0038798C"/>
    <w:rsid w:val="00387A44"/>
    <w:rsid w:val="00390393"/>
    <w:rsid w:val="0039101F"/>
    <w:rsid w:val="00391E61"/>
    <w:rsid w:val="00395114"/>
    <w:rsid w:val="00397D8B"/>
    <w:rsid w:val="003A388D"/>
    <w:rsid w:val="003A4246"/>
    <w:rsid w:val="003A430B"/>
    <w:rsid w:val="003A43D6"/>
    <w:rsid w:val="003A6A3F"/>
    <w:rsid w:val="003A70DC"/>
    <w:rsid w:val="003A75C6"/>
    <w:rsid w:val="003B0146"/>
    <w:rsid w:val="003B1030"/>
    <w:rsid w:val="003B1E94"/>
    <w:rsid w:val="003B230E"/>
    <w:rsid w:val="003B29A0"/>
    <w:rsid w:val="003B3DFF"/>
    <w:rsid w:val="003B5E52"/>
    <w:rsid w:val="003B6054"/>
    <w:rsid w:val="003B7892"/>
    <w:rsid w:val="003C053B"/>
    <w:rsid w:val="003C5C35"/>
    <w:rsid w:val="003C69A5"/>
    <w:rsid w:val="003C7C9D"/>
    <w:rsid w:val="003D00D4"/>
    <w:rsid w:val="003D7397"/>
    <w:rsid w:val="003E0A11"/>
    <w:rsid w:val="003E0AC4"/>
    <w:rsid w:val="003E5320"/>
    <w:rsid w:val="003E7AA3"/>
    <w:rsid w:val="003F2E79"/>
    <w:rsid w:val="003F4CA5"/>
    <w:rsid w:val="003F5FB5"/>
    <w:rsid w:val="003F6943"/>
    <w:rsid w:val="003F6B56"/>
    <w:rsid w:val="003F74FD"/>
    <w:rsid w:val="00400406"/>
    <w:rsid w:val="00400F58"/>
    <w:rsid w:val="00401E0E"/>
    <w:rsid w:val="004023AD"/>
    <w:rsid w:val="004023CC"/>
    <w:rsid w:val="00412663"/>
    <w:rsid w:val="0041681F"/>
    <w:rsid w:val="00420D9B"/>
    <w:rsid w:val="00426440"/>
    <w:rsid w:val="0043057B"/>
    <w:rsid w:val="00433157"/>
    <w:rsid w:val="004347FA"/>
    <w:rsid w:val="00434CFE"/>
    <w:rsid w:val="00435205"/>
    <w:rsid w:val="00436609"/>
    <w:rsid w:val="00436843"/>
    <w:rsid w:val="00437AB3"/>
    <w:rsid w:val="00441C03"/>
    <w:rsid w:val="00446747"/>
    <w:rsid w:val="0045723F"/>
    <w:rsid w:val="00457314"/>
    <w:rsid w:val="004602F7"/>
    <w:rsid w:val="0046131C"/>
    <w:rsid w:val="00461638"/>
    <w:rsid w:val="00461665"/>
    <w:rsid w:val="0047668A"/>
    <w:rsid w:val="00480B6A"/>
    <w:rsid w:val="004824DA"/>
    <w:rsid w:val="00482E42"/>
    <w:rsid w:val="00483092"/>
    <w:rsid w:val="00483BC0"/>
    <w:rsid w:val="004845C1"/>
    <w:rsid w:val="00484765"/>
    <w:rsid w:val="00484FC5"/>
    <w:rsid w:val="004853D6"/>
    <w:rsid w:val="0048717E"/>
    <w:rsid w:val="00490DBD"/>
    <w:rsid w:val="004914E9"/>
    <w:rsid w:val="00491618"/>
    <w:rsid w:val="00491F67"/>
    <w:rsid w:val="004938C6"/>
    <w:rsid w:val="00493CB2"/>
    <w:rsid w:val="00493FE5"/>
    <w:rsid w:val="00496FC4"/>
    <w:rsid w:val="00497693"/>
    <w:rsid w:val="004A1A8D"/>
    <w:rsid w:val="004A4636"/>
    <w:rsid w:val="004A5770"/>
    <w:rsid w:val="004A6BFF"/>
    <w:rsid w:val="004A7481"/>
    <w:rsid w:val="004A7F1F"/>
    <w:rsid w:val="004B01CE"/>
    <w:rsid w:val="004B2004"/>
    <w:rsid w:val="004B55ED"/>
    <w:rsid w:val="004B7DAA"/>
    <w:rsid w:val="004C0A66"/>
    <w:rsid w:val="004C0FA7"/>
    <w:rsid w:val="004C13CA"/>
    <w:rsid w:val="004C13F9"/>
    <w:rsid w:val="004C40D7"/>
    <w:rsid w:val="004C47C2"/>
    <w:rsid w:val="004C7E03"/>
    <w:rsid w:val="004D0032"/>
    <w:rsid w:val="004D3EA8"/>
    <w:rsid w:val="004D748E"/>
    <w:rsid w:val="004E64C7"/>
    <w:rsid w:val="004E7755"/>
    <w:rsid w:val="004F0E51"/>
    <w:rsid w:val="004F3056"/>
    <w:rsid w:val="004F4E8C"/>
    <w:rsid w:val="004F5E50"/>
    <w:rsid w:val="004F6DA8"/>
    <w:rsid w:val="004F799B"/>
    <w:rsid w:val="00500770"/>
    <w:rsid w:val="005007C0"/>
    <w:rsid w:val="00500DB0"/>
    <w:rsid w:val="00503004"/>
    <w:rsid w:val="00503B57"/>
    <w:rsid w:val="005045AB"/>
    <w:rsid w:val="00505D37"/>
    <w:rsid w:val="00506DE9"/>
    <w:rsid w:val="00511F03"/>
    <w:rsid w:val="005128BA"/>
    <w:rsid w:val="00513666"/>
    <w:rsid w:val="0051628C"/>
    <w:rsid w:val="005165C7"/>
    <w:rsid w:val="00517A7F"/>
    <w:rsid w:val="00521989"/>
    <w:rsid w:val="00521AD5"/>
    <w:rsid w:val="00522362"/>
    <w:rsid w:val="00524D8B"/>
    <w:rsid w:val="00524DDB"/>
    <w:rsid w:val="00524F85"/>
    <w:rsid w:val="00526171"/>
    <w:rsid w:val="00532521"/>
    <w:rsid w:val="00535F95"/>
    <w:rsid w:val="00535FD0"/>
    <w:rsid w:val="00543285"/>
    <w:rsid w:val="005464E2"/>
    <w:rsid w:val="00546599"/>
    <w:rsid w:val="00547691"/>
    <w:rsid w:val="00547970"/>
    <w:rsid w:val="00550BC4"/>
    <w:rsid w:val="005547BD"/>
    <w:rsid w:val="00555C3C"/>
    <w:rsid w:val="005606E4"/>
    <w:rsid w:val="00561DB3"/>
    <w:rsid w:val="0056300F"/>
    <w:rsid w:val="00563C4C"/>
    <w:rsid w:val="00565472"/>
    <w:rsid w:val="00566A1B"/>
    <w:rsid w:val="00567C26"/>
    <w:rsid w:val="005724F9"/>
    <w:rsid w:val="00574C82"/>
    <w:rsid w:val="00575D3A"/>
    <w:rsid w:val="005830F0"/>
    <w:rsid w:val="00584517"/>
    <w:rsid w:val="00592161"/>
    <w:rsid w:val="0059314F"/>
    <w:rsid w:val="00593A11"/>
    <w:rsid w:val="0059409F"/>
    <w:rsid w:val="005956F8"/>
    <w:rsid w:val="00597123"/>
    <w:rsid w:val="005A00AE"/>
    <w:rsid w:val="005A2FB9"/>
    <w:rsid w:val="005A44DB"/>
    <w:rsid w:val="005B170B"/>
    <w:rsid w:val="005B1BE3"/>
    <w:rsid w:val="005B35CC"/>
    <w:rsid w:val="005B406E"/>
    <w:rsid w:val="005B4F3C"/>
    <w:rsid w:val="005B518E"/>
    <w:rsid w:val="005B5C9D"/>
    <w:rsid w:val="005C04BC"/>
    <w:rsid w:val="005C1D82"/>
    <w:rsid w:val="005C463A"/>
    <w:rsid w:val="005D02FB"/>
    <w:rsid w:val="005D0432"/>
    <w:rsid w:val="005D09FE"/>
    <w:rsid w:val="005D3602"/>
    <w:rsid w:val="005D3CA8"/>
    <w:rsid w:val="005D4F9F"/>
    <w:rsid w:val="005E20CE"/>
    <w:rsid w:val="005E22EC"/>
    <w:rsid w:val="005E2A69"/>
    <w:rsid w:val="005E3972"/>
    <w:rsid w:val="005E5ACB"/>
    <w:rsid w:val="005E5DC4"/>
    <w:rsid w:val="005E6D14"/>
    <w:rsid w:val="005F2AE1"/>
    <w:rsid w:val="005F3265"/>
    <w:rsid w:val="005F35F2"/>
    <w:rsid w:val="005F6CBE"/>
    <w:rsid w:val="00602791"/>
    <w:rsid w:val="00603704"/>
    <w:rsid w:val="00603B0A"/>
    <w:rsid w:val="00607580"/>
    <w:rsid w:val="00607D3B"/>
    <w:rsid w:val="00610726"/>
    <w:rsid w:val="00610F4B"/>
    <w:rsid w:val="0061177B"/>
    <w:rsid w:val="00612180"/>
    <w:rsid w:val="00613F0E"/>
    <w:rsid w:val="00614172"/>
    <w:rsid w:val="00614336"/>
    <w:rsid w:val="00615685"/>
    <w:rsid w:val="00616032"/>
    <w:rsid w:val="00617A4E"/>
    <w:rsid w:val="00621378"/>
    <w:rsid w:val="006238D7"/>
    <w:rsid w:val="0062531C"/>
    <w:rsid w:val="006253FA"/>
    <w:rsid w:val="006269C4"/>
    <w:rsid w:val="006274FF"/>
    <w:rsid w:val="00627624"/>
    <w:rsid w:val="00630108"/>
    <w:rsid w:val="00632334"/>
    <w:rsid w:val="00632982"/>
    <w:rsid w:val="0063393F"/>
    <w:rsid w:val="00635180"/>
    <w:rsid w:val="00635C96"/>
    <w:rsid w:val="00637443"/>
    <w:rsid w:val="006418C7"/>
    <w:rsid w:val="00644920"/>
    <w:rsid w:val="00645814"/>
    <w:rsid w:val="006471A9"/>
    <w:rsid w:val="006500EF"/>
    <w:rsid w:val="00650E9E"/>
    <w:rsid w:val="0065230E"/>
    <w:rsid w:val="00652B50"/>
    <w:rsid w:val="0065342B"/>
    <w:rsid w:val="006554B7"/>
    <w:rsid w:val="0065600E"/>
    <w:rsid w:val="00656427"/>
    <w:rsid w:val="0065664D"/>
    <w:rsid w:val="0065685D"/>
    <w:rsid w:val="006600E0"/>
    <w:rsid w:val="006601E3"/>
    <w:rsid w:val="006607E3"/>
    <w:rsid w:val="00661E58"/>
    <w:rsid w:val="006622D5"/>
    <w:rsid w:val="006625AD"/>
    <w:rsid w:val="00662B63"/>
    <w:rsid w:val="006645E1"/>
    <w:rsid w:val="006656BC"/>
    <w:rsid w:val="0066629F"/>
    <w:rsid w:val="00670DCA"/>
    <w:rsid w:val="006723D6"/>
    <w:rsid w:val="0067455B"/>
    <w:rsid w:val="00675451"/>
    <w:rsid w:val="0067715D"/>
    <w:rsid w:val="00677EED"/>
    <w:rsid w:val="006907C8"/>
    <w:rsid w:val="00692C05"/>
    <w:rsid w:val="00693C38"/>
    <w:rsid w:val="006A0416"/>
    <w:rsid w:val="006A24FF"/>
    <w:rsid w:val="006A30D6"/>
    <w:rsid w:val="006A3DA8"/>
    <w:rsid w:val="006A450A"/>
    <w:rsid w:val="006A6289"/>
    <w:rsid w:val="006A6A4E"/>
    <w:rsid w:val="006B0EF3"/>
    <w:rsid w:val="006B12AF"/>
    <w:rsid w:val="006B1FC6"/>
    <w:rsid w:val="006B2698"/>
    <w:rsid w:val="006B2A71"/>
    <w:rsid w:val="006B7826"/>
    <w:rsid w:val="006B78C9"/>
    <w:rsid w:val="006C2BE3"/>
    <w:rsid w:val="006D0A38"/>
    <w:rsid w:val="006D677C"/>
    <w:rsid w:val="006E08F0"/>
    <w:rsid w:val="006E1618"/>
    <w:rsid w:val="006E64B0"/>
    <w:rsid w:val="006E714B"/>
    <w:rsid w:val="006E7C4F"/>
    <w:rsid w:val="006F1ACD"/>
    <w:rsid w:val="006F2BC8"/>
    <w:rsid w:val="006F4CAD"/>
    <w:rsid w:val="006F5227"/>
    <w:rsid w:val="006F5527"/>
    <w:rsid w:val="006F5B08"/>
    <w:rsid w:val="007017E3"/>
    <w:rsid w:val="00707F2A"/>
    <w:rsid w:val="007100CA"/>
    <w:rsid w:val="00710504"/>
    <w:rsid w:val="007136EA"/>
    <w:rsid w:val="007141FB"/>
    <w:rsid w:val="00724AFE"/>
    <w:rsid w:val="00725283"/>
    <w:rsid w:val="007272EF"/>
    <w:rsid w:val="00732C2A"/>
    <w:rsid w:val="007352F6"/>
    <w:rsid w:val="00736475"/>
    <w:rsid w:val="00742152"/>
    <w:rsid w:val="00745300"/>
    <w:rsid w:val="00750120"/>
    <w:rsid w:val="00751FFF"/>
    <w:rsid w:val="00755F5F"/>
    <w:rsid w:val="00757027"/>
    <w:rsid w:val="00760C1F"/>
    <w:rsid w:val="00761FCA"/>
    <w:rsid w:val="00762E44"/>
    <w:rsid w:val="00765B8E"/>
    <w:rsid w:val="00766A85"/>
    <w:rsid w:val="007701EF"/>
    <w:rsid w:val="00770AA6"/>
    <w:rsid w:val="00770B2B"/>
    <w:rsid w:val="0077494F"/>
    <w:rsid w:val="00774F99"/>
    <w:rsid w:val="007756AE"/>
    <w:rsid w:val="00780145"/>
    <w:rsid w:val="007808CD"/>
    <w:rsid w:val="0078120F"/>
    <w:rsid w:val="007821DA"/>
    <w:rsid w:val="00786D1E"/>
    <w:rsid w:val="00787CCE"/>
    <w:rsid w:val="0079018D"/>
    <w:rsid w:val="007902BC"/>
    <w:rsid w:val="00796ED2"/>
    <w:rsid w:val="00796F6F"/>
    <w:rsid w:val="007A0829"/>
    <w:rsid w:val="007A0C37"/>
    <w:rsid w:val="007A1722"/>
    <w:rsid w:val="007A2976"/>
    <w:rsid w:val="007A4F7E"/>
    <w:rsid w:val="007B15F2"/>
    <w:rsid w:val="007B4A78"/>
    <w:rsid w:val="007B5A23"/>
    <w:rsid w:val="007B7912"/>
    <w:rsid w:val="007C046A"/>
    <w:rsid w:val="007C2D51"/>
    <w:rsid w:val="007C35C1"/>
    <w:rsid w:val="007C41FE"/>
    <w:rsid w:val="007C54DC"/>
    <w:rsid w:val="007C5771"/>
    <w:rsid w:val="007C5C44"/>
    <w:rsid w:val="007C5EB4"/>
    <w:rsid w:val="007D2931"/>
    <w:rsid w:val="007D7122"/>
    <w:rsid w:val="007D7437"/>
    <w:rsid w:val="007E7BC2"/>
    <w:rsid w:val="007F0E96"/>
    <w:rsid w:val="007F157A"/>
    <w:rsid w:val="007F33FF"/>
    <w:rsid w:val="007F4A84"/>
    <w:rsid w:val="007F7E77"/>
    <w:rsid w:val="00801A96"/>
    <w:rsid w:val="008029EB"/>
    <w:rsid w:val="00807AFC"/>
    <w:rsid w:val="00807DE7"/>
    <w:rsid w:val="00810A25"/>
    <w:rsid w:val="008201AC"/>
    <w:rsid w:val="00822136"/>
    <w:rsid w:val="00823565"/>
    <w:rsid w:val="008238A4"/>
    <w:rsid w:val="00824FFD"/>
    <w:rsid w:val="00825342"/>
    <w:rsid w:val="00825F5C"/>
    <w:rsid w:val="00827CF7"/>
    <w:rsid w:val="0083105D"/>
    <w:rsid w:val="00833530"/>
    <w:rsid w:val="008339ED"/>
    <w:rsid w:val="00834E5F"/>
    <w:rsid w:val="00837682"/>
    <w:rsid w:val="00842515"/>
    <w:rsid w:val="0084322A"/>
    <w:rsid w:val="0084411C"/>
    <w:rsid w:val="0084545E"/>
    <w:rsid w:val="00845D96"/>
    <w:rsid w:val="008473F6"/>
    <w:rsid w:val="00850246"/>
    <w:rsid w:val="00850508"/>
    <w:rsid w:val="00850F54"/>
    <w:rsid w:val="00852EFC"/>
    <w:rsid w:val="00853388"/>
    <w:rsid w:val="00854E89"/>
    <w:rsid w:val="00861FE6"/>
    <w:rsid w:val="008625AD"/>
    <w:rsid w:val="00863534"/>
    <w:rsid w:val="00864A4B"/>
    <w:rsid w:val="0086670A"/>
    <w:rsid w:val="0086746C"/>
    <w:rsid w:val="00871863"/>
    <w:rsid w:val="00871906"/>
    <w:rsid w:val="00871AD1"/>
    <w:rsid w:val="00872D1B"/>
    <w:rsid w:val="00880915"/>
    <w:rsid w:val="0088205F"/>
    <w:rsid w:val="00882676"/>
    <w:rsid w:val="008844B6"/>
    <w:rsid w:val="00886DD4"/>
    <w:rsid w:val="008876F6"/>
    <w:rsid w:val="00887A33"/>
    <w:rsid w:val="00890B3D"/>
    <w:rsid w:val="00892115"/>
    <w:rsid w:val="00892C92"/>
    <w:rsid w:val="00893370"/>
    <w:rsid w:val="008939DA"/>
    <w:rsid w:val="0089514C"/>
    <w:rsid w:val="00896937"/>
    <w:rsid w:val="00897F5C"/>
    <w:rsid w:val="008A15CE"/>
    <w:rsid w:val="008A171C"/>
    <w:rsid w:val="008A398E"/>
    <w:rsid w:val="008A4ADB"/>
    <w:rsid w:val="008B1C61"/>
    <w:rsid w:val="008B2BE9"/>
    <w:rsid w:val="008B37C5"/>
    <w:rsid w:val="008C10ED"/>
    <w:rsid w:val="008C13AC"/>
    <w:rsid w:val="008C2128"/>
    <w:rsid w:val="008C7C93"/>
    <w:rsid w:val="008D0918"/>
    <w:rsid w:val="008D107F"/>
    <w:rsid w:val="008D5E6A"/>
    <w:rsid w:val="008D653F"/>
    <w:rsid w:val="008D688A"/>
    <w:rsid w:val="008D77F3"/>
    <w:rsid w:val="008E1519"/>
    <w:rsid w:val="008E289B"/>
    <w:rsid w:val="008E3632"/>
    <w:rsid w:val="008F08C8"/>
    <w:rsid w:val="008F679A"/>
    <w:rsid w:val="008F7C3F"/>
    <w:rsid w:val="009058A1"/>
    <w:rsid w:val="00910FBA"/>
    <w:rsid w:val="00913D85"/>
    <w:rsid w:val="00921A38"/>
    <w:rsid w:val="00923208"/>
    <w:rsid w:val="009241FF"/>
    <w:rsid w:val="00925341"/>
    <w:rsid w:val="00926706"/>
    <w:rsid w:val="00927782"/>
    <w:rsid w:val="00931D2B"/>
    <w:rsid w:val="00932E42"/>
    <w:rsid w:val="009363EC"/>
    <w:rsid w:val="0093728D"/>
    <w:rsid w:val="00940CB8"/>
    <w:rsid w:val="00941279"/>
    <w:rsid w:val="00941714"/>
    <w:rsid w:val="0094541E"/>
    <w:rsid w:val="00945F49"/>
    <w:rsid w:val="0094665A"/>
    <w:rsid w:val="00947446"/>
    <w:rsid w:val="00960491"/>
    <w:rsid w:val="00963292"/>
    <w:rsid w:val="0096524C"/>
    <w:rsid w:val="009719CD"/>
    <w:rsid w:val="00975D7F"/>
    <w:rsid w:val="00977602"/>
    <w:rsid w:val="009778AA"/>
    <w:rsid w:val="00977AD8"/>
    <w:rsid w:val="00982FF7"/>
    <w:rsid w:val="00984DDD"/>
    <w:rsid w:val="009905BB"/>
    <w:rsid w:val="0099153A"/>
    <w:rsid w:val="009925BD"/>
    <w:rsid w:val="00992CDE"/>
    <w:rsid w:val="009964C7"/>
    <w:rsid w:val="009A095B"/>
    <w:rsid w:val="009A319D"/>
    <w:rsid w:val="009A66E3"/>
    <w:rsid w:val="009A6952"/>
    <w:rsid w:val="009B1B6E"/>
    <w:rsid w:val="009B2643"/>
    <w:rsid w:val="009B2E54"/>
    <w:rsid w:val="009B51DC"/>
    <w:rsid w:val="009B5BB5"/>
    <w:rsid w:val="009B6E1D"/>
    <w:rsid w:val="009C4F5A"/>
    <w:rsid w:val="009C4FC6"/>
    <w:rsid w:val="009C5152"/>
    <w:rsid w:val="009C51C2"/>
    <w:rsid w:val="009C59DA"/>
    <w:rsid w:val="009C5F46"/>
    <w:rsid w:val="009C79C5"/>
    <w:rsid w:val="009D21DE"/>
    <w:rsid w:val="009D2982"/>
    <w:rsid w:val="009D2F6B"/>
    <w:rsid w:val="009E14F0"/>
    <w:rsid w:val="009E6E8D"/>
    <w:rsid w:val="009E6FF1"/>
    <w:rsid w:val="009E7150"/>
    <w:rsid w:val="009F03A2"/>
    <w:rsid w:val="009F0BE1"/>
    <w:rsid w:val="009F0EEB"/>
    <w:rsid w:val="009F1D32"/>
    <w:rsid w:val="009F4100"/>
    <w:rsid w:val="009F758B"/>
    <w:rsid w:val="00A0099E"/>
    <w:rsid w:val="00A00EB5"/>
    <w:rsid w:val="00A03CD4"/>
    <w:rsid w:val="00A05A35"/>
    <w:rsid w:val="00A05AC5"/>
    <w:rsid w:val="00A06D32"/>
    <w:rsid w:val="00A118E1"/>
    <w:rsid w:val="00A121A9"/>
    <w:rsid w:val="00A166FB"/>
    <w:rsid w:val="00A17D01"/>
    <w:rsid w:val="00A248DC"/>
    <w:rsid w:val="00A26131"/>
    <w:rsid w:val="00A26B10"/>
    <w:rsid w:val="00A3290E"/>
    <w:rsid w:val="00A3401C"/>
    <w:rsid w:val="00A35C90"/>
    <w:rsid w:val="00A372A2"/>
    <w:rsid w:val="00A37BE2"/>
    <w:rsid w:val="00A410A7"/>
    <w:rsid w:val="00A44B20"/>
    <w:rsid w:val="00A44E45"/>
    <w:rsid w:val="00A47068"/>
    <w:rsid w:val="00A508D2"/>
    <w:rsid w:val="00A513B7"/>
    <w:rsid w:val="00A61066"/>
    <w:rsid w:val="00A610B3"/>
    <w:rsid w:val="00A6176E"/>
    <w:rsid w:val="00A617B1"/>
    <w:rsid w:val="00A63037"/>
    <w:rsid w:val="00A64332"/>
    <w:rsid w:val="00A6686A"/>
    <w:rsid w:val="00A67996"/>
    <w:rsid w:val="00A732BC"/>
    <w:rsid w:val="00A7574B"/>
    <w:rsid w:val="00A777D3"/>
    <w:rsid w:val="00A77A6E"/>
    <w:rsid w:val="00A77BDD"/>
    <w:rsid w:val="00A80001"/>
    <w:rsid w:val="00A80586"/>
    <w:rsid w:val="00A80B89"/>
    <w:rsid w:val="00A82103"/>
    <w:rsid w:val="00A917A6"/>
    <w:rsid w:val="00A91B0C"/>
    <w:rsid w:val="00A921AA"/>
    <w:rsid w:val="00A9370E"/>
    <w:rsid w:val="00A943CA"/>
    <w:rsid w:val="00AA1B4D"/>
    <w:rsid w:val="00AA2E77"/>
    <w:rsid w:val="00AA6D13"/>
    <w:rsid w:val="00AB0E83"/>
    <w:rsid w:val="00AB19FA"/>
    <w:rsid w:val="00AB25C6"/>
    <w:rsid w:val="00AB2E11"/>
    <w:rsid w:val="00AB34CA"/>
    <w:rsid w:val="00AB4FA7"/>
    <w:rsid w:val="00AC4678"/>
    <w:rsid w:val="00AC5D1B"/>
    <w:rsid w:val="00AC5D2E"/>
    <w:rsid w:val="00AC637B"/>
    <w:rsid w:val="00AC663D"/>
    <w:rsid w:val="00AC6E49"/>
    <w:rsid w:val="00AC737D"/>
    <w:rsid w:val="00AC7441"/>
    <w:rsid w:val="00AD413B"/>
    <w:rsid w:val="00AD41D3"/>
    <w:rsid w:val="00AD615E"/>
    <w:rsid w:val="00AD6A6C"/>
    <w:rsid w:val="00AD7AB8"/>
    <w:rsid w:val="00AD7E25"/>
    <w:rsid w:val="00AE244D"/>
    <w:rsid w:val="00AE47D2"/>
    <w:rsid w:val="00AE6F91"/>
    <w:rsid w:val="00AF16EA"/>
    <w:rsid w:val="00AF3888"/>
    <w:rsid w:val="00AF5458"/>
    <w:rsid w:val="00B027E7"/>
    <w:rsid w:val="00B067C9"/>
    <w:rsid w:val="00B07CA9"/>
    <w:rsid w:val="00B129E3"/>
    <w:rsid w:val="00B13A89"/>
    <w:rsid w:val="00B14838"/>
    <w:rsid w:val="00B20AAD"/>
    <w:rsid w:val="00B241D1"/>
    <w:rsid w:val="00B2602E"/>
    <w:rsid w:val="00B261A5"/>
    <w:rsid w:val="00B33219"/>
    <w:rsid w:val="00B33462"/>
    <w:rsid w:val="00B35A71"/>
    <w:rsid w:val="00B37879"/>
    <w:rsid w:val="00B40174"/>
    <w:rsid w:val="00B413C7"/>
    <w:rsid w:val="00B418E8"/>
    <w:rsid w:val="00B43758"/>
    <w:rsid w:val="00B46770"/>
    <w:rsid w:val="00B53DEC"/>
    <w:rsid w:val="00B5445F"/>
    <w:rsid w:val="00B56248"/>
    <w:rsid w:val="00B605DB"/>
    <w:rsid w:val="00B6428E"/>
    <w:rsid w:val="00B643C9"/>
    <w:rsid w:val="00B65C8B"/>
    <w:rsid w:val="00B6669D"/>
    <w:rsid w:val="00B677AA"/>
    <w:rsid w:val="00B71731"/>
    <w:rsid w:val="00B75752"/>
    <w:rsid w:val="00B761B1"/>
    <w:rsid w:val="00B7656C"/>
    <w:rsid w:val="00B8087F"/>
    <w:rsid w:val="00B916C0"/>
    <w:rsid w:val="00B96ACF"/>
    <w:rsid w:val="00BA32DE"/>
    <w:rsid w:val="00BA4357"/>
    <w:rsid w:val="00BA502A"/>
    <w:rsid w:val="00BA5EFC"/>
    <w:rsid w:val="00BA643F"/>
    <w:rsid w:val="00BA6854"/>
    <w:rsid w:val="00BA699A"/>
    <w:rsid w:val="00BB2C3C"/>
    <w:rsid w:val="00BB4C1A"/>
    <w:rsid w:val="00BB6173"/>
    <w:rsid w:val="00BB7420"/>
    <w:rsid w:val="00BC4AE1"/>
    <w:rsid w:val="00BC6E9F"/>
    <w:rsid w:val="00BD0FDF"/>
    <w:rsid w:val="00BD10A2"/>
    <w:rsid w:val="00BD1A4D"/>
    <w:rsid w:val="00BD1ECA"/>
    <w:rsid w:val="00BD72E6"/>
    <w:rsid w:val="00BE3A28"/>
    <w:rsid w:val="00BE3FED"/>
    <w:rsid w:val="00BE6352"/>
    <w:rsid w:val="00BF0876"/>
    <w:rsid w:val="00BF08E1"/>
    <w:rsid w:val="00BF096B"/>
    <w:rsid w:val="00BF1FD2"/>
    <w:rsid w:val="00BF4B8E"/>
    <w:rsid w:val="00BF5CF4"/>
    <w:rsid w:val="00BF6E4D"/>
    <w:rsid w:val="00BF6F7B"/>
    <w:rsid w:val="00C028AC"/>
    <w:rsid w:val="00C04873"/>
    <w:rsid w:val="00C05F14"/>
    <w:rsid w:val="00C061E8"/>
    <w:rsid w:val="00C06501"/>
    <w:rsid w:val="00C06970"/>
    <w:rsid w:val="00C06D4B"/>
    <w:rsid w:val="00C077B5"/>
    <w:rsid w:val="00C12A36"/>
    <w:rsid w:val="00C161A3"/>
    <w:rsid w:val="00C16469"/>
    <w:rsid w:val="00C1707A"/>
    <w:rsid w:val="00C231D4"/>
    <w:rsid w:val="00C231E5"/>
    <w:rsid w:val="00C232D4"/>
    <w:rsid w:val="00C23AE8"/>
    <w:rsid w:val="00C2796B"/>
    <w:rsid w:val="00C31AE1"/>
    <w:rsid w:val="00C33158"/>
    <w:rsid w:val="00C34B51"/>
    <w:rsid w:val="00C406EF"/>
    <w:rsid w:val="00C41CDA"/>
    <w:rsid w:val="00C449D9"/>
    <w:rsid w:val="00C4641C"/>
    <w:rsid w:val="00C46734"/>
    <w:rsid w:val="00C46A78"/>
    <w:rsid w:val="00C47CB4"/>
    <w:rsid w:val="00C5196D"/>
    <w:rsid w:val="00C52F06"/>
    <w:rsid w:val="00C600FE"/>
    <w:rsid w:val="00C6280D"/>
    <w:rsid w:val="00C63D01"/>
    <w:rsid w:val="00C63D76"/>
    <w:rsid w:val="00C65488"/>
    <w:rsid w:val="00C739EF"/>
    <w:rsid w:val="00C74FD3"/>
    <w:rsid w:val="00C74FED"/>
    <w:rsid w:val="00C75969"/>
    <w:rsid w:val="00C81878"/>
    <w:rsid w:val="00C85056"/>
    <w:rsid w:val="00C85C4C"/>
    <w:rsid w:val="00C96876"/>
    <w:rsid w:val="00CA4DEA"/>
    <w:rsid w:val="00CA6805"/>
    <w:rsid w:val="00CA78D2"/>
    <w:rsid w:val="00CB0E63"/>
    <w:rsid w:val="00CB1E49"/>
    <w:rsid w:val="00CB672A"/>
    <w:rsid w:val="00CB74E1"/>
    <w:rsid w:val="00CC4DE7"/>
    <w:rsid w:val="00CD3D9E"/>
    <w:rsid w:val="00CD4165"/>
    <w:rsid w:val="00CD5EE4"/>
    <w:rsid w:val="00CD6D19"/>
    <w:rsid w:val="00CE18D3"/>
    <w:rsid w:val="00CE332B"/>
    <w:rsid w:val="00CE72CE"/>
    <w:rsid w:val="00CE7C6F"/>
    <w:rsid w:val="00CF0D2D"/>
    <w:rsid w:val="00CF28FB"/>
    <w:rsid w:val="00CF53DD"/>
    <w:rsid w:val="00CF6CB7"/>
    <w:rsid w:val="00CF712C"/>
    <w:rsid w:val="00CF7EBF"/>
    <w:rsid w:val="00D03A9F"/>
    <w:rsid w:val="00D11435"/>
    <w:rsid w:val="00D152ED"/>
    <w:rsid w:val="00D20AAC"/>
    <w:rsid w:val="00D21CC0"/>
    <w:rsid w:val="00D247FF"/>
    <w:rsid w:val="00D26FCA"/>
    <w:rsid w:val="00D334F6"/>
    <w:rsid w:val="00D33F75"/>
    <w:rsid w:val="00D35FA6"/>
    <w:rsid w:val="00D3630B"/>
    <w:rsid w:val="00D412F0"/>
    <w:rsid w:val="00D418F2"/>
    <w:rsid w:val="00D42427"/>
    <w:rsid w:val="00D42A97"/>
    <w:rsid w:val="00D42E10"/>
    <w:rsid w:val="00D43EF8"/>
    <w:rsid w:val="00D45A8C"/>
    <w:rsid w:val="00D47B48"/>
    <w:rsid w:val="00D51405"/>
    <w:rsid w:val="00D52FCC"/>
    <w:rsid w:val="00D53646"/>
    <w:rsid w:val="00D56012"/>
    <w:rsid w:val="00D61D78"/>
    <w:rsid w:val="00D65BD5"/>
    <w:rsid w:val="00D65DB1"/>
    <w:rsid w:val="00D6767B"/>
    <w:rsid w:val="00D70FF5"/>
    <w:rsid w:val="00D72810"/>
    <w:rsid w:val="00D73580"/>
    <w:rsid w:val="00D7480B"/>
    <w:rsid w:val="00D7620E"/>
    <w:rsid w:val="00D7798E"/>
    <w:rsid w:val="00D81A8F"/>
    <w:rsid w:val="00D8209D"/>
    <w:rsid w:val="00D82ECF"/>
    <w:rsid w:val="00D84605"/>
    <w:rsid w:val="00D84878"/>
    <w:rsid w:val="00D84D48"/>
    <w:rsid w:val="00D8759D"/>
    <w:rsid w:val="00D90141"/>
    <w:rsid w:val="00D939F7"/>
    <w:rsid w:val="00D93B79"/>
    <w:rsid w:val="00D96665"/>
    <w:rsid w:val="00D97161"/>
    <w:rsid w:val="00D97E33"/>
    <w:rsid w:val="00DA11E5"/>
    <w:rsid w:val="00DA1D52"/>
    <w:rsid w:val="00DA2A06"/>
    <w:rsid w:val="00DA2A6B"/>
    <w:rsid w:val="00DA2C60"/>
    <w:rsid w:val="00DA2D9D"/>
    <w:rsid w:val="00DA31B2"/>
    <w:rsid w:val="00DA715C"/>
    <w:rsid w:val="00DB1743"/>
    <w:rsid w:val="00DB203A"/>
    <w:rsid w:val="00DB2A6D"/>
    <w:rsid w:val="00DB5A1A"/>
    <w:rsid w:val="00DB5B5C"/>
    <w:rsid w:val="00DB5E03"/>
    <w:rsid w:val="00DC092E"/>
    <w:rsid w:val="00DC2EF1"/>
    <w:rsid w:val="00DC5395"/>
    <w:rsid w:val="00DD16C2"/>
    <w:rsid w:val="00DD25FF"/>
    <w:rsid w:val="00DD2AF9"/>
    <w:rsid w:val="00DD3473"/>
    <w:rsid w:val="00DD6B5A"/>
    <w:rsid w:val="00DE02A7"/>
    <w:rsid w:val="00DE0A0A"/>
    <w:rsid w:val="00DE17D9"/>
    <w:rsid w:val="00DE34AD"/>
    <w:rsid w:val="00DE7704"/>
    <w:rsid w:val="00DF026B"/>
    <w:rsid w:val="00DF0A35"/>
    <w:rsid w:val="00DF2EC3"/>
    <w:rsid w:val="00DF4FB6"/>
    <w:rsid w:val="00DF6F8C"/>
    <w:rsid w:val="00DF7A9D"/>
    <w:rsid w:val="00E01383"/>
    <w:rsid w:val="00E02141"/>
    <w:rsid w:val="00E02B5C"/>
    <w:rsid w:val="00E12384"/>
    <w:rsid w:val="00E12E06"/>
    <w:rsid w:val="00E13525"/>
    <w:rsid w:val="00E13755"/>
    <w:rsid w:val="00E15051"/>
    <w:rsid w:val="00E16CBA"/>
    <w:rsid w:val="00E213A2"/>
    <w:rsid w:val="00E218F6"/>
    <w:rsid w:val="00E24774"/>
    <w:rsid w:val="00E251A9"/>
    <w:rsid w:val="00E2625C"/>
    <w:rsid w:val="00E2718B"/>
    <w:rsid w:val="00E27FFD"/>
    <w:rsid w:val="00E300BF"/>
    <w:rsid w:val="00E3118B"/>
    <w:rsid w:val="00E31966"/>
    <w:rsid w:val="00E33BD2"/>
    <w:rsid w:val="00E33DE6"/>
    <w:rsid w:val="00E3459B"/>
    <w:rsid w:val="00E35010"/>
    <w:rsid w:val="00E352F3"/>
    <w:rsid w:val="00E36225"/>
    <w:rsid w:val="00E3627A"/>
    <w:rsid w:val="00E37ABC"/>
    <w:rsid w:val="00E40D97"/>
    <w:rsid w:val="00E4340D"/>
    <w:rsid w:val="00E44AE7"/>
    <w:rsid w:val="00E45E5F"/>
    <w:rsid w:val="00E47267"/>
    <w:rsid w:val="00E477FF"/>
    <w:rsid w:val="00E4781C"/>
    <w:rsid w:val="00E52763"/>
    <w:rsid w:val="00E53CF6"/>
    <w:rsid w:val="00E5476B"/>
    <w:rsid w:val="00E558D9"/>
    <w:rsid w:val="00E56671"/>
    <w:rsid w:val="00E61646"/>
    <w:rsid w:val="00E64522"/>
    <w:rsid w:val="00E659FB"/>
    <w:rsid w:val="00E67066"/>
    <w:rsid w:val="00E72781"/>
    <w:rsid w:val="00E735EC"/>
    <w:rsid w:val="00E803CD"/>
    <w:rsid w:val="00E81330"/>
    <w:rsid w:val="00E82CB2"/>
    <w:rsid w:val="00E85B8F"/>
    <w:rsid w:val="00E876F1"/>
    <w:rsid w:val="00E9105A"/>
    <w:rsid w:val="00E91485"/>
    <w:rsid w:val="00E91BB6"/>
    <w:rsid w:val="00E94547"/>
    <w:rsid w:val="00EA0785"/>
    <w:rsid w:val="00EA128E"/>
    <w:rsid w:val="00EA1BC5"/>
    <w:rsid w:val="00EA3FA1"/>
    <w:rsid w:val="00EA4557"/>
    <w:rsid w:val="00EA52CD"/>
    <w:rsid w:val="00EB04E9"/>
    <w:rsid w:val="00EB2C81"/>
    <w:rsid w:val="00EB4F2E"/>
    <w:rsid w:val="00ED0471"/>
    <w:rsid w:val="00ED10FE"/>
    <w:rsid w:val="00ED1F38"/>
    <w:rsid w:val="00ED41E1"/>
    <w:rsid w:val="00ED6F19"/>
    <w:rsid w:val="00EE0B38"/>
    <w:rsid w:val="00EE1352"/>
    <w:rsid w:val="00EE1552"/>
    <w:rsid w:val="00EE5314"/>
    <w:rsid w:val="00EE7365"/>
    <w:rsid w:val="00EE7DCD"/>
    <w:rsid w:val="00EF09BA"/>
    <w:rsid w:val="00EF0BEC"/>
    <w:rsid w:val="00EF235F"/>
    <w:rsid w:val="00F0118C"/>
    <w:rsid w:val="00F017FE"/>
    <w:rsid w:val="00F04354"/>
    <w:rsid w:val="00F05BF2"/>
    <w:rsid w:val="00F12645"/>
    <w:rsid w:val="00F134A9"/>
    <w:rsid w:val="00F142D3"/>
    <w:rsid w:val="00F15767"/>
    <w:rsid w:val="00F175BF"/>
    <w:rsid w:val="00F2320C"/>
    <w:rsid w:val="00F232DD"/>
    <w:rsid w:val="00F24865"/>
    <w:rsid w:val="00F26196"/>
    <w:rsid w:val="00F31D64"/>
    <w:rsid w:val="00F3222D"/>
    <w:rsid w:val="00F356C6"/>
    <w:rsid w:val="00F35ACC"/>
    <w:rsid w:val="00F365E4"/>
    <w:rsid w:val="00F36975"/>
    <w:rsid w:val="00F36FAC"/>
    <w:rsid w:val="00F3741A"/>
    <w:rsid w:val="00F4308D"/>
    <w:rsid w:val="00F43A14"/>
    <w:rsid w:val="00F4424A"/>
    <w:rsid w:val="00F45B3B"/>
    <w:rsid w:val="00F4711D"/>
    <w:rsid w:val="00F5014C"/>
    <w:rsid w:val="00F5287D"/>
    <w:rsid w:val="00F565FD"/>
    <w:rsid w:val="00F56EC6"/>
    <w:rsid w:val="00F576E1"/>
    <w:rsid w:val="00F57961"/>
    <w:rsid w:val="00F57EF4"/>
    <w:rsid w:val="00F62017"/>
    <w:rsid w:val="00F62661"/>
    <w:rsid w:val="00F63A41"/>
    <w:rsid w:val="00F63BE3"/>
    <w:rsid w:val="00F64654"/>
    <w:rsid w:val="00F65B6B"/>
    <w:rsid w:val="00F773DF"/>
    <w:rsid w:val="00F869BB"/>
    <w:rsid w:val="00F86CF8"/>
    <w:rsid w:val="00F87B7C"/>
    <w:rsid w:val="00F913AC"/>
    <w:rsid w:val="00F94A2C"/>
    <w:rsid w:val="00F974B9"/>
    <w:rsid w:val="00FA2C65"/>
    <w:rsid w:val="00FA2E94"/>
    <w:rsid w:val="00FA3BD6"/>
    <w:rsid w:val="00FA6AB4"/>
    <w:rsid w:val="00FB01E4"/>
    <w:rsid w:val="00FB3E36"/>
    <w:rsid w:val="00FB432C"/>
    <w:rsid w:val="00FB442A"/>
    <w:rsid w:val="00FB490A"/>
    <w:rsid w:val="00FB60AB"/>
    <w:rsid w:val="00FC1555"/>
    <w:rsid w:val="00FD2247"/>
    <w:rsid w:val="00FD5DCF"/>
    <w:rsid w:val="00FD5E03"/>
    <w:rsid w:val="00FD7B94"/>
    <w:rsid w:val="00FE1491"/>
    <w:rsid w:val="00FE35F0"/>
    <w:rsid w:val="00FE4BFB"/>
    <w:rsid w:val="00FF4E6D"/>
    <w:rsid w:val="00FF4F2E"/>
    <w:rsid w:val="00FF5C52"/>
  </w:rsids>
  <m:mathPr>
    <m:mathFont m:val="Cambria Math"/>
    <m:brkBin m:val="before"/>
    <m:brkBinSub m:val="--"/>
    <m:smallFrac m:val="off"/>
    <m:dispDef/>
    <m:lMargin m:val="1440"/>
    <m:rMargin m:val="144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fillcolor="white">
      <v:fill color="white"/>
      <o:colormru v:ext="edit" colors="#334c4f,#79b5b0,#b77851,#d1e1e3,#066,#7ea8ac,#4e767a,#293d3f"/>
      <o:colormenu v:ext="edit" fillcolor="none" strokecolor="none" shadowcolor="none" extrusioncolor="none"/>
    </o:shapedefaults>
    <o:shapelayout v:ext="edit">
      <o:idmap v:ext="edit" data="1"/>
      <o:regrouptable v:ext="edit">
        <o:entry new="1" old="0"/>
        <o:entry new="2" old="0"/>
        <o:entry new="3" old="0"/>
        <o:entry new="4" old="0"/>
        <o:entry new="5" old="0"/>
        <o:entry new="6" old="0"/>
      </o:regrouptable>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HAnsi"/>
        <w:sz w:val="22"/>
        <w:szCs w:val="22"/>
        <w:lang w:val="en-US" w:eastAsia="en-US" w:bidi="ar-SA"/>
      </w:rPr>
    </w:rPrDefault>
    <w:pPrDefault>
      <w:pPr>
        <w:spacing w:after="200" w:line="276" w:lineRule="auto"/>
      </w:pPr>
    </w:pPrDefault>
  </w:docDefaults>
  <w:latentStyles w:defLockedState="0" w:defUIPriority="0" w:defSemiHidden="0" w:defUnhideWhenUsed="0" w:defQFormat="0" w:count="267"/>
  <w:style w:type="paragraph" w:default="1" w:styleId="Normal">
    <w:name w:val="Normal"/>
    <w:qFormat/>
    <w:rsid w:val="008939DA"/>
    <w:rPr>
      <w:sz w:val="20"/>
      <w:szCs w:val="20"/>
      <w:lang w:eastAsia="ja-JP"/>
    </w:rPr>
  </w:style>
  <w:style w:type="paragraph" w:styleId="Heading1">
    <w:name w:val="heading 1"/>
    <w:basedOn w:val="Normal"/>
    <w:next w:val="Normal"/>
    <w:link w:val="Heading1Char"/>
    <w:qFormat/>
    <w:rsid w:val="001A0F5F"/>
    <w:pPr>
      <w:numPr>
        <w:numId w:val="16"/>
      </w:numPr>
      <w:spacing w:before="360" w:after="80"/>
      <w:ind w:left="2160" w:hanging="2160"/>
      <w:outlineLvl w:val="0"/>
    </w:pPr>
    <w:rPr>
      <w:rFonts w:asciiTheme="majorHAnsi" w:hAnsiTheme="majorHAnsi"/>
      <w:color w:val="3891A7" w:themeColor="accent1"/>
      <w:sz w:val="40"/>
      <w:szCs w:val="32"/>
    </w:rPr>
  </w:style>
  <w:style w:type="paragraph" w:styleId="Heading2">
    <w:name w:val="heading 2"/>
    <w:basedOn w:val="Normal"/>
    <w:next w:val="Normal"/>
    <w:link w:val="Heading2Char"/>
    <w:qFormat/>
    <w:rsid w:val="00BE3A28"/>
    <w:pPr>
      <w:keepNext/>
      <w:numPr>
        <w:ilvl w:val="1"/>
        <w:numId w:val="8"/>
      </w:numPr>
      <w:spacing w:after="0"/>
      <w:ind w:left="0"/>
      <w:outlineLvl w:val="1"/>
    </w:pPr>
    <w:rPr>
      <w:rFonts w:asciiTheme="majorHAnsi" w:hAnsiTheme="majorHAnsi"/>
      <w:color w:val="3891A7" w:themeColor="accent1"/>
      <w:sz w:val="32"/>
      <w:szCs w:val="28"/>
    </w:rPr>
  </w:style>
  <w:style w:type="paragraph" w:styleId="Heading3">
    <w:name w:val="heading 3"/>
    <w:basedOn w:val="Normal"/>
    <w:next w:val="Normal"/>
    <w:link w:val="Heading3Char"/>
    <w:qFormat/>
    <w:rsid w:val="00500DB0"/>
    <w:pPr>
      <w:keepNext/>
      <w:numPr>
        <w:ilvl w:val="2"/>
        <w:numId w:val="8"/>
      </w:numPr>
      <w:spacing w:after="0"/>
      <w:ind w:left="0"/>
      <w:outlineLvl w:val="2"/>
    </w:pPr>
    <w:rPr>
      <w:rFonts w:asciiTheme="majorHAnsi" w:hAnsiTheme="majorHAnsi"/>
      <w:color w:val="3891A7" w:themeColor="accent1"/>
      <w:sz w:val="28"/>
      <w:szCs w:val="24"/>
    </w:rPr>
  </w:style>
  <w:style w:type="paragraph" w:styleId="Heading4">
    <w:name w:val="heading 4"/>
    <w:basedOn w:val="Normal"/>
    <w:next w:val="Normal"/>
    <w:link w:val="Heading4Char"/>
    <w:unhideWhenUsed/>
    <w:qFormat/>
    <w:rsid w:val="005606E4"/>
    <w:pPr>
      <w:keepNext/>
      <w:numPr>
        <w:ilvl w:val="3"/>
        <w:numId w:val="8"/>
      </w:numPr>
      <w:spacing w:after="0"/>
      <w:ind w:left="0"/>
      <w:outlineLvl w:val="3"/>
    </w:pPr>
    <w:rPr>
      <w:rFonts w:asciiTheme="majorHAnsi" w:hAnsiTheme="majorHAnsi"/>
      <w:i/>
      <w:color w:val="3891A7" w:themeColor="accent1"/>
      <w:sz w:val="24"/>
      <w:szCs w:val="22"/>
    </w:rPr>
  </w:style>
  <w:style w:type="paragraph" w:styleId="Heading5">
    <w:name w:val="heading 5"/>
    <w:basedOn w:val="Normal"/>
    <w:next w:val="Normal"/>
    <w:link w:val="Heading5Char"/>
    <w:uiPriority w:val="9"/>
    <w:semiHidden/>
    <w:unhideWhenUsed/>
    <w:qFormat/>
    <w:rsid w:val="003B6054"/>
    <w:pPr>
      <w:numPr>
        <w:ilvl w:val="4"/>
        <w:numId w:val="8"/>
      </w:numPr>
      <w:spacing w:after="0"/>
      <w:outlineLvl w:val="4"/>
    </w:pPr>
    <w:rPr>
      <w:rFonts w:asciiTheme="majorHAnsi" w:hAnsiTheme="majorHAnsi"/>
      <w:b/>
      <w:color w:val="C48B01" w:themeColor="accent2" w:themeShade="BF"/>
    </w:rPr>
  </w:style>
  <w:style w:type="paragraph" w:styleId="Heading6">
    <w:name w:val="heading 6"/>
    <w:basedOn w:val="Normal"/>
    <w:next w:val="Normal"/>
    <w:link w:val="Heading6Char"/>
    <w:uiPriority w:val="9"/>
    <w:semiHidden/>
    <w:unhideWhenUsed/>
    <w:qFormat/>
    <w:rsid w:val="003B6054"/>
    <w:pPr>
      <w:numPr>
        <w:ilvl w:val="5"/>
        <w:numId w:val="8"/>
      </w:numPr>
      <w:spacing w:after="0"/>
      <w:outlineLvl w:val="5"/>
    </w:pPr>
    <w:rPr>
      <w:rFonts w:asciiTheme="majorHAnsi" w:hAnsiTheme="majorHAnsi"/>
      <w:b/>
      <w:i/>
      <w:color w:val="C48B01" w:themeColor="accent2" w:themeShade="BF"/>
    </w:rPr>
  </w:style>
  <w:style w:type="paragraph" w:styleId="Heading7">
    <w:name w:val="heading 7"/>
    <w:basedOn w:val="Normal"/>
    <w:next w:val="Normal"/>
    <w:link w:val="Heading7Char"/>
    <w:uiPriority w:val="9"/>
    <w:semiHidden/>
    <w:unhideWhenUsed/>
    <w:qFormat/>
    <w:rsid w:val="003B6054"/>
    <w:pPr>
      <w:numPr>
        <w:ilvl w:val="6"/>
        <w:numId w:val="8"/>
      </w:numPr>
      <w:spacing w:after="0"/>
      <w:outlineLvl w:val="6"/>
    </w:pPr>
    <w:rPr>
      <w:rFonts w:asciiTheme="majorHAnsi" w:hAnsiTheme="majorHAnsi"/>
      <w:b/>
      <w:color w:val="3891A7" w:themeColor="accent1"/>
    </w:rPr>
  </w:style>
  <w:style w:type="paragraph" w:styleId="Heading8">
    <w:name w:val="heading 8"/>
    <w:basedOn w:val="Normal"/>
    <w:next w:val="Normal"/>
    <w:link w:val="Heading8Char"/>
    <w:uiPriority w:val="9"/>
    <w:semiHidden/>
    <w:unhideWhenUsed/>
    <w:qFormat/>
    <w:rsid w:val="003B6054"/>
    <w:pPr>
      <w:numPr>
        <w:ilvl w:val="7"/>
        <w:numId w:val="8"/>
      </w:numPr>
      <w:spacing w:after="0"/>
      <w:outlineLvl w:val="7"/>
    </w:pPr>
    <w:rPr>
      <w:rFonts w:asciiTheme="majorHAnsi" w:hAnsiTheme="majorHAnsi"/>
      <w:b/>
      <w:i/>
      <w:color w:val="3891A7" w:themeColor="accent1"/>
    </w:rPr>
  </w:style>
  <w:style w:type="paragraph" w:styleId="Heading9">
    <w:name w:val="heading 9"/>
    <w:basedOn w:val="Normal"/>
    <w:next w:val="Normal"/>
    <w:link w:val="Heading9Char"/>
    <w:uiPriority w:val="9"/>
    <w:semiHidden/>
    <w:unhideWhenUsed/>
    <w:qFormat/>
    <w:rsid w:val="003B6054"/>
    <w:pPr>
      <w:numPr>
        <w:ilvl w:val="8"/>
        <w:numId w:val="8"/>
      </w:numPr>
      <w:spacing w:after="0"/>
      <w:outlineLvl w:val="8"/>
    </w:pPr>
    <w:rPr>
      <w:rFonts w:asciiTheme="majorHAnsi" w:hAnsiTheme="majorHAnsi"/>
      <w:b/>
      <w:color w:val="3B1D15" w:themeColor="text2"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nhideWhenUsed/>
    <w:rsid w:val="003B60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44FC"/>
    <w:rPr>
      <w:rFonts w:ascii="Lucida Grande" w:hAnsi="Lucida Grande"/>
      <w:sz w:val="18"/>
      <w:szCs w:val="18"/>
    </w:rPr>
  </w:style>
  <w:style w:type="table" w:styleId="TableGrid">
    <w:name w:val="Table Grid"/>
    <w:basedOn w:val="TableNormal"/>
    <w:uiPriority w:val="59"/>
    <w:rsid w:val="003B60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qFormat/>
    <w:rsid w:val="00887A33"/>
    <w:pPr>
      <w:numPr>
        <w:numId w:val="7"/>
      </w:numPr>
      <w:spacing w:before="400"/>
      <w:ind w:left="360"/>
    </w:pPr>
    <w:rPr>
      <w:rFonts w:asciiTheme="majorHAnsi" w:hAnsiTheme="majorHAnsi"/>
      <w:color w:val="2A6C7D" w:themeColor="accent1" w:themeShade="BF"/>
      <w:sz w:val="56"/>
      <w:szCs w:val="56"/>
    </w:rPr>
  </w:style>
  <w:style w:type="character" w:customStyle="1" w:styleId="TitleChar">
    <w:name w:val="Title Char"/>
    <w:basedOn w:val="DefaultParagraphFont"/>
    <w:link w:val="Title"/>
    <w:rsid w:val="00887A33"/>
    <w:rPr>
      <w:rFonts w:asciiTheme="majorHAnsi" w:hAnsiTheme="majorHAnsi"/>
      <w:color w:val="2A6C7D" w:themeColor="accent1" w:themeShade="BF"/>
      <w:sz w:val="56"/>
      <w:szCs w:val="56"/>
      <w:lang w:eastAsia="ja-JP"/>
    </w:rPr>
  </w:style>
  <w:style w:type="paragraph" w:styleId="Subtitle">
    <w:name w:val="Subtitle"/>
    <w:basedOn w:val="Normal"/>
    <w:link w:val="SubtitleChar"/>
    <w:qFormat/>
    <w:rsid w:val="003B6054"/>
    <w:pPr>
      <w:spacing w:after="480"/>
    </w:pPr>
    <w:rPr>
      <w:i/>
      <w:color w:val="4F271C" w:themeColor="text2"/>
      <w:sz w:val="24"/>
      <w:szCs w:val="24"/>
    </w:rPr>
  </w:style>
  <w:style w:type="character" w:customStyle="1" w:styleId="SubtitleChar">
    <w:name w:val="Subtitle Char"/>
    <w:basedOn w:val="DefaultParagraphFont"/>
    <w:link w:val="Subtitle"/>
    <w:rsid w:val="003B6054"/>
    <w:rPr>
      <w:i/>
      <w:color w:val="4F271C" w:themeColor="text2"/>
      <w:sz w:val="24"/>
      <w:szCs w:val="24"/>
      <w:lang w:eastAsia="ja-JP"/>
    </w:rPr>
  </w:style>
  <w:style w:type="character" w:styleId="IntenseEmphasis">
    <w:name w:val="Intense Emphasis"/>
    <w:basedOn w:val="DefaultParagraphFont"/>
    <w:uiPriority w:val="21"/>
    <w:qFormat/>
    <w:rsid w:val="003B6054"/>
    <w:rPr>
      <w:rFonts w:asciiTheme="minorHAnsi" w:hAnsiTheme="minorHAnsi" w:cstheme="minorHAnsi"/>
      <w:b/>
      <w:i/>
      <w:caps/>
      <w:color w:val="438086"/>
      <w:spacing w:val="5"/>
    </w:rPr>
  </w:style>
  <w:style w:type="character" w:customStyle="1" w:styleId="Heading1Char">
    <w:name w:val="Heading 1 Char"/>
    <w:basedOn w:val="DefaultParagraphFont"/>
    <w:link w:val="Heading1"/>
    <w:rsid w:val="001A0F5F"/>
    <w:rPr>
      <w:rFonts w:asciiTheme="majorHAnsi" w:hAnsiTheme="majorHAnsi"/>
      <w:color w:val="3891A7" w:themeColor="accent1"/>
      <w:sz w:val="40"/>
      <w:szCs w:val="32"/>
      <w:lang w:eastAsia="ja-JP"/>
    </w:rPr>
  </w:style>
  <w:style w:type="character" w:customStyle="1" w:styleId="Heading2Char">
    <w:name w:val="Heading 2 Char"/>
    <w:basedOn w:val="DefaultParagraphFont"/>
    <w:link w:val="Heading2"/>
    <w:rsid w:val="00BE3A28"/>
    <w:rPr>
      <w:rFonts w:asciiTheme="majorHAnsi" w:hAnsiTheme="majorHAnsi"/>
      <w:color w:val="3891A7" w:themeColor="accent1"/>
      <w:sz w:val="32"/>
      <w:szCs w:val="28"/>
      <w:lang w:eastAsia="ja-JP"/>
    </w:rPr>
  </w:style>
  <w:style w:type="character" w:customStyle="1" w:styleId="Heading3Char">
    <w:name w:val="Heading 3 Char"/>
    <w:basedOn w:val="DefaultParagraphFont"/>
    <w:link w:val="Heading3"/>
    <w:rsid w:val="00500DB0"/>
    <w:rPr>
      <w:rFonts w:asciiTheme="majorHAnsi" w:hAnsiTheme="majorHAnsi"/>
      <w:color w:val="3891A7" w:themeColor="accent1"/>
      <w:sz w:val="28"/>
      <w:szCs w:val="24"/>
      <w:lang w:eastAsia="ja-JP"/>
    </w:rPr>
  </w:style>
  <w:style w:type="character" w:customStyle="1" w:styleId="Heading4Char">
    <w:name w:val="Heading 4 Char"/>
    <w:basedOn w:val="DefaultParagraphFont"/>
    <w:link w:val="Heading4"/>
    <w:rsid w:val="005606E4"/>
    <w:rPr>
      <w:rFonts w:asciiTheme="majorHAnsi" w:hAnsiTheme="majorHAnsi"/>
      <w:i/>
      <w:color w:val="3891A7" w:themeColor="accent1"/>
      <w:sz w:val="24"/>
      <w:lang w:eastAsia="ja-JP"/>
    </w:rPr>
  </w:style>
  <w:style w:type="character" w:customStyle="1" w:styleId="Heading5Char">
    <w:name w:val="Heading 5 Char"/>
    <w:basedOn w:val="DefaultParagraphFont"/>
    <w:link w:val="Heading5"/>
    <w:uiPriority w:val="9"/>
    <w:semiHidden/>
    <w:rsid w:val="003B6054"/>
    <w:rPr>
      <w:rFonts w:asciiTheme="majorHAnsi" w:hAnsiTheme="majorHAnsi"/>
      <w:b/>
      <w:color w:val="C48B01" w:themeColor="accent2" w:themeShade="BF"/>
      <w:sz w:val="20"/>
      <w:szCs w:val="20"/>
      <w:lang w:eastAsia="ja-JP"/>
    </w:rPr>
  </w:style>
  <w:style w:type="character" w:customStyle="1" w:styleId="Heading6Char">
    <w:name w:val="Heading 6 Char"/>
    <w:basedOn w:val="DefaultParagraphFont"/>
    <w:link w:val="Heading6"/>
    <w:uiPriority w:val="9"/>
    <w:semiHidden/>
    <w:rsid w:val="003B6054"/>
    <w:rPr>
      <w:rFonts w:asciiTheme="majorHAnsi" w:hAnsiTheme="majorHAnsi"/>
      <w:b/>
      <w:i/>
      <w:color w:val="C48B01" w:themeColor="accent2" w:themeShade="BF"/>
      <w:sz w:val="20"/>
      <w:szCs w:val="20"/>
      <w:lang w:eastAsia="ja-JP"/>
    </w:rPr>
  </w:style>
  <w:style w:type="character" w:customStyle="1" w:styleId="Heading7Char">
    <w:name w:val="Heading 7 Char"/>
    <w:basedOn w:val="DefaultParagraphFont"/>
    <w:link w:val="Heading7"/>
    <w:uiPriority w:val="9"/>
    <w:semiHidden/>
    <w:rsid w:val="003B6054"/>
    <w:rPr>
      <w:rFonts w:asciiTheme="majorHAnsi" w:hAnsiTheme="majorHAnsi"/>
      <w:b/>
      <w:color w:val="3891A7" w:themeColor="accent1"/>
      <w:sz w:val="20"/>
      <w:szCs w:val="20"/>
      <w:lang w:eastAsia="ja-JP"/>
    </w:rPr>
  </w:style>
  <w:style w:type="character" w:customStyle="1" w:styleId="Heading8Char">
    <w:name w:val="Heading 8 Char"/>
    <w:basedOn w:val="DefaultParagraphFont"/>
    <w:link w:val="Heading8"/>
    <w:uiPriority w:val="9"/>
    <w:semiHidden/>
    <w:rsid w:val="003B6054"/>
    <w:rPr>
      <w:rFonts w:asciiTheme="majorHAnsi" w:hAnsiTheme="majorHAnsi"/>
      <w:b/>
      <w:i/>
      <w:color w:val="3891A7" w:themeColor="accent1"/>
      <w:sz w:val="20"/>
      <w:szCs w:val="20"/>
      <w:lang w:eastAsia="ja-JP"/>
    </w:rPr>
  </w:style>
  <w:style w:type="character" w:customStyle="1" w:styleId="Heading9Char">
    <w:name w:val="Heading 9 Char"/>
    <w:basedOn w:val="DefaultParagraphFont"/>
    <w:link w:val="Heading9"/>
    <w:uiPriority w:val="9"/>
    <w:semiHidden/>
    <w:rsid w:val="003B6054"/>
    <w:rPr>
      <w:rFonts w:asciiTheme="majorHAnsi" w:hAnsiTheme="majorHAnsi"/>
      <w:b/>
      <w:color w:val="3B1D15" w:themeColor="text2" w:themeShade="BF"/>
      <w:sz w:val="20"/>
      <w:szCs w:val="20"/>
      <w:lang w:eastAsia="ja-JP"/>
    </w:rPr>
  </w:style>
  <w:style w:type="character" w:styleId="Strong">
    <w:name w:val="Strong"/>
    <w:basedOn w:val="DefaultParagraphFont"/>
    <w:qFormat/>
    <w:rsid w:val="003B6054"/>
    <w:rPr>
      <w:b/>
      <w:bCs/>
    </w:rPr>
  </w:style>
  <w:style w:type="paragraph" w:styleId="BlockText">
    <w:name w:val="Block Text"/>
    <w:basedOn w:val="Normal"/>
    <w:link w:val="BlockTextChar"/>
    <w:unhideWhenUsed/>
    <w:rsid w:val="003B6054"/>
    <w:pPr>
      <w:pBdr>
        <w:top w:val="single" w:sz="2" w:space="10" w:color="3891A7" w:themeColor="accent1"/>
        <w:left w:val="single" w:sz="2" w:space="10" w:color="3891A7" w:themeColor="accent1"/>
        <w:bottom w:val="single" w:sz="2" w:space="10" w:color="3891A7" w:themeColor="accent1"/>
        <w:right w:val="single" w:sz="2" w:space="10" w:color="3891A7" w:themeColor="accent1"/>
        <w:between w:val="single" w:sz="2" w:space="10" w:color="3891A7" w:themeColor="accent1"/>
        <w:bar w:val="single" w:sz="2" w:color="3891A7" w:themeColor="accent1"/>
      </w:pBdr>
      <w:ind w:left="1152" w:right="1152"/>
    </w:pPr>
    <w:rPr>
      <w:rFonts w:eastAsiaTheme="minorEastAsia" w:cstheme="minorBidi"/>
      <w:i/>
      <w:iCs/>
      <w:color w:val="3891A7" w:themeColor="accent1"/>
    </w:rPr>
  </w:style>
  <w:style w:type="character" w:styleId="SubtleEmphasis">
    <w:name w:val="Subtle Emphasis"/>
    <w:basedOn w:val="DefaultParagraphFont"/>
    <w:uiPriority w:val="19"/>
    <w:qFormat/>
    <w:rsid w:val="003B6054"/>
    <w:rPr>
      <w:rFonts w:asciiTheme="minorHAnsi" w:hAnsiTheme="minorHAnsi"/>
      <w:i/>
      <w:color w:val="006666"/>
    </w:rPr>
  </w:style>
  <w:style w:type="character" w:styleId="IntenseReference">
    <w:name w:val="Intense Reference"/>
    <w:basedOn w:val="DefaultParagraphFont"/>
    <w:uiPriority w:val="32"/>
    <w:qFormat/>
    <w:rsid w:val="003B6054"/>
    <w:rPr>
      <w:rFonts w:asciiTheme="minorHAnsi" w:hAnsiTheme="minorHAnsi" w:cs="Times New Roman"/>
      <w:b/>
      <w:i/>
      <w:caps/>
      <w:color w:val="4E4F89"/>
      <w:spacing w:val="5"/>
    </w:rPr>
  </w:style>
  <w:style w:type="character" w:styleId="SubtleReference">
    <w:name w:val="Subtle Reference"/>
    <w:basedOn w:val="DefaultParagraphFont"/>
    <w:uiPriority w:val="31"/>
    <w:qFormat/>
    <w:rsid w:val="003B6054"/>
    <w:rPr>
      <w:rFonts w:cs="Times New Roman"/>
      <w:i/>
      <w:color w:val="4E4F89"/>
    </w:rPr>
  </w:style>
  <w:style w:type="character" w:styleId="Emphasis">
    <w:name w:val="Emphasis"/>
    <w:qFormat/>
    <w:rsid w:val="003B6054"/>
    <w:rPr>
      <w:rFonts w:asciiTheme="minorHAnsi" w:hAnsiTheme="minorHAnsi"/>
      <w:b/>
      <w:color w:val="FEB80A" w:themeColor="accent2"/>
      <w:spacing w:val="10"/>
    </w:rPr>
  </w:style>
  <w:style w:type="character" w:styleId="BookTitle">
    <w:name w:val="Book Title"/>
    <w:basedOn w:val="DefaultParagraphFont"/>
    <w:uiPriority w:val="33"/>
    <w:qFormat/>
    <w:rsid w:val="003B6054"/>
    <w:rPr>
      <w:rFonts w:ascii="Cambria" w:hAnsi="Cambria" w:cs="Times New Roman"/>
      <w:i/>
      <w:color w:val="000000"/>
      <w:sz w:val="20"/>
      <w:szCs w:val="20"/>
    </w:rPr>
  </w:style>
  <w:style w:type="paragraph" w:styleId="Header">
    <w:name w:val="header"/>
    <w:basedOn w:val="Normal"/>
    <w:link w:val="HeaderChar"/>
    <w:uiPriority w:val="99"/>
    <w:unhideWhenUsed/>
    <w:rsid w:val="003B6054"/>
    <w:pPr>
      <w:tabs>
        <w:tab w:val="center" w:pos="4320"/>
        <w:tab w:val="right" w:pos="8640"/>
      </w:tabs>
    </w:pPr>
  </w:style>
  <w:style w:type="character" w:customStyle="1" w:styleId="HeaderChar">
    <w:name w:val="Header Char"/>
    <w:basedOn w:val="DefaultParagraphFont"/>
    <w:link w:val="Header"/>
    <w:uiPriority w:val="99"/>
    <w:rsid w:val="003B6054"/>
    <w:rPr>
      <w:sz w:val="20"/>
      <w:szCs w:val="20"/>
      <w:lang w:eastAsia="ja-JP"/>
    </w:rPr>
  </w:style>
  <w:style w:type="paragraph" w:styleId="Footer">
    <w:name w:val="footer"/>
    <w:basedOn w:val="Normal"/>
    <w:link w:val="FooterChar"/>
    <w:uiPriority w:val="99"/>
    <w:unhideWhenUsed/>
    <w:rsid w:val="003B6054"/>
    <w:pPr>
      <w:tabs>
        <w:tab w:val="center" w:pos="4320"/>
        <w:tab w:val="right" w:pos="8640"/>
      </w:tabs>
    </w:pPr>
  </w:style>
  <w:style w:type="character" w:customStyle="1" w:styleId="FooterChar">
    <w:name w:val="Footer Char"/>
    <w:basedOn w:val="DefaultParagraphFont"/>
    <w:link w:val="Footer"/>
    <w:uiPriority w:val="99"/>
    <w:rsid w:val="003B6054"/>
    <w:rPr>
      <w:sz w:val="20"/>
      <w:szCs w:val="20"/>
      <w:lang w:eastAsia="ja-JP"/>
    </w:rPr>
  </w:style>
  <w:style w:type="paragraph" w:styleId="NormalIndent">
    <w:name w:val="Normal Indent"/>
    <w:basedOn w:val="Normal"/>
    <w:uiPriority w:val="99"/>
    <w:unhideWhenUsed/>
    <w:rsid w:val="003B6054"/>
    <w:pPr>
      <w:ind w:left="720"/>
      <w:contextualSpacing/>
    </w:pPr>
  </w:style>
  <w:style w:type="paragraph" w:styleId="IntenseQuote">
    <w:name w:val="Intense Quote"/>
    <w:basedOn w:val="Normal"/>
    <w:uiPriority w:val="30"/>
    <w:qFormat/>
    <w:rsid w:val="003B6054"/>
    <w:pPr>
      <w:pBdr>
        <w:top w:val="threeDEngrave" w:sz="6" w:space="10" w:color="FEB80A" w:themeColor="accent2"/>
        <w:bottom w:val="single" w:sz="4" w:space="10" w:color="FEB80A" w:themeColor="accent2"/>
      </w:pBdr>
      <w:spacing w:before="360" w:after="360" w:line="324" w:lineRule="auto"/>
      <w:ind w:left="1080" w:right="1080"/>
    </w:pPr>
    <w:rPr>
      <w:i/>
      <w:color w:val="FEB80A" w:themeColor="accent2"/>
      <w:sz w:val="22"/>
      <w:szCs w:val="22"/>
    </w:rPr>
  </w:style>
  <w:style w:type="numbering" w:customStyle="1" w:styleId="UrbanBulletedList">
    <w:name w:val="Urban Bulleted List"/>
    <w:uiPriority w:val="99"/>
    <w:rsid w:val="003B6054"/>
    <w:pPr>
      <w:numPr>
        <w:numId w:val="2"/>
      </w:numPr>
    </w:pPr>
  </w:style>
  <w:style w:type="numbering" w:customStyle="1" w:styleId="UrbanNumberedList">
    <w:name w:val="Urban Numbered List"/>
    <w:uiPriority w:val="99"/>
    <w:rsid w:val="003B6054"/>
    <w:pPr>
      <w:numPr>
        <w:numId w:val="3"/>
      </w:numPr>
    </w:pPr>
  </w:style>
  <w:style w:type="paragraph" w:styleId="ListParagraph">
    <w:name w:val="List Paragraph"/>
    <w:basedOn w:val="Normal"/>
    <w:uiPriority w:val="34"/>
    <w:unhideWhenUsed/>
    <w:qFormat/>
    <w:rsid w:val="003B6054"/>
    <w:pPr>
      <w:ind w:left="720"/>
      <w:contextualSpacing/>
    </w:pPr>
  </w:style>
  <w:style w:type="paragraph" w:styleId="NoSpacing">
    <w:name w:val="No Spacing"/>
    <w:basedOn w:val="Normal"/>
    <w:link w:val="NoSpacingChar"/>
    <w:uiPriority w:val="1"/>
    <w:qFormat/>
    <w:rsid w:val="003B6054"/>
    <w:pPr>
      <w:spacing w:after="0" w:line="240" w:lineRule="auto"/>
    </w:pPr>
    <w:rPr>
      <w:szCs w:val="32"/>
    </w:rPr>
  </w:style>
  <w:style w:type="character" w:styleId="PlaceholderText">
    <w:name w:val="Placeholder Text"/>
    <w:basedOn w:val="DefaultParagraphFont"/>
    <w:uiPriority w:val="99"/>
    <w:unhideWhenUsed/>
    <w:rsid w:val="003B6054"/>
    <w:rPr>
      <w:color w:val="808080"/>
    </w:rPr>
  </w:style>
  <w:style w:type="character" w:customStyle="1" w:styleId="BalloonTextChar1">
    <w:name w:val="Balloon Text Char1"/>
    <w:basedOn w:val="DefaultParagraphFont"/>
    <w:link w:val="BalloonText"/>
    <w:rsid w:val="003B6054"/>
    <w:rPr>
      <w:rFonts w:ascii="Tahoma" w:hAnsi="Tahoma" w:cs="Tahoma"/>
      <w:sz w:val="16"/>
      <w:szCs w:val="16"/>
      <w:lang w:eastAsia="ja-JP"/>
    </w:rPr>
  </w:style>
  <w:style w:type="paragraph" w:customStyle="1" w:styleId="HeaderEven">
    <w:name w:val="Header Even"/>
    <w:basedOn w:val="Header"/>
    <w:uiPriority w:val="39"/>
    <w:rsid w:val="003B6054"/>
    <w:pPr>
      <w:pBdr>
        <w:bottom w:val="single" w:sz="4" w:space="1" w:color="auto"/>
      </w:pBdr>
    </w:pPr>
  </w:style>
  <w:style w:type="paragraph" w:customStyle="1" w:styleId="HeaderOdd">
    <w:name w:val="Header Odd"/>
    <w:basedOn w:val="Header"/>
    <w:uiPriority w:val="39"/>
    <w:rsid w:val="003B6054"/>
    <w:pPr>
      <w:pBdr>
        <w:bottom w:val="single" w:sz="4" w:space="1" w:color="auto"/>
      </w:pBdr>
      <w:jc w:val="right"/>
    </w:pPr>
  </w:style>
  <w:style w:type="paragraph" w:customStyle="1" w:styleId="Bullet1">
    <w:name w:val="Bullet 1"/>
    <w:basedOn w:val="ListParagraph"/>
    <w:uiPriority w:val="38"/>
    <w:qFormat/>
    <w:rsid w:val="003B6054"/>
    <w:pPr>
      <w:numPr>
        <w:numId w:val="4"/>
      </w:numPr>
      <w:spacing w:after="0"/>
    </w:pPr>
  </w:style>
  <w:style w:type="paragraph" w:customStyle="1" w:styleId="Bullet2">
    <w:name w:val="Bullet 2"/>
    <w:basedOn w:val="ListParagraph"/>
    <w:uiPriority w:val="38"/>
    <w:qFormat/>
    <w:rsid w:val="003B6054"/>
    <w:pPr>
      <w:numPr>
        <w:ilvl w:val="1"/>
        <w:numId w:val="4"/>
      </w:numPr>
      <w:spacing w:after="0"/>
    </w:pPr>
  </w:style>
  <w:style w:type="paragraph" w:customStyle="1" w:styleId="Bullet3">
    <w:name w:val="Bullet 3"/>
    <w:basedOn w:val="ListParagraph"/>
    <w:uiPriority w:val="38"/>
    <w:qFormat/>
    <w:rsid w:val="003B6054"/>
    <w:pPr>
      <w:numPr>
        <w:ilvl w:val="2"/>
        <w:numId w:val="4"/>
      </w:numPr>
      <w:spacing w:after="0"/>
    </w:pPr>
  </w:style>
  <w:style w:type="paragraph" w:customStyle="1" w:styleId="DefaultPlaceholderSubject10">
    <w:name w:val="DefaultPlaceholder_Subject10"/>
    <w:uiPriority w:val="39"/>
    <w:rsid w:val="003B6054"/>
    <w:rPr>
      <w:i/>
      <w:color w:val="4F271C" w:themeColor="text2"/>
      <w:sz w:val="24"/>
      <w:szCs w:val="24"/>
    </w:rPr>
  </w:style>
  <w:style w:type="paragraph" w:customStyle="1" w:styleId="Category">
    <w:name w:val="Category"/>
    <w:basedOn w:val="Normal"/>
    <w:link w:val="CategoryChar"/>
    <w:uiPriority w:val="39"/>
    <w:qFormat/>
    <w:rsid w:val="003B6054"/>
    <w:pPr>
      <w:framePr w:hSpace="187" w:wrap="around" w:hAnchor="margin" w:xAlign="center" w:y="721"/>
      <w:spacing w:after="0" w:line="240" w:lineRule="auto"/>
    </w:pPr>
    <w:rPr>
      <w:rFonts w:cstheme="minorBidi"/>
      <w:caps/>
      <w:sz w:val="22"/>
      <w:szCs w:val="22"/>
    </w:rPr>
  </w:style>
  <w:style w:type="paragraph" w:customStyle="1" w:styleId="Comments">
    <w:name w:val="Comments"/>
    <w:basedOn w:val="Normal"/>
    <w:link w:val="CommentsChar"/>
    <w:uiPriority w:val="39"/>
    <w:qFormat/>
    <w:rsid w:val="003B6054"/>
    <w:pPr>
      <w:spacing w:after="120" w:line="240" w:lineRule="auto"/>
    </w:pPr>
    <w:rPr>
      <w:b/>
      <w:szCs w:val="22"/>
    </w:rPr>
  </w:style>
  <w:style w:type="character" w:customStyle="1" w:styleId="CategoryChar">
    <w:name w:val="Category Char"/>
    <w:basedOn w:val="DefaultParagraphFont"/>
    <w:link w:val="Category"/>
    <w:uiPriority w:val="39"/>
    <w:rsid w:val="003B6054"/>
    <w:rPr>
      <w:rFonts w:cstheme="minorBidi"/>
      <w:caps/>
      <w:lang w:eastAsia="ja-JP"/>
    </w:rPr>
  </w:style>
  <w:style w:type="character" w:customStyle="1" w:styleId="CommentsChar">
    <w:name w:val="Comments Char"/>
    <w:basedOn w:val="DefaultParagraphFont"/>
    <w:link w:val="Comments"/>
    <w:uiPriority w:val="39"/>
    <w:rsid w:val="003B6054"/>
    <w:rPr>
      <w:b/>
      <w:sz w:val="20"/>
      <w:lang w:eastAsia="ja-JP"/>
    </w:rPr>
  </w:style>
  <w:style w:type="paragraph" w:customStyle="1" w:styleId="CommentsText">
    <w:name w:val="Comments Text"/>
    <w:basedOn w:val="Normal"/>
    <w:uiPriority w:val="39"/>
    <w:qFormat/>
    <w:rsid w:val="003B6054"/>
    <w:pPr>
      <w:spacing w:after="120" w:line="288" w:lineRule="auto"/>
    </w:pPr>
    <w:rPr>
      <w:szCs w:val="22"/>
    </w:rPr>
  </w:style>
  <w:style w:type="paragraph" w:styleId="TOC1">
    <w:name w:val="toc 1"/>
    <w:basedOn w:val="Normal"/>
    <w:next w:val="Normal"/>
    <w:autoRedefine/>
    <w:uiPriority w:val="39"/>
    <w:unhideWhenUsed/>
    <w:qFormat/>
    <w:rsid w:val="00025F0B"/>
    <w:pPr>
      <w:tabs>
        <w:tab w:val="left" w:pos="1440"/>
        <w:tab w:val="right" w:leader="underscore" w:pos="9346"/>
      </w:tabs>
    </w:pPr>
    <w:rPr>
      <w:rFonts w:eastAsiaTheme="minorEastAsia" w:cstheme="minorBidi"/>
      <w:noProof/>
      <w:sz w:val="24"/>
      <w:szCs w:val="24"/>
    </w:rPr>
  </w:style>
  <w:style w:type="paragraph" w:styleId="TOC2">
    <w:name w:val="toc 2"/>
    <w:basedOn w:val="Normal"/>
    <w:next w:val="Normal"/>
    <w:autoRedefine/>
    <w:uiPriority w:val="39"/>
    <w:unhideWhenUsed/>
    <w:qFormat/>
    <w:rsid w:val="00745300"/>
    <w:pPr>
      <w:tabs>
        <w:tab w:val="right" w:leader="underscore" w:pos="9350"/>
      </w:tabs>
      <w:ind w:left="240"/>
    </w:pPr>
    <w:rPr>
      <w:rFonts w:eastAsiaTheme="minorEastAsia" w:cstheme="minorBidi"/>
      <w:noProof/>
      <w:sz w:val="24"/>
      <w:szCs w:val="24"/>
    </w:rPr>
  </w:style>
  <w:style w:type="character" w:styleId="Hyperlink">
    <w:name w:val="Hyperlink"/>
    <w:basedOn w:val="DefaultParagraphFont"/>
    <w:uiPriority w:val="99"/>
    <w:unhideWhenUsed/>
    <w:rsid w:val="003B6054"/>
    <w:rPr>
      <w:color w:val="8DC765" w:themeColor="hyperlink"/>
      <w:u w:val="single"/>
    </w:rPr>
  </w:style>
  <w:style w:type="paragraph" w:styleId="TOC3">
    <w:name w:val="toc 3"/>
    <w:basedOn w:val="Normal"/>
    <w:next w:val="Normal"/>
    <w:autoRedefine/>
    <w:uiPriority w:val="39"/>
    <w:unhideWhenUsed/>
    <w:qFormat/>
    <w:rsid w:val="003B6054"/>
    <w:pPr>
      <w:spacing w:after="100"/>
      <w:ind w:left="400"/>
    </w:pPr>
  </w:style>
  <w:style w:type="paragraph" w:styleId="ListBullet">
    <w:name w:val="List Bullet"/>
    <w:basedOn w:val="BodyText"/>
    <w:unhideWhenUsed/>
    <w:rsid w:val="003A70DC"/>
    <w:pPr>
      <w:numPr>
        <w:numId w:val="1"/>
      </w:numPr>
      <w:contextualSpacing/>
    </w:pPr>
  </w:style>
  <w:style w:type="character" w:styleId="FootnoteReference">
    <w:name w:val="footnote reference"/>
    <w:basedOn w:val="DefaultParagraphFont"/>
    <w:rsid w:val="00362897"/>
    <w:rPr>
      <w:vertAlign w:val="superscript"/>
    </w:rPr>
  </w:style>
  <w:style w:type="paragraph" w:styleId="FootnoteText">
    <w:name w:val="footnote text"/>
    <w:basedOn w:val="Normal"/>
    <w:link w:val="FootnoteTextChar"/>
    <w:rsid w:val="00362897"/>
    <w:pPr>
      <w:spacing w:after="0" w:line="240" w:lineRule="auto"/>
    </w:pPr>
    <w:rPr>
      <w:rFonts w:ascii="Times New Roman" w:eastAsia="Times New Roman" w:hAnsi="Times New Roman" w:cs="Times New Roman"/>
      <w:lang w:eastAsia="en-US"/>
    </w:rPr>
  </w:style>
  <w:style w:type="character" w:customStyle="1" w:styleId="FootnoteTextChar">
    <w:name w:val="Footnote Text Char"/>
    <w:basedOn w:val="DefaultParagraphFont"/>
    <w:link w:val="FootnoteText"/>
    <w:rsid w:val="00362897"/>
    <w:rPr>
      <w:rFonts w:ascii="Times New Roman" w:eastAsia="Times New Roman" w:hAnsi="Times New Roman" w:cs="Times New Roman"/>
      <w:sz w:val="20"/>
      <w:szCs w:val="20"/>
    </w:rPr>
  </w:style>
  <w:style w:type="paragraph" w:styleId="BodyText">
    <w:name w:val="Body Text"/>
    <w:basedOn w:val="Normal"/>
    <w:link w:val="BodyTextChar1"/>
    <w:rsid w:val="003A70DC"/>
    <w:pPr>
      <w:spacing w:after="120" w:line="264" w:lineRule="auto"/>
    </w:pPr>
    <w:rPr>
      <w:rFonts w:eastAsia="Times New Roman" w:cs="Times New Roman"/>
      <w:sz w:val="24"/>
      <w:szCs w:val="24"/>
      <w:lang w:eastAsia="en-US"/>
    </w:rPr>
  </w:style>
  <w:style w:type="character" w:customStyle="1" w:styleId="BodyTextChar">
    <w:name w:val="Body Text Char"/>
    <w:basedOn w:val="DefaultParagraphFont"/>
    <w:link w:val="BodyText"/>
    <w:rsid w:val="001550A7"/>
    <w:rPr>
      <w:sz w:val="20"/>
      <w:szCs w:val="20"/>
      <w:lang w:eastAsia="ja-JP"/>
    </w:rPr>
  </w:style>
  <w:style w:type="character" w:customStyle="1" w:styleId="BodyTextChar1">
    <w:name w:val="Body Text Char1"/>
    <w:basedOn w:val="DefaultParagraphFont"/>
    <w:link w:val="BodyText"/>
    <w:rsid w:val="003A70DC"/>
    <w:rPr>
      <w:rFonts w:eastAsia="Times New Roman" w:cs="Times New Roman"/>
      <w:sz w:val="24"/>
      <w:szCs w:val="24"/>
    </w:rPr>
  </w:style>
  <w:style w:type="character" w:customStyle="1" w:styleId="NoSpacingChar">
    <w:name w:val="No Spacing Char"/>
    <w:basedOn w:val="DefaultParagraphFont"/>
    <w:link w:val="NoSpacing"/>
    <w:uiPriority w:val="1"/>
    <w:rsid w:val="00E40D97"/>
    <w:rPr>
      <w:sz w:val="20"/>
      <w:szCs w:val="32"/>
      <w:lang w:eastAsia="ja-JP"/>
    </w:rPr>
  </w:style>
  <w:style w:type="paragraph" w:customStyle="1" w:styleId="table">
    <w:name w:val="table"/>
    <w:basedOn w:val="Normal"/>
    <w:link w:val="tableChar"/>
    <w:rsid w:val="00A921AA"/>
    <w:pPr>
      <w:keepNext/>
      <w:spacing w:after="0" w:line="240" w:lineRule="auto"/>
    </w:pPr>
    <w:rPr>
      <w:rFonts w:ascii="Arial Narrow" w:eastAsia="Times New Roman" w:hAnsi="Arial Narrow" w:cs="Times New Roman"/>
      <w:bCs/>
      <w:szCs w:val="24"/>
      <w:lang w:eastAsia="en-US"/>
    </w:rPr>
  </w:style>
  <w:style w:type="character" w:customStyle="1" w:styleId="tableChar">
    <w:name w:val="table Char"/>
    <w:basedOn w:val="DefaultParagraphFont"/>
    <w:link w:val="table"/>
    <w:rsid w:val="00A921AA"/>
    <w:rPr>
      <w:rFonts w:ascii="Arial Narrow" w:eastAsia="Times New Roman" w:hAnsi="Arial Narrow" w:cs="Times New Roman"/>
      <w:bCs/>
      <w:sz w:val="20"/>
      <w:szCs w:val="24"/>
    </w:rPr>
  </w:style>
  <w:style w:type="paragraph" w:customStyle="1" w:styleId="TableTitle">
    <w:name w:val="TableTitle"/>
    <w:basedOn w:val="Normal"/>
    <w:rsid w:val="00B37879"/>
    <w:pPr>
      <w:keepNext/>
      <w:spacing w:after="0" w:line="240" w:lineRule="auto"/>
      <w:jc w:val="center"/>
    </w:pPr>
    <w:rPr>
      <w:rFonts w:asciiTheme="majorHAnsi" w:eastAsia="Times New Roman" w:hAnsiTheme="majorHAnsi" w:cs="Times New Roman"/>
      <w:b/>
      <w:sz w:val="22"/>
      <w:szCs w:val="24"/>
      <w:lang w:eastAsia="en-US"/>
    </w:rPr>
  </w:style>
  <w:style w:type="paragraph" w:styleId="Caption">
    <w:name w:val="caption"/>
    <w:basedOn w:val="TableTitle"/>
    <w:next w:val="Normal"/>
    <w:qFormat/>
    <w:rsid w:val="00A921AA"/>
    <w:rPr>
      <w:bCs/>
      <w:szCs w:val="20"/>
    </w:rPr>
  </w:style>
  <w:style w:type="paragraph" w:styleId="ListBullet3">
    <w:name w:val="List Bullet 3"/>
    <w:basedOn w:val="Normal"/>
    <w:rsid w:val="00A921AA"/>
    <w:pPr>
      <w:numPr>
        <w:numId w:val="5"/>
      </w:numPr>
      <w:spacing w:after="0" w:line="240" w:lineRule="auto"/>
    </w:pPr>
    <w:rPr>
      <w:rFonts w:ascii="Times New Roman" w:eastAsia="Times New Roman" w:hAnsi="Times New Roman" w:cs="Times New Roman"/>
      <w:sz w:val="24"/>
      <w:szCs w:val="24"/>
      <w:lang w:eastAsia="en-US"/>
    </w:rPr>
  </w:style>
  <w:style w:type="table" w:styleId="TableContemporary">
    <w:name w:val="Table Contemporary"/>
    <w:basedOn w:val="TableNormal"/>
    <w:rsid w:val="00A921AA"/>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BlockTextChar">
    <w:name w:val="Block Text Char"/>
    <w:basedOn w:val="DefaultParagraphFont"/>
    <w:link w:val="BlockText"/>
    <w:rsid w:val="00A921AA"/>
    <w:rPr>
      <w:rFonts w:eastAsiaTheme="minorEastAsia" w:cstheme="minorBidi"/>
      <w:i/>
      <w:iCs/>
      <w:color w:val="3891A7" w:themeColor="accent1"/>
      <w:sz w:val="20"/>
      <w:szCs w:val="20"/>
      <w:lang w:eastAsia="ja-JP"/>
    </w:rPr>
  </w:style>
  <w:style w:type="paragraph" w:styleId="PlainText">
    <w:name w:val="Plain Text"/>
    <w:basedOn w:val="Normal"/>
    <w:link w:val="PlainTextChar"/>
    <w:rsid w:val="00A921AA"/>
    <w:pPr>
      <w:spacing w:after="0" w:line="240" w:lineRule="auto"/>
    </w:pPr>
    <w:rPr>
      <w:rFonts w:ascii="Courier New" w:eastAsia="Times New Roman" w:hAnsi="Courier New" w:cs="Courier New"/>
      <w:lang w:eastAsia="en-US"/>
    </w:rPr>
  </w:style>
  <w:style w:type="character" w:customStyle="1" w:styleId="PlainTextChar">
    <w:name w:val="Plain Text Char"/>
    <w:basedOn w:val="DefaultParagraphFont"/>
    <w:link w:val="PlainText"/>
    <w:rsid w:val="00A921AA"/>
    <w:rPr>
      <w:rFonts w:ascii="Courier New" w:eastAsia="Times New Roman" w:hAnsi="Courier New" w:cs="Courier New"/>
      <w:sz w:val="20"/>
      <w:szCs w:val="20"/>
    </w:rPr>
  </w:style>
  <w:style w:type="table" w:styleId="TableGrid8">
    <w:name w:val="Table Grid 8"/>
    <w:basedOn w:val="TableNormal"/>
    <w:rsid w:val="00A921AA"/>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1">
    <w:name w:val="Table Grid 1"/>
    <w:basedOn w:val="TableNormal"/>
    <w:rsid w:val="00A921AA"/>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PageNumber">
    <w:name w:val="page number"/>
    <w:basedOn w:val="DefaultParagraphFont"/>
    <w:rsid w:val="00A921AA"/>
    <w:rPr>
      <w:rFonts w:ascii="Arial" w:hAnsi="Arial"/>
      <w:sz w:val="20"/>
    </w:rPr>
  </w:style>
  <w:style w:type="paragraph" w:styleId="TOC4">
    <w:name w:val="toc 4"/>
    <w:basedOn w:val="Normal"/>
    <w:next w:val="Normal"/>
    <w:autoRedefine/>
    <w:semiHidden/>
    <w:rsid w:val="00A921AA"/>
    <w:pPr>
      <w:spacing w:after="0" w:line="240" w:lineRule="auto"/>
      <w:ind w:left="720"/>
    </w:pPr>
    <w:rPr>
      <w:rFonts w:ascii="Times New Roman" w:eastAsia="Times New Roman" w:hAnsi="Times New Roman" w:cs="Times New Roman"/>
      <w:lang w:eastAsia="en-US"/>
    </w:rPr>
  </w:style>
  <w:style w:type="paragraph" w:styleId="TOC5">
    <w:name w:val="toc 5"/>
    <w:basedOn w:val="Normal"/>
    <w:next w:val="Normal"/>
    <w:autoRedefine/>
    <w:semiHidden/>
    <w:rsid w:val="00A921AA"/>
    <w:pPr>
      <w:spacing w:after="0" w:line="240" w:lineRule="auto"/>
      <w:ind w:left="960"/>
    </w:pPr>
    <w:rPr>
      <w:rFonts w:ascii="Times New Roman" w:eastAsia="Times New Roman" w:hAnsi="Times New Roman" w:cs="Times New Roman"/>
      <w:lang w:eastAsia="en-US"/>
    </w:rPr>
  </w:style>
  <w:style w:type="paragraph" w:styleId="TOC6">
    <w:name w:val="toc 6"/>
    <w:basedOn w:val="Normal"/>
    <w:next w:val="Normal"/>
    <w:autoRedefine/>
    <w:semiHidden/>
    <w:rsid w:val="00A921AA"/>
    <w:pPr>
      <w:spacing w:after="0" w:line="240" w:lineRule="auto"/>
      <w:ind w:left="1200"/>
    </w:pPr>
    <w:rPr>
      <w:rFonts w:ascii="Times New Roman" w:eastAsia="Times New Roman" w:hAnsi="Times New Roman" w:cs="Times New Roman"/>
      <w:lang w:eastAsia="en-US"/>
    </w:rPr>
  </w:style>
  <w:style w:type="paragraph" w:styleId="TOC7">
    <w:name w:val="toc 7"/>
    <w:basedOn w:val="Normal"/>
    <w:next w:val="Normal"/>
    <w:autoRedefine/>
    <w:semiHidden/>
    <w:rsid w:val="00A921AA"/>
    <w:pPr>
      <w:spacing w:after="0" w:line="240" w:lineRule="auto"/>
      <w:ind w:left="1440"/>
    </w:pPr>
    <w:rPr>
      <w:rFonts w:ascii="Times New Roman" w:eastAsia="Times New Roman" w:hAnsi="Times New Roman" w:cs="Times New Roman"/>
      <w:lang w:eastAsia="en-US"/>
    </w:rPr>
  </w:style>
  <w:style w:type="paragraph" w:styleId="TOC8">
    <w:name w:val="toc 8"/>
    <w:basedOn w:val="Normal"/>
    <w:next w:val="Normal"/>
    <w:autoRedefine/>
    <w:semiHidden/>
    <w:rsid w:val="00A921AA"/>
    <w:pPr>
      <w:spacing w:after="0" w:line="240" w:lineRule="auto"/>
      <w:ind w:left="1680"/>
    </w:pPr>
    <w:rPr>
      <w:rFonts w:ascii="Times New Roman" w:eastAsia="Times New Roman" w:hAnsi="Times New Roman" w:cs="Times New Roman"/>
      <w:lang w:eastAsia="en-US"/>
    </w:rPr>
  </w:style>
  <w:style w:type="paragraph" w:styleId="TOC9">
    <w:name w:val="toc 9"/>
    <w:basedOn w:val="Normal"/>
    <w:next w:val="Normal"/>
    <w:autoRedefine/>
    <w:semiHidden/>
    <w:rsid w:val="00A921AA"/>
    <w:pPr>
      <w:spacing w:after="0" w:line="240" w:lineRule="auto"/>
      <w:ind w:left="1920"/>
    </w:pPr>
    <w:rPr>
      <w:rFonts w:ascii="Times New Roman" w:eastAsia="Times New Roman" w:hAnsi="Times New Roman" w:cs="Times New Roman"/>
      <w:lang w:eastAsia="en-US"/>
    </w:rPr>
  </w:style>
  <w:style w:type="paragraph" w:styleId="NormalWeb">
    <w:name w:val="Normal (Web)"/>
    <w:basedOn w:val="Normal"/>
    <w:rsid w:val="00A921AA"/>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Appendix">
    <w:name w:val="Appendix"/>
    <w:basedOn w:val="Heading1"/>
    <w:link w:val="AppendixChar"/>
    <w:rsid w:val="00D33F75"/>
    <w:pPr>
      <w:numPr>
        <w:numId w:val="0"/>
      </w:numPr>
    </w:pPr>
    <w:rPr>
      <w:color w:val="475A8D" w:themeColor="accent6"/>
    </w:rPr>
  </w:style>
  <w:style w:type="character" w:customStyle="1" w:styleId="AppendixChar">
    <w:name w:val="Appendix Char"/>
    <w:basedOn w:val="TitleChar"/>
    <w:link w:val="Appendix"/>
    <w:rsid w:val="00D33F75"/>
    <w:rPr>
      <w:color w:val="475A8D" w:themeColor="accent6"/>
      <w:sz w:val="40"/>
      <w:szCs w:val="32"/>
    </w:rPr>
  </w:style>
  <w:style w:type="character" w:styleId="CommentReference">
    <w:name w:val="annotation reference"/>
    <w:basedOn w:val="DefaultParagraphFont"/>
    <w:semiHidden/>
    <w:rsid w:val="00A921AA"/>
    <w:rPr>
      <w:sz w:val="18"/>
    </w:rPr>
  </w:style>
  <w:style w:type="paragraph" w:styleId="CommentText">
    <w:name w:val="annotation text"/>
    <w:basedOn w:val="Normal"/>
    <w:link w:val="CommentTextChar"/>
    <w:semiHidden/>
    <w:rsid w:val="00A921AA"/>
    <w:pPr>
      <w:spacing w:after="0" w:line="240" w:lineRule="auto"/>
    </w:pPr>
    <w:rPr>
      <w:rFonts w:ascii="Times New Roman" w:eastAsia="Times New Roman" w:hAnsi="Times New Roman" w:cs="Times New Roman"/>
      <w:sz w:val="24"/>
      <w:szCs w:val="24"/>
      <w:lang w:eastAsia="en-US"/>
    </w:rPr>
  </w:style>
  <w:style w:type="character" w:customStyle="1" w:styleId="CommentTextChar">
    <w:name w:val="Comment Text Char"/>
    <w:basedOn w:val="DefaultParagraphFont"/>
    <w:link w:val="CommentText"/>
    <w:semiHidden/>
    <w:rsid w:val="00A921AA"/>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semiHidden/>
    <w:rsid w:val="00A921AA"/>
    <w:pPr>
      <w:numPr>
        <w:numId w:val="6"/>
      </w:numPr>
      <w:tabs>
        <w:tab w:val="clear" w:pos="360"/>
      </w:tabs>
      <w:ind w:left="0" w:firstLine="0"/>
    </w:pPr>
  </w:style>
  <w:style w:type="character" w:customStyle="1" w:styleId="CommentSubjectChar">
    <w:name w:val="Comment Subject Char"/>
    <w:basedOn w:val="CommentTextChar"/>
    <w:link w:val="CommentSubject"/>
    <w:semiHidden/>
    <w:rsid w:val="00A921AA"/>
  </w:style>
  <w:style w:type="paragraph" w:styleId="TableofFigures">
    <w:name w:val="table of figures"/>
    <w:basedOn w:val="TOC1"/>
    <w:next w:val="Normal"/>
    <w:uiPriority w:val="99"/>
    <w:rsid w:val="00DE7704"/>
    <w:pPr>
      <w:tabs>
        <w:tab w:val="left" w:pos="720"/>
      </w:tabs>
      <w:spacing w:before="60" w:after="0" w:line="240" w:lineRule="auto"/>
      <w:ind w:left="1440" w:hanging="1440"/>
    </w:pPr>
    <w:rPr>
      <w:rFonts w:eastAsia="Times New Roman" w:cs="Times New Roman"/>
      <w:bCs/>
      <w:iCs/>
      <w:sz w:val="22"/>
      <w:lang w:eastAsia="en-US"/>
    </w:rPr>
  </w:style>
  <w:style w:type="paragraph" w:styleId="DocumentMap">
    <w:name w:val="Document Map"/>
    <w:basedOn w:val="Normal"/>
    <w:link w:val="DocumentMapChar"/>
    <w:semiHidden/>
    <w:rsid w:val="00A921AA"/>
    <w:pPr>
      <w:shd w:val="clear" w:color="auto" w:fill="000080"/>
      <w:spacing w:after="0" w:line="240" w:lineRule="auto"/>
    </w:pPr>
    <w:rPr>
      <w:rFonts w:ascii="Tahoma" w:eastAsia="Times New Roman" w:hAnsi="Tahoma" w:cs="Tahoma"/>
      <w:lang w:eastAsia="en-US"/>
    </w:rPr>
  </w:style>
  <w:style w:type="character" w:customStyle="1" w:styleId="DocumentMapChar">
    <w:name w:val="Document Map Char"/>
    <w:basedOn w:val="DefaultParagraphFont"/>
    <w:link w:val="DocumentMap"/>
    <w:semiHidden/>
    <w:rsid w:val="00A921AA"/>
    <w:rPr>
      <w:rFonts w:ascii="Tahoma" w:eastAsia="Times New Roman" w:hAnsi="Tahoma" w:cs="Tahoma"/>
      <w:sz w:val="20"/>
      <w:szCs w:val="20"/>
      <w:shd w:val="clear" w:color="auto" w:fill="000080"/>
    </w:rPr>
  </w:style>
  <w:style w:type="paragraph" w:customStyle="1" w:styleId="ListBullet1">
    <w:name w:val="List Bullet 1"/>
    <w:basedOn w:val="Normal"/>
    <w:rsid w:val="00A921AA"/>
    <w:pPr>
      <w:tabs>
        <w:tab w:val="num" w:pos="1440"/>
      </w:tabs>
      <w:spacing w:after="0" w:line="240" w:lineRule="auto"/>
      <w:ind w:left="1440" w:hanging="360"/>
    </w:pPr>
    <w:rPr>
      <w:rFonts w:ascii="Times New Roman" w:eastAsia="Times New Roman" w:hAnsi="Times New Roman" w:cs="Times New Roman"/>
      <w:sz w:val="24"/>
      <w:szCs w:val="24"/>
      <w:lang w:eastAsia="en-US"/>
    </w:rPr>
  </w:style>
  <w:style w:type="character" w:customStyle="1" w:styleId="CharChar2">
    <w:name w:val="Char Char2"/>
    <w:basedOn w:val="DefaultParagraphFont"/>
    <w:rsid w:val="00A921AA"/>
    <w:rPr>
      <w:sz w:val="24"/>
      <w:szCs w:val="24"/>
      <w:lang w:val="en-US" w:eastAsia="en-US" w:bidi="ar-SA"/>
    </w:rPr>
  </w:style>
  <w:style w:type="character" w:customStyle="1" w:styleId="CharChar3">
    <w:name w:val="Char Char3"/>
    <w:basedOn w:val="DefaultParagraphFont"/>
    <w:rsid w:val="00A921AA"/>
    <w:rPr>
      <w:sz w:val="24"/>
      <w:szCs w:val="24"/>
      <w:lang w:val="en-US" w:eastAsia="en-US" w:bidi="ar-SA"/>
    </w:rPr>
  </w:style>
  <w:style w:type="character" w:customStyle="1" w:styleId="CharChar5">
    <w:name w:val="Char Char5"/>
    <w:basedOn w:val="DefaultParagraphFont"/>
    <w:rsid w:val="00A921AA"/>
    <w:rPr>
      <w:sz w:val="24"/>
      <w:szCs w:val="24"/>
      <w:lang w:val="en-US" w:eastAsia="en-US" w:bidi="ar-SA"/>
    </w:rPr>
  </w:style>
  <w:style w:type="character" w:customStyle="1" w:styleId="CharChar4">
    <w:name w:val="Char Char4"/>
    <w:basedOn w:val="DefaultParagraphFont"/>
    <w:rsid w:val="00A921AA"/>
    <w:rPr>
      <w:sz w:val="24"/>
      <w:szCs w:val="24"/>
      <w:lang w:val="en-US" w:eastAsia="en-US" w:bidi="ar-SA"/>
    </w:rPr>
  </w:style>
  <w:style w:type="character" w:customStyle="1" w:styleId="CharChar7">
    <w:name w:val="Char Char7"/>
    <w:basedOn w:val="DefaultParagraphFont"/>
    <w:rsid w:val="00A921AA"/>
    <w:rPr>
      <w:sz w:val="24"/>
      <w:szCs w:val="24"/>
      <w:lang w:val="en-US" w:eastAsia="en-US" w:bidi="ar-SA"/>
    </w:rPr>
  </w:style>
  <w:style w:type="paragraph" w:customStyle="1" w:styleId="Appendix2">
    <w:name w:val="Appendix2"/>
    <w:basedOn w:val="Heading2"/>
    <w:rsid w:val="00A921AA"/>
    <w:pPr>
      <w:spacing w:before="240" w:after="60" w:line="240" w:lineRule="auto"/>
      <w:ind w:left="720" w:hanging="720"/>
    </w:pPr>
    <w:rPr>
      <w:rFonts w:ascii="Arial" w:eastAsia="Times New Roman" w:hAnsi="Arial" w:cs="Arial"/>
      <w:b/>
      <w:bCs/>
      <w:i/>
      <w:iCs/>
      <w:color w:val="auto"/>
      <w:lang w:eastAsia="en-US"/>
    </w:rPr>
  </w:style>
  <w:style w:type="paragraph" w:customStyle="1" w:styleId="ProfileSection">
    <w:name w:val="ProfileSection"/>
    <w:basedOn w:val="Normal"/>
    <w:rsid w:val="00A921AA"/>
    <w:pPr>
      <w:spacing w:after="0" w:line="240" w:lineRule="auto"/>
    </w:pPr>
    <w:rPr>
      <w:rFonts w:ascii="Times New Roman" w:eastAsia="Times New Roman" w:hAnsi="Times New Roman" w:cs="Times New Roman"/>
      <w:sz w:val="24"/>
      <w:szCs w:val="24"/>
      <w:lang w:eastAsia="en-US"/>
    </w:rPr>
  </w:style>
  <w:style w:type="paragraph" w:customStyle="1" w:styleId="App3">
    <w:name w:val="App3"/>
    <w:basedOn w:val="Heading3"/>
    <w:next w:val="BodyText"/>
    <w:rsid w:val="00A921AA"/>
    <w:pPr>
      <w:tabs>
        <w:tab w:val="left" w:pos="720"/>
      </w:tabs>
      <w:spacing w:before="240" w:line="240" w:lineRule="auto"/>
    </w:pPr>
    <w:rPr>
      <w:rFonts w:ascii="Arial" w:eastAsia="Times New Roman" w:hAnsi="Arial" w:cs="Arial"/>
      <w:b/>
      <w:bCs/>
      <w:color w:val="auto"/>
      <w:szCs w:val="26"/>
      <w:lang w:eastAsia="en-US"/>
    </w:rPr>
  </w:style>
  <w:style w:type="table" w:styleId="MediumGrid3-Accent6">
    <w:name w:val="Medium Grid 3 Accent 6"/>
    <w:basedOn w:val="TableNormal"/>
    <w:uiPriority w:val="46"/>
    <w:rsid w:val="004D003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ED4E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75A8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75A8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75A8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75A8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A9C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A9CD" w:themeFill="accent6" w:themeFillTint="7F"/>
      </w:tcPr>
    </w:tblStylePr>
  </w:style>
  <w:style w:type="table" w:styleId="MediumShading2-Accent2">
    <w:name w:val="Medium Shading 2 Accent 2"/>
    <w:basedOn w:val="TableNormal"/>
    <w:uiPriority w:val="42"/>
    <w:rsid w:val="00EF09B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EB80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EB80A" w:themeFill="accent2"/>
      </w:tcPr>
    </w:tblStylePr>
    <w:tblStylePr w:type="lastCol">
      <w:rPr>
        <w:b/>
        <w:bCs/>
        <w:color w:val="FFFFFF" w:themeColor="background1"/>
      </w:rPr>
      <w:tblPr/>
      <w:tcPr>
        <w:tcBorders>
          <w:left w:val="nil"/>
          <w:right w:val="nil"/>
          <w:insideH w:val="nil"/>
          <w:insideV w:val="nil"/>
        </w:tcBorders>
        <w:shd w:val="clear" w:color="auto" w:fill="FEB80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46"/>
    <w:rsid w:val="00522362"/>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75A8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75A8D" w:themeFill="accent6"/>
      </w:tcPr>
    </w:tblStylePr>
    <w:tblStylePr w:type="lastCol">
      <w:rPr>
        <w:b/>
        <w:bCs/>
        <w:color w:val="FFFFFF" w:themeColor="background1"/>
      </w:rPr>
      <w:tblPr/>
      <w:tcPr>
        <w:tcBorders>
          <w:left w:val="nil"/>
          <w:right w:val="nil"/>
          <w:insideH w:val="nil"/>
          <w:insideV w:val="nil"/>
        </w:tcBorders>
        <w:shd w:val="clear" w:color="auto" w:fill="475A8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6">
    <w:name w:val="Light List Accent 6"/>
    <w:basedOn w:val="TableNormal"/>
    <w:uiPriority w:val="46"/>
    <w:rsid w:val="008A15CE"/>
    <w:pPr>
      <w:spacing w:after="0" w:line="240" w:lineRule="auto"/>
    </w:pPr>
    <w:tblPr>
      <w:tblStyleRowBandSize w:val="1"/>
      <w:tblStyleColBandSize w:val="1"/>
      <w:tblInd w:w="0" w:type="dxa"/>
      <w:tblBorders>
        <w:top w:val="single" w:sz="8" w:space="0" w:color="475A8D" w:themeColor="accent6"/>
        <w:left w:val="single" w:sz="8" w:space="0" w:color="475A8D" w:themeColor="accent6"/>
        <w:bottom w:val="single" w:sz="8" w:space="0" w:color="475A8D" w:themeColor="accent6"/>
        <w:right w:val="single" w:sz="8" w:space="0" w:color="475A8D"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75A8D" w:themeFill="accent6"/>
      </w:tcPr>
    </w:tblStylePr>
    <w:tblStylePr w:type="lastRow">
      <w:pPr>
        <w:spacing w:before="0" w:after="0" w:line="240" w:lineRule="auto"/>
      </w:pPr>
      <w:rPr>
        <w:b/>
        <w:bCs/>
      </w:rPr>
      <w:tblPr/>
      <w:tcPr>
        <w:tcBorders>
          <w:top w:val="double" w:sz="6" w:space="0" w:color="475A8D" w:themeColor="accent6"/>
          <w:left w:val="single" w:sz="8" w:space="0" w:color="475A8D" w:themeColor="accent6"/>
          <w:bottom w:val="single" w:sz="8" w:space="0" w:color="475A8D" w:themeColor="accent6"/>
          <w:right w:val="single" w:sz="8" w:space="0" w:color="475A8D" w:themeColor="accent6"/>
        </w:tcBorders>
      </w:tcPr>
    </w:tblStylePr>
    <w:tblStylePr w:type="firstCol">
      <w:rPr>
        <w:b/>
        <w:bCs/>
      </w:rPr>
    </w:tblStylePr>
    <w:tblStylePr w:type="lastCol">
      <w:rPr>
        <w:b/>
        <w:bCs/>
      </w:rPr>
    </w:tblStylePr>
    <w:tblStylePr w:type="band1Vert">
      <w:tblPr/>
      <w:tcPr>
        <w:tcBorders>
          <w:top w:val="single" w:sz="8" w:space="0" w:color="475A8D" w:themeColor="accent6"/>
          <w:left w:val="single" w:sz="8" w:space="0" w:color="475A8D" w:themeColor="accent6"/>
          <w:bottom w:val="single" w:sz="8" w:space="0" w:color="475A8D" w:themeColor="accent6"/>
          <w:right w:val="single" w:sz="8" w:space="0" w:color="475A8D" w:themeColor="accent6"/>
        </w:tcBorders>
      </w:tcPr>
    </w:tblStylePr>
    <w:tblStylePr w:type="band1Horz">
      <w:tblPr/>
      <w:tcPr>
        <w:tcBorders>
          <w:top w:val="single" w:sz="8" w:space="0" w:color="475A8D" w:themeColor="accent6"/>
          <w:left w:val="single" w:sz="8" w:space="0" w:color="475A8D" w:themeColor="accent6"/>
          <w:bottom w:val="single" w:sz="8" w:space="0" w:color="475A8D" w:themeColor="accent6"/>
          <w:right w:val="single" w:sz="8" w:space="0" w:color="475A8D" w:themeColor="accent6"/>
        </w:tcBorders>
      </w:tcPr>
    </w:tblStylePr>
  </w:style>
  <w:style w:type="paragraph" w:customStyle="1" w:styleId="Callout">
    <w:name w:val="Callout"/>
    <w:basedOn w:val="Normal"/>
    <w:qFormat/>
    <w:rsid w:val="00D7480B"/>
    <w:pPr>
      <w:spacing w:after="0" w:line="264" w:lineRule="auto"/>
    </w:pPr>
    <w:rPr>
      <w:rFonts w:asciiTheme="majorHAnsi" w:hAnsiTheme="majorHAnsi"/>
      <w:sz w:val="22"/>
      <w:szCs w:val="22"/>
    </w:rPr>
  </w:style>
  <w:style w:type="table" w:styleId="LightGrid-Accent6">
    <w:name w:val="Light Grid Accent 6"/>
    <w:basedOn w:val="TableNormal"/>
    <w:uiPriority w:val="46"/>
    <w:rsid w:val="00290C63"/>
    <w:pPr>
      <w:spacing w:after="0" w:line="240" w:lineRule="auto"/>
    </w:pPr>
    <w:tblPr>
      <w:tblStyleRowBandSize w:val="1"/>
      <w:tblStyleColBandSize w:val="1"/>
      <w:tblInd w:w="0" w:type="dxa"/>
      <w:tblBorders>
        <w:top w:val="single" w:sz="8" w:space="0" w:color="475A8D" w:themeColor="accent6"/>
        <w:left w:val="single" w:sz="8" w:space="0" w:color="475A8D" w:themeColor="accent6"/>
        <w:bottom w:val="single" w:sz="8" w:space="0" w:color="475A8D" w:themeColor="accent6"/>
        <w:right w:val="single" w:sz="8" w:space="0" w:color="475A8D" w:themeColor="accent6"/>
        <w:insideH w:val="single" w:sz="8" w:space="0" w:color="475A8D" w:themeColor="accent6"/>
        <w:insideV w:val="single" w:sz="8" w:space="0" w:color="475A8D"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75A8D" w:themeColor="accent6"/>
          <w:left w:val="single" w:sz="8" w:space="0" w:color="475A8D" w:themeColor="accent6"/>
          <w:bottom w:val="single" w:sz="18" w:space="0" w:color="475A8D" w:themeColor="accent6"/>
          <w:right w:val="single" w:sz="8" w:space="0" w:color="475A8D" w:themeColor="accent6"/>
          <w:insideH w:val="nil"/>
          <w:insideV w:val="single" w:sz="8" w:space="0" w:color="475A8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75A8D" w:themeColor="accent6"/>
          <w:left w:val="single" w:sz="8" w:space="0" w:color="475A8D" w:themeColor="accent6"/>
          <w:bottom w:val="single" w:sz="8" w:space="0" w:color="475A8D" w:themeColor="accent6"/>
          <w:right w:val="single" w:sz="8" w:space="0" w:color="475A8D" w:themeColor="accent6"/>
          <w:insideH w:val="nil"/>
          <w:insideV w:val="single" w:sz="8" w:space="0" w:color="475A8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75A8D" w:themeColor="accent6"/>
          <w:left w:val="single" w:sz="8" w:space="0" w:color="475A8D" w:themeColor="accent6"/>
          <w:bottom w:val="single" w:sz="8" w:space="0" w:color="475A8D" w:themeColor="accent6"/>
          <w:right w:val="single" w:sz="8" w:space="0" w:color="475A8D" w:themeColor="accent6"/>
        </w:tcBorders>
      </w:tcPr>
    </w:tblStylePr>
    <w:tblStylePr w:type="band1Vert">
      <w:tblPr/>
      <w:tcPr>
        <w:tcBorders>
          <w:top w:val="single" w:sz="8" w:space="0" w:color="475A8D" w:themeColor="accent6"/>
          <w:left w:val="single" w:sz="8" w:space="0" w:color="475A8D" w:themeColor="accent6"/>
          <w:bottom w:val="single" w:sz="8" w:space="0" w:color="475A8D" w:themeColor="accent6"/>
          <w:right w:val="single" w:sz="8" w:space="0" w:color="475A8D" w:themeColor="accent6"/>
        </w:tcBorders>
        <w:shd w:val="clear" w:color="auto" w:fill="CED4E6" w:themeFill="accent6" w:themeFillTint="3F"/>
      </w:tcPr>
    </w:tblStylePr>
    <w:tblStylePr w:type="band1Horz">
      <w:tblPr/>
      <w:tcPr>
        <w:tcBorders>
          <w:top w:val="single" w:sz="8" w:space="0" w:color="475A8D" w:themeColor="accent6"/>
          <w:left w:val="single" w:sz="8" w:space="0" w:color="475A8D" w:themeColor="accent6"/>
          <w:bottom w:val="single" w:sz="8" w:space="0" w:color="475A8D" w:themeColor="accent6"/>
          <w:right w:val="single" w:sz="8" w:space="0" w:color="475A8D" w:themeColor="accent6"/>
          <w:insideV w:val="single" w:sz="8" w:space="0" w:color="475A8D" w:themeColor="accent6"/>
        </w:tcBorders>
        <w:shd w:val="clear" w:color="auto" w:fill="CED4E6" w:themeFill="accent6" w:themeFillTint="3F"/>
      </w:tcPr>
    </w:tblStylePr>
    <w:tblStylePr w:type="band2Horz">
      <w:tblPr/>
      <w:tcPr>
        <w:tcBorders>
          <w:top w:val="single" w:sz="8" w:space="0" w:color="475A8D" w:themeColor="accent6"/>
          <w:left w:val="single" w:sz="8" w:space="0" w:color="475A8D" w:themeColor="accent6"/>
          <w:bottom w:val="single" w:sz="8" w:space="0" w:color="475A8D" w:themeColor="accent6"/>
          <w:right w:val="single" w:sz="8" w:space="0" w:color="475A8D" w:themeColor="accent6"/>
          <w:insideV w:val="single" w:sz="8" w:space="0" w:color="475A8D" w:themeColor="accent6"/>
        </w:tcBorders>
      </w:tcPr>
    </w:tblStylePr>
  </w:style>
  <w:style w:type="table" w:styleId="LightShading-Accent6">
    <w:name w:val="Light Shading Accent 6"/>
    <w:basedOn w:val="TableNormal"/>
    <w:uiPriority w:val="46"/>
    <w:rsid w:val="00290C63"/>
    <w:pPr>
      <w:spacing w:after="0" w:line="240" w:lineRule="auto"/>
    </w:pPr>
    <w:rPr>
      <w:color w:val="354369" w:themeColor="accent6" w:themeShade="BF"/>
    </w:rPr>
    <w:tblPr>
      <w:tblStyleRowBandSize w:val="1"/>
      <w:tblStyleColBandSize w:val="1"/>
      <w:tblInd w:w="0" w:type="dxa"/>
      <w:tblBorders>
        <w:top w:val="single" w:sz="8" w:space="0" w:color="475A8D" w:themeColor="accent6"/>
        <w:bottom w:val="single" w:sz="8" w:space="0" w:color="475A8D"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75A8D" w:themeColor="accent6"/>
          <w:left w:val="nil"/>
          <w:bottom w:val="single" w:sz="8" w:space="0" w:color="475A8D" w:themeColor="accent6"/>
          <w:right w:val="nil"/>
          <w:insideH w:val="nil"/>
          <w:insideV w:val="nil"/>
        </w:tcBorders>
      </w:tcPr>
    </w:tblStylePr>
    <w:tblStylePr w:type="lastRow">
      <w:pPr>
        <w:spacing w:before="0" w:after="0" w:line="240" w:lineRule="auto"/>
      </w:pPr>
      <w:rPr>
        <w:b/>
        <w:bCs/>
      </w:rPr>
      <w:tblPr/>
      <w:tcPr>
        <w:tcBorders>
          <w:top w:val="single" w:sz="8" w:space="0" w:color="475A8D" w:themeColor="accent6"/>
          <w:left w:val="nil"/>
          <w:bottom w:val="single" w:sz="8" w:space="0" w:color="475A8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4E6" w:themeFill="accent6" w:themeFillTint="3F"/>
      </w:tcPr>
    </w:tblStylePr>
    <w:tblStylePr w:type="band1Horz">
      <w:tblPr/>
      <w:tcPr>
        <w:tcBorders>
          <w:left w:val="nil"/>
          <w:right w:val="nil"/>
          <w:insideH w:val="nil"/>
          <w:insideV w:val="nil"/>
        </w:tcBorders>
        <w:shd w:val="clear" w:color="auto" w:fill="CED4E6" w:themeFill="accent6" w:themeFillTint="3F"/>
      </w:tcPr>
    </w:tblStylePr>
  </w:style>
  <w:style w:type="table" w:styleId="LightList-Accent3">
    <w:name w:val="Light List Accent 3"/>
    <w:basedOn w:val="TableNormal"/>
    <w:uiPriority w:val="43"/>
    <w:rsid w:val="00A44E45"/>
    <w:pPr>
      <w:spacing w:after="0" w:line="240" w:lineRule="auto"/>
    </w:pPr>
    <w:tblPr>
      <w:tblStyleRowBandSize w:val="1"/>
      <w:tblStyleColBandSize w:val="1"/>
      <w:tblInd w:w="0" w:type="dxa"/>
      <w:tblBorders>
        <w:top w:val="single" w:sz="8" w:space="0" w:color="C32D2E" w:themeColor="accent3"/>
        <w:left w:val="single" w:sz="8" w:space="0" w:color="C32D2E" w:themeColor="accent3"/>
        <w:bottom w:val="single" w:sz="8" w:space="0" w:color="C32D2E" w:themeColor="accent3"/>
        <w:right w:val="single" w:sz="8" w:space="0" w:color="C32D2E"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32D2E" w:themeFill="accent3"/>
      </w:tcPr>
    </w:tblStylePr>
    <w:tblStylePr w:type="lastRow">
      <w:pPr>
        <w:spacing w:before="0" w:after="0" w:line="240" w:lineRule="auto"/>
      </w:pPr>
      <w:rPr>
        <w:b/>
        <w:bCs/>
      </w:rPr>
      <w:tblPr/>
      <w:tcPr>
        <w:tcBorders>
          <w:top w:val="double" w:sz="6" w:space="0" w:color="C32D2E" w:themeColor="accent3"/>
          <w:left w:val="single" w:sz="8" w:space="0" w:color="C32D2E" w:themeColor="accent3"/>
          <w:bottom w:val="single" w:sz="8" w:space="0" w:color="C32D2E" w:themeColor="accent3"/>
          <w:right w:val="single" w:sz="8" w:space="0" w:color="C32D2E" w:themeColor="accent3"/>
        </w:tcBorders>
      </w:tcPr>
    </w:tblStylePr>
    <w:tblStylePr w:type="firstCol">
      <w:rPr>
        <w:b/>
        <w:bCs/>
      </w:rPr>
    </w:tblStylePr>
    <w:tblStylePr w:type="lastCol">
      <w:rPr>
        <w:b/>
        <w:bCs/>
      </w:rPr>
    </w:tblStylePr>
    <w:tblStylePr w:type="band1Vert">
      <w:tblPr/>
      <w:tcPr>
        <w:tcBorders>
          <w:top w:val="single" w:sz="8" w:space="0" w:color="C32D2E" w:themeColor="accent3"/>
          <w:left w:val="single" w:sz="8" w:space="0" w:color="C32D2E" w:themeColor="accent3"/>
          <w:bottom w:val="single" w:sz="8" w:space="0" w:color="C32D2E" w:themeColor="accent3"/>
          <w:right w:val="single" w:sz="8" w:space="0" w:color="C32D2E" w:themeColor="accent3"/>
        </w:tcBorders>
      </w:tcPr>
    </w:tblStylePr>
    <w:tblStylePr w:type="band1Horz">
      <w:tblPr/>
      <w:tcPr>
        <w:tcBorders>
          <w:top w:val="single" w:sz="8" w:space="0" w:color="C32D2E" w:themeColor="accent3"/>
          <w:left w:val="single" w:sz="8" w:space="0" w:color="C32D2E" w:themeColor="accent3"/>
          <w:bottom w:val="single" w:sz="8" w:space="0" w:color="C32D2E" w:themeColor="accent3"/>
          <w:right w:val="single" w:sz="8" w:space="0" w:color="C32D2E" w:themeColor="accent3"/>
        </w:tcBorders>
      </w:tcPr>
    </w:tblStylePr>
  </w:style>
  <w:style w:type="paragraph" w:styleId="TOCHeading">
    <w:name w:val="TOC Heading"/>
    <w:basedOn w:val="Heading1"/>
    <w:next w:val="Normal"/>
    <w:uiPriority w:val="39"/>
    <w:semiHidden/>
    <w:unhideWhenUsed/>
    <w:qFormat/>
    <w:rsid w:val="00373F8F"/>
    <w:pPr>
      <w:keepNext/>
      <w:keepLines/>
      <w:numPr>
        <w:numId w:val="0"/>
      </w:numPr>
      <w:spacing w:before="480" w:after="0"/>
      <w:outlineLvl w:val="9"/>
    </w:pPr>
    <w:rPr>
      <w:rFonts w:eastAsiaTheme="majorEastAsia" w:cstheme="majorBidi"/>
      <w:b/>
      <w:bCs/>
      <w:color w:val="2A6C7D" w:themeColor="accent1" w:themeShade="BF"/>
      <w:sz w:val="28"/>
      <w:szCs w:val="28"/>
      <w:lang w:eastAsia="en-US"/>
    </w:rPr>
  </w:style>
  <w:style w:type="table" w:styleId="MediumGrid3-Accent1">
    <w:name w:val="Medium Grid 3 Accent 1"/>
    <w:basedOn w:val="TableNormal"/>
    <w:uiPriority w:val="41"/>
    <w:rsid w:val="006601E3"/>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9E6E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891A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891A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891A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891A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3CCD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3CCDB" w:themeFill="accent1" w:themeFillTint="7F"/>
      </w:tcPr>
    </w:tblStylePr>
  </w:style>
  <w:style w:type="character" w:styleId="FollowedHyperlink">
    <w:name w:val="FollowedHyperlink"/>
    <w:basedOn w:val="DefaultParagraphFont"/>
    <w:uiPriority w:val="99"/>
    <w:semiHidden/>
    <w:unhideWhenUsed/>
    <w:rsid w:val="00C05F14"/>
    <w:rPr>
      <w:color w:val="AA8A14" w:themeColor="followedHyperlink"/>
      <w:u w:val="single"/>
    </w:rPr>
  </w:style>
  <w:style w:type="character" w:customStyle="1" w:styleId="FootnoteTextChar1">
    <w:name w:val="Footnote Text Char1"/>
    <w:basedOn w:val="DefaultParagraphFont"/>
    <w:rsid w:val="00216AFC"/>
    <w:rPr>
      <w:rFonts w:ascii="Times New Roman" w:eastAsia="Times New Roman" w:hAnsi="Times New Roman" w:cs="Times New Roman"/>
    </w:rPr>
  </w:style>
  <w:style w:type="paragraph" w:customStyle="1" w:styleId="FrontHeading">
    <w:name w:val="Front Heading"/>
    <w:basedOn w:val="Normal"/>
    <w:next w:val="BodyText"/>
    <w:qFormat/>
    <w:rsid w:val="00D35FA6"/>
    <w:rPr>
      <w:rFonts w:asciiTheme="majorHAnsi" w:hAnsiTheme="majorHAnsi"/>
      <w:b/>
      <w:i/>
      <w:color w:val="475A8D" w:themeColor="accent6"/>
      <w:sz w:val="40"/>
      <w:szCs w:val="40"/>
      <w:lang w:eastAsia="en-US"/>
    </w:rPr>
  </w:style>
</w:styles>
</file>

<file path=word/webSettings.xml><?xml version="1.0" encoding="utf-8"?>
<w:webSettings xmlns:r="http://schemas.openxmlformats.org/officeDocument/2006/relationships" xmlns:w="http://schemas.openxmlformats.org/wordprocessingml/2006/main">
  <w:divs>
    <w:div w:id="17319757">
      <w:bodyDiv w:val="1"/>
      <w:marLeft w:val="0"/>
      <w:marRight w:val="0"/>
      <w:marTop w:val="0"/>
      <w:marBottom w:val="0"/>
      <w:divBdr>
        <w:top w:val="none" w:sz="0" w:space="0" w:color="auto"/>
        <w:left w:val="none" w:sz="0" w:space="0" w:color="auto"/>
        <w:bottom w:val="none" w:sz="0" w:space="0" w:color="auto"/>
        <w:right w:val="none" w:sz="0" w:space="0" w:color="auto"/>
      </w:divBdr>
    </w:div>
    <w:div w:id="21248928">
      <w:bodyDiv w:val="1"/>
      <w:marLeft w:val="0"/>
      <w:marRight w:val="0"/>
      <w:marTop w:val="0"/>
      <w:marBottom w:val="0"/>
      <w:divBdr>
        <w:top w:val="none" w:sz="0" w:space="0" w:color="auto"/>
        <w:left w:val="none" w:sz="0" w:space="0" w:color="auto"/>
        <w:bottom w:val="none" w:sz="0" w:space="0" w:color="auto"/>
        <w:right w:val="none" w:sz="0" w:space="0" w:color="auto"/>
      </w:divBdr>
    </w:div>
    <w:div w:id="136076061">
      <w:bodyDiv w:val="1"/>
      <w:marLeft w:val="0"/>
      <w:marRight w:val="0"/>
      <w:marTop w:val="0"/>
      <w:marBottom w:val="0"/>
      <w:divBdr>
        <w:top w:val="none" w:sz="0" w:space="0" w:color="auto"/>
        <w:left w:val="none" w:sz="0" w:space="0" w:color="auto"/>
        <w:bottom w:val="none" w:sz="0" w:space="0" w:color="auto"/>
        <w:right w:val="none" w:sz="0" w:space="0" w:color="auto"/>
      </w:divBdr>
    </w:div>
    <w:div w:id="144275221">
      <w:bodyDiv w:val="1"/>
      <w:marLeft w:val="0"/>
      <w:marRight w:val="0"/>
      <w:marTop w:val="0"/>
      <w:marBottom w:val="0"/>
      <w:divBdr>
        <w:top w:val="none" w:sz="0" w:space="0" w:color="auto"/>
        <w:left w:val="none" w:sz="0" w:space="0" w:color="auto"/>
        <w:bottom w:val="none" w:sz="0" w:space="0" w:color="auto"/>
        <w:right w:val="none" w:sz="0" w:space="0" w:color="auto"/>
      </w:divBdr>
    </w:div>
    <w:div w:id="194923460">
      <w:bodyDiv w:val="1"/>
      <w:marLeft w:val="0"/>
      <w:marRight w:val="0"/>
      <w:marTop w:val="0"/>
      <w:marBottom w:val="0"/>
      <w:divBdr>
        <w:top w:val="none" w:sz="0" w:space="0" w:color="auto"/>
        <w:left w:val="none" w:sz="0" w:space="0" w:color="auto"/>
        <w:bottom w:val="none" w:sz="0" w:space="0" w:color="auto"/>
        <w:right w:val="none" w:sz="0" w:space="0" w:color="auto"/>
      </w:divBdr>
    </w:div>
    <w:div w:id="228464060">
      <w:bodyDiv w:val="1"/>
      <w:marLeft w:val="0"/>
      <w:marRight w:val="0"/>
      <w:marTop w:val="0"/>
      <w:marBottom w:val="0"/>
      <w:divBdr>
        <w:top w:val="none" w:sz="0" w:space="0" w:color="auto"/>
        <w:left w:val="none" w:sz="0" w:space="0" w:color="auto"/>
        <w:bottom w:val="none" w:sz="0" w:space="0" w:color="auto"/>
        <w:right w:val="none" w:sz="0" w:space="0" w:color="auto"/>
      </w:divBdr>
    </w:div>
    <w:div w:id="245844691">
      <w:bodyDiv w:val="1"/>
      <w:marLeft w:val="0"/>
      <w:marRight w:val="0"/>
      <w:marTop w:val="0"/>
      <w:marBottom w:val="0"/>
      <w:divBdr>
        <w:top w:val="none" w:sz="0" w:space="0" w:color="auto"/>
        <w:left w:val="none" w:sz="0" w:space="0" w:color="auto"/>
        <w:bottom w:val="none" w:sz="0" w:space="0" w:color="auto"/>
        <w:right w:val="none" w:sz="0" w:space="0" w:color="auto"/>
      </w:divBdr>
    </w:div>
    <w:div w:id="314728843">
      <w:bodyDiv w:val="1"/>
      <w:marLeft w:val="0"/>
      <w:marRight w:val="0"/>
      <w:marTop w:val="0"/>
      <w:marBottom w:val="0"/>
      <w:divBdr>
        <w:top w:val="none" w:sz="0" w:space="0" w:color="auto"/>
        <w:left w:val="none" w:sz="0" w:space="0" w:color="auto"/>
        <w:bottom w:val="none" w:sz="0" w:space="0" w:color="auto"/>
        <w:right w:val="none" w:sz="0" w:space="0" w:color="auto"/>
      </w:divBdr>
    </w:div>
    <w:div w:id="331294895">
      <w:bodyDiv w:val="1"/>
      <w:marLeft w:val="0"/>
      <w:marRight w:val="0"/>
      <w:marTop w:val="0"/>
      <w:marBottom w:val="0"/>
      <w:divBdr>
        <w:top w:val="none" w:sz="0" w:space="0" w:color="auto"/>
        <w:left w:val="none" w:sz="0" w:space="0" w:color="auto"/>
        <w:bottom w:val="none" w:sz="0" w:space="0" w:color="auto"/>
        <w:right w:val="none" w:sz="0" w:space="0" w:color="auto"/>
      </w:divBdr>
    </w:div>
    <w:div w:id="336270188">
      <w:bodyDiv w:val="1"/>
      <w:marLeft w:val="0"/>
      <w:marRight w:val="0"/>
      <w:marTop w:val="0"/>
      <w:marBottom w:val="0"/>
      <w:divBdr>
        <w:top w:val="none" w:sz="0" w:space="0" w:color="auto"/>
        <w:left w:val="none" w:sz="0" w:space="0" w:color="auto"/>
        <w:bottom w:val="none" w:sz="0" w:space="0" w:color="auto"/>
        <w:right w:val="none" w:sz="0" w:space="0" w:color="auto"/>
      </w:divBdr>
    </w:div>
    <w:div w:id="405956787">
      <w:bodyDiv w:val="1"/>
      <w:marLeft w:val="0"/>
      <w:marRight w:val="0"/>
      <w:marTop w:val="0"/>
      <w:marBottom w:val="0"/>
      <w:divBdr>
        <w:top w:val="none" w:sz="0" w:space="0" w:color="auto"/>
        <w:left w:val="none" w:sz="0" w:space="0" w:color="auto"/>
        <w:bottom w:val="none" w:sz="0" w:space="0" w:color="auto"/>
        <w:right w:val="none" w:sz="0" w:space="0" w:color="auto"/>
      </w:divBdr>
    </w:div>
    <w:div w:id="501630508">
      <w:bodyDiv w:val="1"/>
      <w:marLeft w:val="0"/>
      <w:marRight w:val="0"/>
      <w:marTop w:val="0"/>
      <w:marBottom w:val="0"/>
      <w:divBdr>
        <w:top w:val="none" w:sz="0" w:space="0" w:color="auto"/>
        <w:left w:val="none" w:sz="0" w:space="0" w:color="auto"/>
        <w:bottom w:val="none" w:sz="0" w:space="0" w:color="auto"/>
        <w:right w:val="none" w:sz="0" w:space="0" w:color="auto"/>
      </w:divBdr>
    </w:div>
    <w:div w:id="516237574">
      <w:bodyDiv w:val="1"/>
      <w:marLeft w:val="0"/>
      <w:marRight w:val="0"/>
      <w:marTop w:val="0"/>
      <w:marBottom w:val="0"/>
      <w:divBdr>
        <w:top w:val="none" w:sz="0" w:space="0" w:color="auto"/>
        <w:left w:val="none" w:sz="0" w:space="0" w:color="auto"/>
        <w:bottom w:val="none" w:sz="0" w:space="0" w:color="auto"/>
        <w:right w:val="none" w:sz="0" w:space="0" w:color="auto"/>
      </w:divBdr>
    </w:div>
    <w:div w:id="537663793">
      <w:bodyDiv w:val="1"/>
      <w:marLeft w:val="0"/>
      <w:marRight w:val="0"/>
      <w:marTop w:val="0"/>
      <w:marBottom w:val="0"/>
      <w:divBdr>
        <w:top w:val="none" w:sz="0" w:space="0" w:color="auto"/>
        <w:left w:val="none" w:sz="0" w:space="0" w:color="auto"/>
        <w:bottom w:val="none" w:sz="0" w:space="0" w:color="auto"/>
        <w:right w:val="none" w:sz="0" w:space="0" w:color="auto"/>
      </w:divBdr>
    </w:div>
    <w:div w:id="678505591">
      <w:bodyDiv w:val="1"/>
      <w:marLeft w:val="0"/>
      <w:marRight w:val="0"/>
      <w:marTop w:val="0"/>
      <w:marBottom w:val="0"/>
      <w:divBdr>
        <w:top w:val="none" w:sz="0" w:space="0" w:color="auto"/>
        <w:left w:val="none" w:sz="0" w:space="0" w:color="auto"/>
        <w:bottom w:val="none" w:sz="0" w:space="0" w:color="auto"/>
        <w:right w:val="none" w:sz="0" w:space="0" w:color="auto"/>
      </w:divBdr>
    </w:div>
    <w:div w:id="742795339">
      <w:bodyDiv w:val="1"/>
      <w:marLeft w:val="0"/>
      <w:marRight w:val="0"/>
      <w:marTop w:val="0"/>
      <w:marBottom w:val="0"/>
      <w:divBdr>
        <w:top w:val="none" w:sz="0" w:space="0" w:color="auto"/>
        <w:left w:val="none" w:sz="0" w:space="0" w:color="auto"/>
        <w:bottom w:val="none" w:sz="0" w:space="0" w:color="auto"/>
        <w:right w:val="none" w:sz="0" w:space="0" w:color="auto"/>
      </w:divBdr>
    </w:div>
    <w:div w:id="852652327">
      <w:bodyDiv w:val="1"/>
      <w:marLeft w:val="0"/>
      <w:marRight w:val="0"/>
      <w:marTop w:val="0"/>
      <w:marBottom w:val="0"/>
      <w:divBdr>
        <w:top w:val="none" w:sz="0" w:space="0" w:color="auto"/>
        <w:left w:val="none" w:sz="0" w:space="0" w:color="auto"/>
        <w:bottom w:val="none" w:sz="0" w:space="0" w:color="auto"/>
        <w:right w:val="none" w:sz="0" w:space="0" w:color="auto"/>
      </w:divBdr>
    </w:div>
    <w:div w:id="872616666">
      <w:bodyDiv w:val="1"/>
      <w:marLeft w:val="0"/>
      <w:marRight w:val="0"/>
      <w:marTop w:val="0"/>
      <w:marBottom w:val="0"/>
      <w:divBdr>
        <w:top w:val="none" w:sz="0" w:space="0" w:color="auto"/>
        <w:left w:val="none" w:sz="0" w:space="0" w:color="auto"/>
        <w:bottom w:val="none" w:sz="0" w:space="0" w:color="auto"/>
        <w:right w:val="none" w:sz="0" w:space="0" w:color="auto"/>
      </w:divBdr>
    </w:div>
    <w:div w:id="910846564">
      <w:bodyDiv w:val="1"/>
      <w:marLeft w:val="0"/>
      <w:marRight w:val="0"/>
      <w:marTop w:val="0"/>
      <w:marBottom w:val="0"/>
      <w:divBdr>
        <w:top w:val="none" w:sz="0" w:space="0" w:color="auto"/>
        <w:left w:val="none" w:sz="0" w:space="0" w:color="auto"/>
        <w:bottom w:val="none" w:sz="0" w:space="0" w:color="auto"/>
        <w:right w:val="none" w:sz="0" w:space="0" w:color="auto"/>
      </w:divBdr>
    </w:div>
    <w:div w:id="940845196">
      <w:bodyDiv w:val="1"/>
      <w:marLeft w:val="0"/>
      <w:marRight w:val="0"/>
      <w:marTop w:val="0"/>
      <w:marBottom w:val="0"/>
      <w:divBdr>
        <w:top w:val="none" w:sz="0" w:space="0" w:color="auto"/>
        <w:left w:val="none" w:sz="0" w:space="0" w:color="auto"/>
        <w:bottom w:val="none" w:sz="0" w:space="0" w:color="auto"/>
        <w:right w:val="none" w:sz="0" w:space="0" w:color="auto"/>
      </w:divBdr>
    </w:div>
    <w:div w:id="942421171">
      <w:bodyDiv w:val="1"/>
      <w:marLeft w:val="0"/>
      <w:marRight w:val="0"/>
      <w:marTop w:val="0"/>
      <w:marBottom w:val="0"/>
      <w:divBdr>
        <w:top w:val="none" w:sz="0" w:space="0" w:color="auto"/>
        <w:left w:val="none" w:sz="0" w:space="0" w:color="auto"/>
        <w:bottom w:val="none" w:sz="0" w:space="0" w:color="auto"/>
        <w:right w:val="none" w:sz="0" w:space="0" w:color="auto"/>
      </w:divBdr>
    </w:div>
    <w:div w:id="1032849410">
      <w:bodyDiv w:val="1"/>
      <w:marLeft w:val="0"/>
      <w:marRight w:val="0"/>
      <w:marTop w:val="0"/>
      <w:marBottom w:val="0"/>
      <w:divBdr>
        <w:top w:val="none" w:sz="0" w:space="0" w:color="auto"/>
        <w:left w:val="none" w:sz="0" w:space="0" w:color="auto"/>
        <w:bottom w:val="none" w:sz="0" w:space="0" w:color="auto"/>
        <w:right w:val="none" w:sz="0" w:space="0" w:color="auto"/>
      </w:divBdr>
    </w:div>
    <w:div w:id="1164082934">
      <w:bodyDiv w:val="1"/>
      <w:marLeft w:val="0"/>
      <w:marRight w:val="0"/>
      <w:marTop w:val="0"/>
      <w:marBottom w:val="0"/>
      <w:divBdr>
        <w:top w:val="none" w:sz="0" w:space="0" w:color="auto"/>
        <w:left w:val="none" w:sz="0" w:space="0" w:color="auto"/>
        <w:bottom w:val="none" w:sz="0" w:space="0" w:color="auto"/>
        <w:right w:val="none" w:sz="0" w:space="0" w:color="auto"/>
      </w:divBdr>
    </w:div>
    <w:div w:id="1165517516">
      <w:bodyDiv w:val="1"/>
      <w:marLeft w:val="0"/>
      <w:marRight w:val="0"/>
      <w:marTop w:val="0"/>
      <w:marBottom w:val="0"/>
      <w:divBdr>
        <w:top w:val="none" w:sz="0" w:space="0" w:color="auto"/>
        <w:left w:val="none" w:sz="0" w:space="0" w:color="auto"/>
        <w:bottom w:val="none" w:sz="0" w:space="0" w:color="auto"/>
        <w:right w:val="none" w:sz="0" w:space="0" w:color="auto"/>
      </w:divBdr>
    </w:div>
    <w:div w:id="1170563937">
      <w:bodyDiv w:val="1"/>
      <w:marLeft w:val="0"/>
      <w:marRight w:val="0"/>
      <w:marTop w:val="0"/>
      <w:marBottom w:val="0"/>
      <w:divBdr>
        <w:top w:val="none" w:sz="0" w:space="0" w:color="auto"/>
        <w:left w:val="none" w:sz="0" w:space="0" w:color="auto"/>
        <w:bottom w:val="none" w:sz="0" w:space="0" w:color="auto"/>
        <w:right w:val="none" w:sz="0" w:space="0" w:color="auto"/>
      </w:divBdr>
    </w:div>
    <w:div w:id="1234779587">
      <w:bodyDiv w:val="1"/>
      <w:marLeft w:val="0"/>
      <w:marRight w:val="0"/>
      <w:marTop w:val="0"/>
      <w:marBottom w:val="0"/>
      <w:divBdr>
        <w:top w:val="none" w:sz="0" w:space="0" w:color="auto"/>
        <w:left w:val="none" w:sz="0" w:space="0" w:color="auto"/>
        <w:bottom w:val="none" w:sz="0" w:space="0" w:color="auto"/>
        <w:right w:val="none" w:sz="0" w:space="0" w:color="auto"/>
      </w:divBdr>
    </w:div>
    <w:div w:id="1307659719">
      <w:bodyDiv w:val="1"/>
      <w:marLeft w:val="0"/>
      <w:marRight w:val="0"/>
      <w:marTop w:val="0"/>
      <w:marBottom w:val="0"/>
      <w:divBdr>
        <w:top w:val="none" w:sz="0" w:space="0" w:color="auto"/>
        <w:left w:val="none" w:sz="0" w:space="0" w:color="auto"/>
        <w:bottom w:val="none" w:sz="0" w:space="0" w:color="auto"/>
        <w:right w:val="none" w:sz="0" w:space="0" w:color="auto"/>
      </w:divBdr>
    </w:div>
    <w:div w:id="1338536588">
      <w:bodyDiv w:val="1"/>
      <w:marLeft w:val="0"/>
      <w:marRight w:val="0"/>
      <w:marTop w:val="0"/>
      <w:marBottom w:val="0"/>
      <w:divBdr>
        <w:top w:val="none" w:sz="0" w:space="0" w:color="auto"/>
        <w:left w:val="none" w:sz="0" w:space="0" w:color="auto"/>
        <w:bottom w:val="none" w:sz="0" w:space="0" w:color="auto"/>
        <w:right w:val="none" w:sz="0" w:space="0" w:color="auto"/>
      </w:divBdr>
    </w:div>
    <w:div w:id="1389913178">
      <w:bodyDiv w:val="1"/>
      <w:marLeft w:val="0"/>
      <w:marRight w:val="0"/>
      <w:marTop w:val="0"/>
      <w:marBottom w:val="0"/>
      <w:divBdr>
        <w:top w:val="none" w:sz="0" w:space="0" w:color="auto"/>
        <w:left w:val="none" w:sz="0" w:space="0" w:color="auto"/>
        <w:bottom w:val="none" w:sz="0" w:space="0" w:color="auto"/>
        <w:right w:val="none" w:sz="0" w:space="0" w:color="auto"/>
      </w:divBdr>
    </w:div>
    <w:div w:id="1424841497">
      <w:bodyDiv w:val="1"/>
      <w:marLeft w:val="0"/>
      <w:marRight w:val="0"/>
      <w:marTop w:val="0"/>
      <w:marBottom w:val="0"/>
      <w:divBdr>
        <w:top w:val="none" w:sz="0" w:space="0" w:color="auto"/>
        <w:left w:val="none" w:sz="0" w:space="0" w:color="auto"/>
        <w:bottom w:val="none" w:sz="0" w:space="0" w:color="auto"/>
        <w:right w:val="none" w:sz="0" w:space="0" w:color="auto"/>
      </w:divBdr>
    </w:div>
    <w:div w:id="1557933232">
      <w:bodyDiv w:val="1"/>
      <w:marLeft w:val="0"/>
      <w:marRight w:val="0"/>
      <w:marTop w:val="0"/>
      <w:marBottom w:val="0"/>
      <w:divBdr>
        <w:top w:val="none" w:sz="0" w:space="0" w:color="auto"/>
        <w:left w:val="none" w:sz="0" w:space="0" w:color="auto"/>
        <w:bottom w:val="none" w:sz="0" w:space="0" w:color="auto"/>
        <w:right w:val="none" w:sz="0" w:space="0" w:color="auto"/>
      </w:divBdr>
    </w:div>
    <w:div w:id="1574702427">
      <w:bodyDiv w:val="1"/>
      <w:marLeft w:val="0"/>
      <w:marRight w:val="0"/>
      <w:marTop w:val="0"/>
      <w:marBottom w:val="0"/>
      <w:divBdr>
        <w:top w:val="none" w:sz="0" w:space="0" w:color="auto"/>
        <w:left w:val="none" w:sz="0" w:space="0" w:color="auto"/>
        <w:bottom w:val="none" w:sz="0" w:space="0" w:color="auto"/>
        <w:right w:val="none" w:sz="0" w:space="0" w:color="auto"/>
      </w:divBdr>
    </w:div>
    <w:div w:id="1604876512">
      <w:bodyDiv w:val="1"/>
      <w:marLeft w:val="0"/>
      <w:marRight w:val="0"/>
      <w:marTop w:val="0"/>
      <w:marBottom w:val="0"/>
      <w:divBdr>
        <w:top w:val="none" w:sz="0" w:space="0" w:color="auto"/>
        <w:left w:val="none" w:sz="0" w:space="0" w:color="auto"/>
        <w:bottom w:val="none" w:sz="0" w:space="0" w:color="auto"/>
        <w:right w:val="none" w:sz="0" w:space="0" w:color="auto"/>
      </w:divBdr>
    </w:div>
    <w:div w:id="1624074472">
      <w:bodyDiv w:val="1"/>
      <w:marLeft w:val="0"/>
      <w:marRight w:val="0"/>
      <w:marTop w:val="0"/>
      <w:marBottom w:val="0"/>
      <w:divBdr>
        <w:top w:val="none" w:sz="0" w:space="0" w:color="auto"/>
        <w:left w:val="none" w:sz="0" w:space="0" w:color="auto"/>
        <w:bottom w:val="none" w:sz="0" w:space="0" w:color="auto"/>
        <w:right w:val="none" w:sz="0" w:space="0" w:color="auto"/>
      </w:divBdr>
    </w:div>
    <w:div w:id="1635718019">
      <w:bodyDiv w:val="1"/>
      <w:marLeft w:val="0"/>
      <w:marRight w:val="0"/>
      <w:marTop w:val="0"/>
      <w:marBottom w:val="0"/>
      <w:divBdr>
        <w:top w:val="none" w:sz="0" w:space="0" w:color="auto"/>
        <w:left w:val="none" w:sz="0" w:space="0" w:color="auto"/>
        <w:bottom w:val="none" w:sz="0" w:space="0" w:color="auto"/>
        <w:right w:val="none" w:sz="0" w:space="0" w:color="auto"/>
      </w:divBdr>
    </w:div>
    <w:div w:id="1860313666">
      <w:bodyDiv w:val="1"/>
      <w:marLeft w:val="0"/>
      <w:marRight w:val="0"/>
      <w:marTop w:val="0"/>
      <w:marBottom w:val="0"/>
      <w:divBdr>
        <w:top w:val="none" w:sz="0" w:space="0" w:color="auto"/>
        <w:left w:val="none" w:sz="0" w:space="0" w:color="auto"/>
        <w:bottom w:val="none" w:sz="0" w:space="0" w:color="auto"/>
        <w:right w:val="none" w:sz="0" w:space="0" w:color="auto"/>
      </w:divBdr>
    </w:div>
    <w:div w:id="1931809796">
      <w:bodyDiv w:val="1"/>
      <w:marLeft w:val="0"/>
      <w:marRight w:val="0"/>
      <w:marTop w:val="0"/>
      <w:marBottom w:val="0"/>
      <w:divBdr>
        <w:top w:val="none" w:sz="0" w:space="0" w:color="auto"/>
        <w:left w:val="none" w:sz="0" w:space="0" w:color="auto"/>
        <w:bottom w:val="none" w:sz="0" w:space="0" w:color="auto"/>
        <w:right w:val="none" w:sz="0" w:space="0" w:color="auto"/>
      </w:divBdr>
    </w:div>
    <w:div w:id="2010672152">
      <w:bodyDiv w:val="1"/>
      <w:marLeft w:val="0"/>
      <w:marRight w:val="0"/>
      <w:marTop w:val="0"/>
      <w:marBottom w:val="0"/>
      <w:divBdr>
        <w:top w:val="none" w:sz="0" w:space="0" w:color="auto"/>
        <w:left w:val="none" w:sz="0" w:space="0" w:color="auto"/>
        <w:bottom w:val="none" w:sz="0" w:space="0" w:color="auto"/>
        <w:right w:val="none" w:sz="0" w:space="0" w:color="auto"/>
      </w:divBdr>
    </w:div>
    <w:div w:id="201761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hyperlink" Target="http://ftajarcnf.cesnn.com" TargetMode="External"/><Relationship Id="rId26" Type="http://schemas.openxmlformats.org/officeDocument/2006/relationships/chart" Target="charts/chart10.xml"/><Relationship Id="rId39" Type="http://schemas.openxmlformats.org/officeDocument/2006/relationships/hyperlink" Target="http://lehd.did.census.gov/lehd/cache/lehd/pvt/pivot_county/fl-c/1e-ae-cn-dt-fy-llehd-pi-v013-xe-y2008-xownere.xls" TargetMode="External"/><Relationship Id="rId3" Type="http://schemas.openxmlformats.org/officeDocument/2006/relationships/customXml" Target="../customXml/item3.xml"/><Relationship Id="rId21" Type="http://schemas.openxmlformats.org/officeDocument/2006/relationships/chart" Target="charts/chart5.xml"/><Relationship Id="rId34" Type="http://schemas.openxmlformats.org/officeDocument/2006/relationships/image" Target="http://lehd.dsd.census.gov/led/images/LEHD-chart.jpg" TargetMode="External"/><Relationship Id="rId42" Type="http://schemas.openxmlformats.org/officeDocument/2006/relationships/footer" Target="footer7.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ftajarcnf-report.cesnn.com" TargetMode="External"/><Relationship Id="rId25" Type="http://schemas.openxmlformats.org/officeDocument/2006/relationships/chart" Target="charts/chart9.xml"/><Relationship Id="rId33" Type="http://schemas.openxmlformats.org/officeDocument/2006/relationships/image" Target="media/image1.jpeg"/><Relationship Id="rId38"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hyperlink" Target="http://ftajarcnf.cesnn.com/" TargetMode="External"/><Relationship Id="rId20" Type="http://schemas.openxmlformats.org/officeDocument/2006/relationships/chart" Target="charts/chart4.xml"/><Relationship Id="rId29" Type="http://schemas.openxmlformats.org/officeDocument/2006/relationships/chart" Target="charts/chart13.xml"/><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chart" Target="charts/chart8.xml"/><Relationship Id="rId32" Type="http://schemas.openxmlformats.org/officeDocument/2006/relationships/hyperlink" Target="http://lehd.dsd.census.gov/led/about-us/FAQ.html" TargetMode="External"/><Relationship Id="rId37" Type="http://schemas.openxmlformats.org/officeDocument/2006/relationships/hyperlink" Target="http://lehd.did.census.gov/cgi-bin/lehdpivot/lehd/pvt/pivot_county.hsql?xpivot=Industry&amp;xdata=Total_Employment&amp;xyear=2008&amp;head=ZZZZ&amp;xstate=fl&amp;xstyle=lehd&amp;xfixed=Year&amp;xgeofx=xcounty&amp;xcounty=%3D&amp;xsicdiv=%3C%3E&amp;xsex=%3D&amp;xagegroup=%3D&amp;xowner=%3D&amp;xsort=Year%2CQuarter%2CSic_Division&amp;Xvalue=013" TargetMode="External"/><Relationship Id="rId40" Type="http://schemas.openxmlformats.org/officeDocument/2006/relationships/hyperlink" Target="http://www.census.gov/geo/www/fips/fips65/data/national.txt" TargetMode="External"/><Relationship Id="rId5" Type="http://schemas.openxmlformats.org/officeDocument/2006/relationships/styles" Target="styles.xml"/><Relationship Id="rId15" Type="http://schemas.openxmlformats.org/officeDocument/2006/relationships/chart" Target="charts/chart2.xml"/><Relationship Id="rId23" Type="http://schemas.openxmlformats.org/officeDocument/2006/relationships/chart" Target="charts/chart7.xml"/><Relationship Id="rId28" Type="http://schemas.openxmlformats.org/officeDocument/2006/relationships/chart" Target="charts/chart12.xml"/><Relationship Id="rId36" Type="http://schemas.openxmlformats.org/officeDocument/2006/relationships/hyperlink" Target="http://lehd.did.census.gov/led/datatools/qwiapp.html" TargetMode="External"/><Relationship Id="rId10" Type="http://schemas.openxmlformats.org/officeDocument/2006/relationships/header" Target="header1.xml"/><Relationship Id="rId19" Type="http://schemas.openxmlformats.org/officeDocument/2006/relationships/chart" Target="charts/chart3.xml"/><Relationship Id="rId31" Type="http://schemas.openxmlformats.org/officeDocument/2006/relationships/footer" Target="footer5.xml"/><Relationship Id="rId4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hart" Target="charts/chart1.xml"/><Relationship Id="rId22" Type="http://schemas.openxmlformats.org/officeDocument/2006/relationships/chart" Target="charts/chart6.xml"/><Relationship Id="rId27" Type="http://schemas.openxmlformats.org/officeDocument/2006/relationships/chart" Target="charts/chart11.xml"/><Relationship Id="rId30" Type="http://schemas.openxmlformats.org/officeDocument/2006/relationships/footer" Target="footer4.xml"/><Relationship Id="rId35" Type="http://schemas.openxmlformats.org/officeDocument/2006/relationships/hyperlink" Target="http://lehd.dsd.census.gov/led/led/statepartners.html"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apta.com/resources/statistics/Documents/FactBook/APTA_2011_Fact_Book.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UrbanReport.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Susan\Documents\jarc%202011\data%20files\working%20data\JARC%20pivot%20tables.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Susan\Documents\jarc%202011\data%20files\working%20data\JARC%20pivot%20tables.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Susan\Documents\jarc%202011\data%20files\working%20data\JARC%20pivot%20tables.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Susan\Documents\jarc%202011\data%20files\working%20data\JARC%20pivot%20tables.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Susan\Documents\jarc%202011\data%20files\working%20data\JARC%20pivot%20tables.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3.xml.rels><?xml version="1.0" encoding="UTF-8" standalone="yes"?>
<Relationships xmlns="http://schemas.openxmlformats.org/package/2006/relationships"><Relationship Id="rId1" Type="http://schemas.openxmlformats.org/officeDocument/2006/relationships/oleObject" Target="file:///C:\Users\Susan\Documents\jarc%202011\data%20files\working%20data\JARC%20pivot%20table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Susan\Documents\jarc%202011\data%20files\working%20data\JARC%20pivot%20table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Susan\Documents\jarc%202011\data%20files\working%20data\JARC%20pivot%20table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Susan\Documents\jarc%202011\data%20files\working%20data\JARC%20pivot%20table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Susan\Documents\jarc%202011\data%20files\working%20data\JARC%20pivot%20table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Susan\Documents\jarc%202011\data%20files\working%20data\JARC%20pivot%20tables.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Susan\Documents\jarc%202011\data%20files\working%20data\JARC%20pivot%20tabl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1"/>
          <c:order val="0"/>
          <c:spPr>
            <a:solidFill>
              <a:schemeClr val="accent6"/>
            </a:solidFill>
          </c:spPr>
          <c:dLbls>
            <c:numFmt formatCode="&quot;$&quot;#,##0" sourceLinked="0"/>
            <c:showVal val="1"/>
          </c:dLbls>
          <c:cat>
            <c:numRef>
              <c:f>trend!$A$16:$A$21</c:f>
              <c:numCache>
                <c:formatCode>General</c:formatCode>
                <c:ptCount val="6"/>
                <c:pt idx="0">
                  <c:v>2005</c:v>
                </c:pt>
                <c:pt idx="1">
                  <c:v>2006</c:v>
                </c:pt>
                <c:pt idx="2">
                  <c:v>2007</c:v>
                </c:pt>
                <c:pt idx="3">
                  <c:v>2008</c:v>
                </c:pt>
                <c:pt idx="4">
                  <c:v>2009</c:v>
                </c:pt>
                <c:pt idx="5">
                  <c:v>2010</c:v>
                </c:pt>
              </c:numCache>
            </c:numRef>
          </c:cat>
          <c:val>
            <c:numRef>
              <c:f>trend!$B$16:$B$21</c:f>
              <c:numCache>
                <c:formatCode>_("$"* #,##0_);_("$"* \(#,##0\);_("$"* "-"??_);_(@_)</c:formatCode>
                <c:ptCount val="6"/>
                <c:pt idx="0">
                  <c:v>124</c:v>
                </c:pt>
                <c:pt idx="1">
                  <c:v>138</c:v>
                </c:pt>
                <c:pt idx="2">
                  <c:v>144</c:v>
                </c:pt>
                <c:pt idx="3">
                  <c:v>156</c:v>
                </c:pt>
                <c:pt idx="4">
                  <c:v>165</c:v>
                </c:pt>
                <c:pt idx="5">
                  <c:v>177</c:v>
                </c:pt>
              </c:numCache>
            </c:numRef>
          </c:val>
        </c:ser>
        <c:dLbls>
          <c:showVal val="1"/>
        </c:dLbls>
        <c:axId val="184547968"/>
        <c:axId val="178913664"/>
      </c:barChart>
      <c:catAx>
        <c:axId val="184547968"/>
        <c:scaling>
          <c:orientation val="minMax"/>
        </c:scaling>
        <c:axPos val="b"/>
        <c:numFmt formatCode="General" sourceLinked="0"/>
        <c:tickLblPos val="nextTo"/>
        <c:crossAx val="178913664"/>
        <c:crossesAt val="0"/>
        <c:auto val="1"/>
        <c:lblAlgn val="ctr"/>
        <c:lblOffset val="100"/>
      </c:catAx>
      <c:valAx>
        <c:axId val="178913664"/>
        <c:scaling>
          <c:orientation val="minMax"/>
          <c:max val="200"/>
          <c:min val="0"/>
        </c:scaling>
        <c:axPos val="l"/>
        <c:majorGridlines/>
        <c:title>
          <c:tx>
            <c:rich>
              <a:bodyPr rot="-5400000" vert="horz"/>
              <a:lstStyle/>
              <a:p>
                <a:pPr>
                  <a:defRPr/>
                </a:pPr>
                <a:r>
                  <a:rPr lang="en-US"/>
                  <a:t>Millions</a:t>
                </a:r>
              </a:p>
            </c:rich>
          </c:tx>
        </c:title>
        <c:numFmt formatCode="_(&quot;$&quot;* #,##0_);_(&quot;$&quot;* \(#,##0\);_(&quot;$&quot;* &quot;-&quot;??_);_(@_)" sourceLinked="1"/>
        <c:tickLblPos val="nextTo"/>
        <c:crossAx val="184547968"/>
        <c:crosses val="autoZero"/>
        <c:crossBetween val="between"/>
        <c:majorUnit val="25"/>
        <c:minorUnit val="5"/>
      </c:valAx>
    </c:plotArea>
    <c:plotVisOnly val="1"/>
  </c:chart>
  <c:spPr>
    <a:ln>
      <a:noFill/>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bar"/>
        <c:grouping val="percentStacked"/>
        <c:ser>
          <c:idx val="0"/>
          <c:order val="0"/>
          <c:tx>
            <c:strRef>
              <c:f>'trips x area'!$C$36</c:f>
              <c:strCache>
                <c:ptCount val="1"/>
                <c:pt idx="0">
                  <c:v>Large Urban</c:v>
                </c:pt>
              </c:strCache>
            </c:strRef>
          </c:tx>
          <c:cat>
            <c:strRef>
              <c:f>'trips x area'!$B$37:$B$46</c:f>
              <c:strCache>
                <c:ptCount val="10"/>
                <c:pt idx="0">
                  <c:v>Vehicle for agency (N=32)</c:v>
                </c:pt>
                <c:pt idx="1">
                  <c:v>Flexible routing  (N=61)</c:v>
                </c:pt>
                <c:pt idx="2">
                  <c:v>Demand response  (N=237)</c:v>
                </c:pt>
                <c:pt idx="3">
                  <c:v>Mobility manager (N=65)</c:v>
                </c:pt>
                <c:pt idx="4">
                  <c:v>Shuttle/Feeder (N=52)</c:v>
                </c:pt>
                <c:pt idx="5">
                  <c:v>User-side subsidy  (N=38)</c:v>
                </c:pt>
                <c:pt idx="6">
                  <c:v>Fixed route  (N=397)</c:v>
                </c:pt>
                <c:pt idx="7">
                  <c:v>Vanpool  (N=28)</c:v>
                </c:pt>
                <c:pt idx="8">
                  <c:v>Vehicle for individual (N=31)</c:v>
                </c:pt>
                <c:pt idx="9">
                  <c:v>Vanpool vehicles (N=4)</c:v>
                </c:pt>
              </c:strCache>
            </c:strRef>
          </c:cat>
          <c:val>
            <c:numRef>
              <c:f>'trips x area'!$C$37:$C$46</c:f>
              <c:numCache>
                <c:formatCode>0%</c:formatCode>
                <c:ptCount val="10"/>
                <c:pt idx="0">
                  <c:v>0.24000000000000021</c:v>
                </c:pt>
                <c:pt idx="1">
                  <c:v>0.29000000000000031</c:v>
                </c:pt>
                <c:pt idx="2">
                  <c:v>0.36000000000000032</c:v>
                </c:pt>
                <c:pt idx="3">
                  <c:v>0.61000000000000165</c:v>
                </c:pt>
                <c:pt idx="4">
                  <c:v>0.63000000000000422</c:v>
                </c:pt>
                <c:pt idx="5">
                  <c:v>0.86000000000000165</c:v>
                </c:pt>
                <c:pt idx="6">
                  <c:v>0.8700000000000041</c:v>
                </c:pt>
                <c:pt idx="7">
                  <c:v>0.88</c:v>
                </c:pt>
                <c:pt idx="8">
                  <c:v>0.91</c:v>
                </c:pt>
                <c:pt idx="9">
                  <c:v>1</c:v>
                </c:pt>
              </c:numCache>
            </c:numRef>
          </c:val>
        </c:ser>
        <c:ser>
          <c:idx val="1"/>
          <c:order val="1"/>
          <c:tx>
            <c:strRef>
              <c:f>'trips x area'!$D$36</c:f>
              <c:strCache>
                <c:ptCount val="1"/>
                <c:pt idx="0">
                  <c:v>Small Urban</c:v>
                </c:pt>
              </c:strCache>
            </c:strRef>
          </c:tx>
          <c:cat>
            <c:strRef>
              <c:f>'trips x area'!$B$37:$B$46</c:f>
              <c:strCache>
                <c:ptCount val="10"/>
                <c:pt idx="0">
                  <c:v>Vehicle for agency (N=32)</c:v>
                </c:pt>
                <c:pt idx="1">
                  <c:v>Flexible routing  (N=61)</c:v>
                </c:pt>
                <c:pt idx="2">
                  <c:v>Demand response  (N=237)</c:v>
                </c:pt>
                <c:pt idx="3">
                  <c:v>Mobility manager (N=65)</c:v>
                </c:pt>
                <c:pt idx="4">
                  <c:v>Shuttle/Feeder (N=52)</c:v>
                </c:pt>
                <c:pt idx="5">
                  <c:v>User-side subsidy  (N=38)</c:v>
                </c:pt>
                <c:pt idx="6">
                  <c:v>Fixed route  (N=397)</c:v>
                </c:pt>
                <c:pt idx="7">
                  <c:v>Vanpool  (N=28)</c:v>
                </c:pt>
                <c:pt idx="8">
                  <c:v>Vehicle for individual (N=31)</c:v>
                </c:pt>
                <c:pt idx="9">
                  <c:v>Vanpool vehicles (N=4)</c:v>
                </c:pt>
              </c:strCache>
            </c:strRef>
          </c:cat>
          <c:val>
            <c:numRef>
              <c:f>'trips x area'!$D$37:$D$46</c:f>
              <c:numCache>
                <c:formatCode>0%</c:formatCode>
                <c:ptCount val="10"/>
                <c:pt idx="0">
                  <c:v>0.28000000000000008</c:v>
                </c:pt>
                <c:pt idx="1">
                  <c:v>0.52</c:v>
                </c:pt>
                <c:pt idx="2">
                  <c:v>0.2</c:v>
                </c:pt>
                <c:pt idx="3">
                  <c:v>0</c:v>
                </c:pt>
                <c:pt idx="4">
                  <c:v>0.16</c:v>
                </c:pt>
                <c:pt idx="5">
                  <c:v>7.0000000000000021E-2</c:v>
                </c:pt>
                <c:pt idx="6">
                  <c:v>0.1</c:v>
                </c:pt>
                <c:pt idx="7">
                  <c:v>3.0000000000000002E-2</c:v>
                </c:pt>
                <c:pt idx="8">
                  <c:v>0.05</c:v>
                </c:pt>
                <c:pt idx="9">
                  <c:v>0</c:v>
                </c:pt>
              </c:numCache>
            </c:numRef>
          </c:val>
        </c:ser>
        <c:ser>
          <c:idx val="2"/>
          <c:order val="2"/>
          <c:tx>
            <c:strRef>
              <c:f>'trips x area'!$E$36</c:f>
              <c:strCache>
                <c:ptCount val="1"/>
                <c:pt idx="0">
                  <c:v>Non-urban</c:v>
                </c:pt>
              </c:strCache>
            </c:strRef>
          </c:tx>
          <c:cat>
            <c:strRef>
              <c:f>'trips x area'!$B$37:$B$46</c:f>
              <c:strCache>
                <c:ptCount val="10"/>
                <c:pt idx="0">
                  <c:v>Vehicle for agency (N=32)</c:v>
                </c:pt>
                <c:pt idx="1">
                  <c:v>Flexible routing  (N=61)</c:v>
                </c:pt>
                <c:pt idx="2">
                  <c:v>Demand response  (N=237)</c:v>
                </c:pt>
                <c:pt idx="3">
                  <c:v>Mobility manager (N=65)</c:v>
                </c:pt>
                <c:pt idx="4">
                  <c:v>Shuttle/Feeder (N=52)</c:v>
                </c:pt>
                <c:pt idx="5">
                  <c:v>User-side subsidy  (N=38)</c:v>
                </c:pt>
                <c:pt idx="6">
                  <c:v>Fixed route  (N=397)</c:v>
                </c:pt>
                <c:pt idx="7">
                  <c:v>Vanpool  (N=28)</c:v>
                </c:pt>
                <c:pt idx="8">
                  <c:v>Vehicle for individual (N=31)</c:v>
                </c:pt>
                <c:pt idx="9">
                  <c:v>Vanpool vehicles (N=4)</c:v>
                </c:pt>
              </c:strCache>
            </c:strRef>
          </c:cat>
          <c:val>
            <c:numRef>
              <c:f>'trips x area'!$E$37:$E$46</c:f>
              <c:numCache>
                <c:formatCode>0%</c:formatCode>
                <c:ptCount val="10"/>
                <c:pt idx="0">
                  <c:v>0.48000000000000032</c:v>
                </c:pt>
                <c:pt idx="1">
                  <c:v>0.18000000000000024</c:v>
                </c:pt>
                <c:pt idx="2">
                  <c:v>0.44</c:v>
                </c:pt>
                <c:pt idx="3">
                  <c:v>0.39000000000000162</c:v>
                </c:pt>
                <c:pt idx="4">
                  <c:v>0.21000000000000021</c:v>
                </c:pt>
                <c:pt idx="5">
                  <c:v>7.0000000000000021E-2</c:v>
                </c:pt>
                <c:pt idx="6">
                  <c:v>3.0000000000000002E-2</c:v>
                </c:pt>
                <c:pt idx="7">
                  <c:v>9.0000000000000024E-2</c:v>
                </c:pt>
                <c:pt idx="8">
                  <c:v>4.0000000000000022E-2</c:v>
                </c:pt>
                <c:pt idx="9">
                  <c:v>0</c:v>
                </c:pt>
              </c:numCache>
            </c:numRef>
          </c:val>
        </c:ser>
        <c:overlap val="100"/>
        <c:axId val="184463744"/>
        <c:axId val="184465280"/>
      </c:barChart>
      <c:catAx>
        <c:axId val="184463744"/>
        <c:scaling>
          <c:orientation val="minMax"/>
        </c:scaling>
        <c:axPos val="l"/>
        <c:tickLblPos val="nextTo"/>
        <c:crossAx val="184465280"/>
        <c:crosses val="autoZero"/>
        <c:auto val="1"/>
        <c:lblAlgn val="ctr"/>
        <c:lblOffset val="100"/>
      </c:catAx>
      <c:valAx>
        <c:axId val="184465280"/>
        <c:scaling>
          <c:orientation val="minMax"/>
        </c:scaling>
        <c:axPos val="b"/>
        <c:majorGridlines/>
        <c:numFmt formatCode="0%" sourceLinked="1"/>
        <c:tickLblPos val="nextTo"/>
        <c:crossAx val="184463744"/>
        <c:crosses val="autoZero"/>
        <c:crossBetween val="between"/>
      </c:valAx>
    </c:plotArea>
    <c:legend>
      <c:legendPos val="b"/>
    </c:legend>
    <c:plotVisOnly val="1"/>
  </c:chart>
  <c:spPr>
    <a:ln>
      <a:noFill/>
    </a:ln>
  </c:sp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chart>
    <c:plotArea>
      <c:layout/>
      <c:areaChart>
        <c:grouping val="stacked"/>
        <c:ser>
          <c:idx val="9"/>
          <c:order val="9"/>
          <c:tx>
            <c:strRef>
              <c:f>'trips x area'!$A$95</c:f>
              <c:strCache>
                <c:ptCount val="1"/>
                <c:pt idx="0">
                  <c:v>Fixed route  (N=397)</c:v>
                </c:pt>
              </c:strCache>
            </c:strRef>
          </c:tx>
          <c:dLbls>
            <c:dLbl>
              <c:idx val="0"/>
              <c:layout>
                <c:manualLayout>
                  <c:x val="-8.2889656554919991E-2"/>
                  <c:y val="-0.27007294095964723"/>
                </c:manualLayout>
              </c:layout>
              <c:showVal val="1"/>
            </c:dLbl>
            <c:dLbl>
              <c:idx val="1"/>
              <c:layout>
                <c:manualLayout>
                  <c:x val="-8.5257548845471237E-2"/>
                  <c:y val="-3.6496343372925198E-2"/>
                </c:manualLayout>
              </c:layout>
              <c:showVal val="1"/>
            </c:dLbl>
            <c:dLbl>
              <c:idx val="2"/>
              <c:layout>
                <c:manualLayout>
                  <c:x val="-8.9994079336886565E-2"/>
                  <c:y val="-5.1094880722095004E-2"/>
                </c:manualLayout>
              </c:layout>
              <c:showVal val="1"/>
            </c:dLbl>
            <c:txPr>
              <a:bodyPr rot="-5400000" vert="horz"/>
              <a:lstStyle/>
              <a:p>
                <a:pPr>
                  <a:defRPr/>
                </a:pPr>
                <a:endParaRPr lang="en-US"/>
              </a:p>
            </c:txPr>
            <c:showVal val="1"/>
          </c:dLbls>
          <c:cat>
            <c:strRef>
              <c:f>'trips x area'!$B$85:$D$85</c:f>
              <c:strCache>
                <c:ptCount val="3"/>
                <c:pt idx="0">
                  <c:v>Large urban</c:v>
                </c:pt>
                <c:pt idx="1">
                  <c:v>Small urban</c:v>
                </c:pt>
                <c:pt idx="2">
                  <c:v>Non-urban</c:v>
                </c:pt>
              </c:strCache>
            </c:strRef>
          </c:cat>
          <c:val>
            <c:numRef>
              <c:f>'trips x area'!$B$95:$D$95</c:f>
              <c:numCache>
                <c:formatCode>_(* #,##0_);_(* \(#,##0\);_(* "-"??_);_(@_)</c:formatCode>
                <c:ptCount val="3"/>
                <c:pt idx="0">
                  <c:v>40982360.100000001</c:v>
                </c:pt>
                <c:pt idx="1">
                  <c:v>4748933</c:v>
                </c:pt>
                <c:pt idx="2">
                  <c:v>1631716</c:v>
                </c:pt>
              </c:numCache>
            </c:numRef>
          </c:val>
        </c:ser>
        <c:dropLines/>
        <c:axId val="184729984"/>
        <c:axId val="184724096"/>
      </c:areaChart>
      <c:barChart>
        <c:barDir val="col"/>
        <c:grouping val="percentStacked"/>
        <c:ser>
          <c:idx val="0"/>
          <c:order val="0"/>
          <c:tx>
            <c:strRef>
              <c:f>'trips x area'!$A$86</c:f>
              <c:strCache>
                <c:ptCount val="1"/>
                <c:pt idx="0">
                  <c:v>Demand response  (N=237)</c:v>
                </c:pt>
              </c:strCache>
            </c:strRef>
          </c:tx>
          <c:cat>
            <c:strRef>
              <c:f>'trips x area'!$B$85:$D$85</c:f>
              <c:strCache>
                <c:ptCount val="3"/>
                <c:pt idx="0">
                  <c:v>Large urban</c:v>
                </c:pt>
                <c:pt idx="1">
                  <c:v>Small urban</c:v>
                </c:pt>
                <c:pt idx="2">
                  <c:v>Non-urban</c:v>
                </c:pt>
              </c:strCache>
            </c:strRef>
          </c:cat>
          <c:val>
            <c:numRef>
              <c:f>'trips x area'!$B$86:$D$86</c:f>
              <c:numCache>
                <c:formatCode>_(* #,##0_);_(* \(#,##0\);_(* "-"??_);_(@_)</c:formatCode>
                <c:ptCount val="3"/>
                <c:pt idx="0">
                  <c:v>1091028</c:v>
                </c:pt>
                <c:pt idx="1">
                  <c:v>625257</c:v>
                </c:pt>
                <c:pt idx="2">
                  <c:v>1338241</c:v>
                </c:pt>
              </c:numCache>
            </c:numRef>
          </c:val>
        </c:ser>
        <c:ser>
          <c:idx val="1"/>
          <c:order val="1"/>
          <c:tx>
            <c:strRef>
              <c:f>'trips x area'!$A$87</c:f>
              <c:strCache>
                <c:ptCount val="1"/>
                <c:pt idx="0">
                  <c:v>Shuttle/Feeder (N=52)</c:v>
                </c:pt>
              </c:strCache>
            </c:strRef>
          </c:tx>
          <c:cat>
            <c:strRef>
              <c:f>'trips x area'!$B$85:$D$85</c:f>
              <c:strCache>
                <c:ptCount val="3"/>
                <c:pt idx="0">
                  <c:v>Large urban</c:v>
                </c:pt>
                <c:pt idx="1">
                  <c:v>Small urban</c:v>
                </c:pt>
                <c:pt idx="2">
                  <c:v>Non-urban</c:v>
                </c:pt>
              </c:strCache>
            </c:strRef>
          </c:cat>
          <c:val>
            <c:numRef>
              <c:f>'trips x area'!$B$87:$D$87</c:f>
              <c:numCache>
                <c:formatCode>_(* #,##0_);_(* \(#,##0\);_(* "-"??_);_(@_)</c:formatCode>
                <c:ptCount val="3"/>
                <c:pt idx="0">
                  <c:v>773074</c:v>
                </c:pt>
                <c:pt idx="1">
                  <c:v>199741</c:v>
                </c:pt>
                <c:pt idx="2">
                  <c:v>257056</c:v>
                </c:pt>
              </c:numCache>
            </c:numRef>
          </c:val>
        </c:ser>
        <c:ser>
          <c:idx val="2"/>
          <c:order val="2"/>
          <c:tx>
            <c:strRef>
              <c:f>'trips x area'!$A$88</c:f>
              <c:strCache>
                <c:ptCount val="1"/>
                <c:pt idx="0">
                  <c:v>Vanpool  (N=28)</c:v>
                </c:pt>
              </c:strCache>
            </c:strRef>
          </c:tx>
          <c:cat>
            <c:strRef>
              <c:f>'trips x area'!$B$85:$D$85</c:f>
              <c:strCache>
                <c:ptCount val="3"/>
                <c:pt idx="0">
                  <c:v>Large urban</c:v>
                </c:pt>
                <c:pt idx="1">
                  <c:v>Small urban</c:v>
                </c:pt>
                <c:pt idx="2">
                  <c:v>Non-urban</c:v>
                </c:pt>
              </c:strCache>
            </c:strRef>
          </c:cat>
          <c:val>
            <c:numRef>
              <c:f>'trips x area'!$B$88:$D$88</c:f>
              <c:numCache>
                <c:formatCode>_(* #,##0_);_(* \(#,##0\);_(* "-"??_);_(@_)</c:formatCode>
                <c:ptCount val="3"/>
                <c:pt idx="0">
                  <c:v>764835</c:v>
                </c:pt>
                <c:pt idx="1">
                  <c:v>29970</c:v>
                </c:pt>
                <c:pt idx="2">
                  <c:v>75648</c:v>
                </c:pt>
              </c:numCache>
            </c:numRef>
          </c:val>
        </c:ser>
        <c:ser>
          <c:idx val="3"/>
          <c:order val="3"/>
          <c:tx>
            <c:strRef>
              <c:f>'trips x area'!$A$89</c:f>
              <c:strCache>
                <c:ptCount val="1"/>
                <c:pt idx="0">
                  <c:v>User-side subsidy  (N=38)</c:v>
                </c:pt>
              </c:strCache>
            </c:strRef>
          </c:tx>
          <c:cat>
            <c:strRef>
              <c:f>'trips x area'!$B$85:$D$85</c:f>
              <c:strCache>
                <c:ptCount val="3"/>
                <c:pt idx="0">
                  <c:v>Large urban</c:v>
                </c:pt>
                <c:pt idx="1">
                  <c:v>Small urban</c:v>
                </c:pt>
                <c:pt idx="2">
                  <c:v>Non-urban</c:v>
                </c:pt>
              </c:strCache>
            </c:strRef>
          </c:cat>
          <c:val>
            <c:numRef>
              <c:f>'trips x area'!$B$89:$D$89</c:f>
              <c:numCache>
                <c:formatCode>_(* #,##0_);_(* \(#,##0\);_(* "-"??_);_(@_)</c:formatCode>
                <c:ptCount val="3"/>
                <c:pt idx="0">
                  <c:v>492120</c:v>
                </c:pt>
                <c:pt idx="1">
                  <c:v>40101</c:v>
                </c:pt>
                <c:pt idx="2">
                  <c:v>40776</c:v>
                </c:pt>
              </c:numCache>
            </c:numRef>
          </c:val>
        </c:ser>
        <c:ser>
          <c:idx val="4"/>
          <c:order val="4"/>
          <c:tx>
            <c:strRef>
              <c:f>'trips x area'!$A$90</c:f>
              <c:strCache>
                <c:ptCount val="1"/>
                <c:pt idx="0">
                  <c:v>Flexible routing  (N=61)</c:v>
                </c:pt>
              </c:strCache>
            </c:strRef>
          </c:tx>
          <c:cat>
            <c:strRef>
              <c:f>'trips x area'!$B$85:$D$85</c:f>
              <c:strCache>
                <c:ptCount val="3"/>
                <c:pt idx="0">
                  <c:v>Large urban</c:v>
                </c:pt>
                <c:pt idx="1">
                  <c:v>Small urban</c:v>
                </c:pt>
                <c:pt idx="2">
                  <c:v>Non-urban</c:v>
                </c:pt>
              </c:strCache>
            </c:strRef>
          </c:cat>
          <c:val>
            <c:numRef>
              <c:f>'trips x area'!$B$90:$D$90</c:f>
              <c:numCache>
                <c:formatCode>_(* #,##0_);_(* \(#,##0\);_(* "-"??_);_(@_)</c:formatCode>
                <c:ptCount val="3"/>
                <c:pt idx="0">
                  <c:v>415998</c:v>
                </c:pt>
                <c:pt idx="1">
                  <c:v>750956</c:v>
                </c:pt>
                <c:pt idx="2">
                  <c:v>264222</c:v>
                </c:pt>
              </c:numCache>
            </c:numRef>
          </c:val>
        </c:ser>
        <c:ser>
          <c:idx val="5"/>
          <c:order val="5"/>
          <c:tx>
            <c:strRef>
              <c:f>'trips x area'!$A$91</c:f>
              <c:strCache>
                <c:ptCount val="1"/>
                <c:pt idx="0">
                  <c:v>Vehicle for individual (N=31)</c:v>
                </c:pt>
              </c:strCache>
            </c:strRef>
          </c:tx>
          <c:cat>
            <c:strRef>
              <c:f>'trips x area'!$B$85:$D$85</c:f>
              <c:strCache>
                <c:ptCount val="3"/>
                <c:pt idx="0">
                  <c:v>Large urban</c:v>
                </c:pt>
                <c:pt idx="1">
                  <c:v>Small urban</c:v>
                </c:pt>
                <c:pt idx="2">
                  <c:v>Non-urban</c:v>
                </c:pt>
              </c:strCache>
            </c:strRef>
          </c:cat>
          <c:val>
            <c:numRef>
              <c:f>'trips x area'!$B$91:$D$91</c:f>
              <c:numCache>
                <c:formatCode>_(* #,##0_);_(* \(#,##0\);_(* "-"??_);_(@_)</c:formatCode>
                <c:ptCount val="3"/>
                <c:pt idx="0">
                  <c:v>242270</c:v>
                </c:pt>
                <c:pt idx="1">
                  <c:v>14244</c:v>
                </c:pt>
                <c:pt idx="2">
                  <c:v>9317</c:v>
                </c:pt>
              </c:numCache>
            </c:numRef>
          </c:val>
        </c:ser>
        <c:ser>
          <c:idx val="6"/>
          <c:order val="6"/>
          <c:tx>
            <c:strRef>
              <c:f>'trips x area'!$A$92</c:f>
              <c:strCache>
                <c:ptCount val="1"/>
                <c:pt idx="0">
                  <c:v>Mobility manager (N=65)</c:v>
                </c:pt>
              </c:strCache>
            </c:strRef>
          </c:tx>
          <c:cat>
            <c:strRef>
              <c:f>'trips x area'!$B$85:$D$85</c:f>
              <c:strCache>
                <c:ptCount val="3"/>
                <c:pt idx="0">
                  <c:v>Large urban</c:v>
                </c:pt>
                <c:pt idx="1">
                  <c:v>Small urban</c:v>
                </c:pt>
                <c:pt idx="2">
                  <c:v>Non-urban</c:v>
                </c:pt>
              </c:strCache>
            </c:strRef>
          </c:cat>
          <c:val>
            <c:numRef>
              <c:f>'trips x area'!$B$92:$D$92</c:f>
              <c:numCache>
                <c:formatCode>_(* #,##0_);_(* \(#,##0\);_(* "-"??_);_(@_)</c:formatCode>
                <c:ptCount val="3"/>
                <c:pt idx="0">
                  <c:v>227850</c:v>
                </c:pt>
                <c:pt idx="1">
                  <c:v>0</c:v>
                </c:pt>
                <c:pt idx="2">
                  <c:v>147404</c:v>
                </c:pt>
              </c:numCache>
            </c:numRef>
          </c:val>
        </c:ser>
        <c:ser>
          <c:idx val="7"/>
          <c:order val="7"/>
          <c:tx>
            <c:strRef>
              <c:f>'trips x area'!$A$93</c:f>
              <c:strCache>
                <c:ptCount val="1"/>
                <c:pt idx="0">
                  <c:v>Vehicle for agency (N=32)</c:v>
                </c:pt>
              </c:strCache>
            </c:strRef>
          </c:tx>
          <c:cat>
            <c:strRef>
              <c:f>'trips x area'!$B$85:$D$85</c:f>
              <c:strCache>
                <c:ptCount val="3"/>
                <c:pt idx="0">
                  <c:v>Large urban</c:v>
                </c:pt>
                <c:pt idx="1">
                  <c:v>Small urban</c:v>
                </c:pt>
                <c:pt idx="2">
                  <c:v>Non-urban</c:v>
                </c:pt>
              </c:strCache>
            </c:strRef>
          </c:cat>
          <c:val>
            <c:numRef>
              <c:f>'trips x area'!$B$93:$D$93</c:f>
              <c:numCache>
                <c:formatCode>_(* #,##0_);_(* \(#,##0\);_(* "-"??_);_(@_)</c:formatCode>
                <c:ptCount val="3"/>
                <c:pt idx="0">
                  <c:v>26561</c:v>
                </c:pt>
                <c:pt idx="1">
                  <c:v>31391</c:v>
                </c:pt>
                <c:pt idx="2">
                  <c:v>54138</c:v>
                </c:pt>
              </c:numCache>
            </c:numRef>
          </c:val>
        </c:ser>
        <c:ser>
          <c:idx val="8"/>
          <c:order val="8"/>
          <c:tx>
            <c:strRef>
              <c:f>'trips x area'!$A$94</c:f>
              <c:strCache>
                <c:ptCount val="1"/>
                <c:pt idx="0">
                  <c:v>Vanpool vehicles (N=4)</c:v>
                </c:pt>
              </c:strCache>
            </c:strRef>
          </c:tx>
          <c:cat>
            <c:strRef>
              <c:f>'trips x area'!$B$85:$D$85</c:f>
              <c:strCache>
                <c:ptCount val="3"/>
                <c:pt idx="0">
                  <c:v>Large urban</c:v>
                </c:pt>
                <c:pt idx="1">
                  <c:v>Small urban</c:v>
                </c:pt>
                <c:pt idx="2">
                  <c:v>Non-urban</c:v>
                </c:pt>
              </c:strCache>
            </c:strRef>
          </c:cat>
          <c:val>
            <c:numRef>
              <c:f>'trips x area'!$B$94:$D$94</c:f>
              <c:numCache>
                <c:formatCode>_(* #,##0_);_(* \(#,##0\);_(* "-"??_);_(@_)</c:formatCode>
                <c:ptCount val="3"/>
                <c:pt idx="0">
                  <c:v>38</c:v>
                </c:pt>
                <c:pt idx="1">
                  <c:v>0</c:v>
                </c:pt>
                <c:pt idx="2">
                  <c:v>0</c:v>
                </c:pt>
              </c:numCache>
            </c:numRef>
          </c:val>
        </c:ser>
        <c:overlap val="100"/>
        <c:axId val="184712576"/>
        <c:axId val="184722560"/>
      </c:barChart>
      <c:catAx>
        <c:axId val="184712576"/>
        <c:scaling>
          <c:orientation val="minMax"/>
        </c:scaling>
        <c:axPos val="b"/>
        <c:tickLblPos val="nextTo"/>
        <c:crossAx val="184722560"/>
        <c:crosses val="autoZero"/>
        <c:auto val="1"/>
        <c:lblAlgn val="ctr"/>
        <c:lblOffset val="100"/>
      </c:catAx>
      <c:valAx>
        <c:axId val="184722560"/>
        <c:scaling>
          <c:orientation val="minMax"/>
        </c:scaling>
        <c:axPos val="l"/>
        <c:majorGridlines/>
        <c:numFmt formatCode="0%" sourceLinked="1"/>
        <c:tickLblPos val="nextTo"/>
        <c:crossAx val="184712576"/>
        <c:crosses val="autoZero"/>
        <c:crossBetween val="between"/>
      </c:valAx>
      <c:valAx>
        <c:axId val="184724096"/>
        <c:scaling>
          <c:orientation val="minMax"/>
        </c:scaling>
        <c:axPos val="r"/>
        <c:numFmt formatCode="0.00%" sourceLinked="0"/>
        <c:tickLblPos val="none"/>
        <c:crossAx val="184729984"/>
        <c:crosses val="max"/>
        <c:crossBetween val="between"/>
      </c:valAx>
      <c:catAx>
        <c:axId val="184729984"/>
        <c:scaling>
          <c:orientation val="minMax"/>
        </c:scaling>
        <c:delete val="1"/>
        <c:axPos val="b"/>
        <c:tickLblPos val="none"/>
        <c:crossAx val="184724096"/>
        <c:crosses val="autoZero"/>
        <c:auto val="1"/>
        <c:lblAlgn val="ctr"/>
        <c:lblOffset val="100"/>
      </c:catAx>
    </c:plotArea>
    <c:legend>
      <c:legendPos val="b"/>
    </c:legend>
    <c:plotVisOnly val="1"/>
    <c:dispBlanksAs val="zero"/>
  </c:chart>
  <c:spPr>
    <a:ln>
      <a:noFill/>
    </a:ln>
  </c:sp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bar"/>
        <c:grouping val="clustered"/>
        <c:ser>
          <c:idx val="0"/>
          <c:order val="0"/>
          <c:tx>
            <c:strRef>
              <c:f>'trips versus service'!$B$56</c:f>
              <c:strCache>
                <c:ptCount val="1"/>
                <c:pt idx="0">
                  <c:v>Services</c:v>
                </c:pt>
              </c:strCache>
            </c:strRef>
          </c:tx>
          <c:cat>
            <c:strRef>
              <c:f>'trips versus service'!$A$57:$A$66</c:f>
              <c:strCache>
                <c:ptCount val="10"/>
                <c:pt idx="0">
                  <c:v>Vanpool vehicles</c:v>
                </c:pt>
                <c:pt idx="1">
                  <c:v>Vehicle for agency</c:v>
                </c:pt>
                <c:pt idx="2">
                  <c:v>Vehicle for individual</c:v>
                </c:pt>
                <c:pt idx="3">
                  <c:v>Mobility manager</c:v>
                </c:pt>
                <c:pt idx="4">
                  <c:v>User-side subsidy</c:v>
                </c:pt>
                <c:pt idx="5">
                  <c:v>Vanpool</c:v>
                </c:pt>
                <c:pt idx="6">
                  <c:v>Shuttle/Feeder</c:v>
                </c:pt>
                <c:pt idx="7">
                  <c:v>Flexible routing</c:v>
                </c:pt>
                <c:pt idx="8">
                  <c:v>Demand response</c:v>
                </c:pt>
                <c:pt idx="9">
                  <c:v>Fixed route</c:v>
                </c:pt>
              </c:strCache>
            </c:strRef>
          </c:cat>
          <c:val>
            <c:numRef>
              <c:f>'trips versus service'!$B$57:$B$66</c:f>
              <c:numCache>
                <c:formatCode>0%</c:formatCode>
                <c:ptCount val="10"/>
                <c:pt idx="0">
                  <c:v>3.8948393378773387E-3</c:v>
                </c:pt>
                <c:pt idx="1">
                  <c:v>3.1158714703018505E-2</c:v>
                </c:pt>
                <c:pt idx="2">
                  <c:v>3.0185004868549206E-2</c:v>
                </c:pt>
                <c:pt idx="3">
                  <c:v>6.3291139240506333E-2</c:v>
                </c:pt>
                <c:pt idx="4">
                  <c:v>3.7000973709834788E-2</c:v>
                </c:pt>
                <c:pt idx="5">
                  <c:v>2.7263875365141212E-2</c:v>
                </c:pt>
                <c:pt idx="6">
                  <c:v>5.0632911392405132E-2</c:v>
                </c:pt>
                <c:pt idx="7">
                  <c:v>5.939629990262995E-2</c:v>
                </c:pt>
                <c:pt idx="8">
                  <c:v>0.23076923076923259</c:v>
                </c:pt>
                <c:pt idx="9">
                  <c:v>0.38656280428432693</c:v>
                </c:pt>
              </c:numCache>
            </c:numRef>
          </c:val>
        </c:ser>
        <c:ser>
          <c:idx val="1"/>
          <c:order val="1"/>
          <c:tx>
            <c:strRef>
              <c:f>'trips versus service'!$C$56</c:f>
              <c:strCache>
                <c:ptCount val="1"/>
                <c:pt idx="0">
                  <c:v>Trips</c:v>
                </c:pt>
              </c:strCache>
            </c:strRef>
          </c:tx>
          <c:cat>
            <c:strRef>
              <c:f>'trips versus service'!$A$57:$A$66</c:f>
              <c:strCache>
                <c:ptCount val="10"/>
                <c:pt idx="0">
                  <c:v>Vanpool vehicles</c:v>
                </c:pt>
                <c:pt idx="1">
                  <c:v>Vehicle for agency</c:v>
                </c:pt>
                <c:pt idx="2">
                  <c:v>Vehicle for individual</c:v>
                </c:pt>
                <c:pt idx="3">
                  <c:v>Mobility manager</c:v>
                </c:pt>
                <c:pt idx="4">
                  <c:v>User-side subsidy</c:v>
                </c:pt>
                <c:pt idx="5">
                  <c:v>Vanpool</c:v>
                </c:pt>
                <c:pt idx="6">
                  <c:v>Shuttle/Feeder</c:v>
                </c:pt>
                <c:pt idx="7">
                  <c:v>Flexible routing</c:v>
                </c:pt>
                <c:pt idx="8">
                  <c:v>Demand response</c:v>
                </c:pt>
                <c:pt idx="9">
                  <c:v>Fixed route</c:v>
                </c:pt>
              </c:strCache>
            </c:strRef>
          </c:cat>
          <c:val>
            <c:numRef>
              <c:f>'trips versus service'!$C$57:$C$66</c:f>
              <c:numCache>
                <c:formatCode>0%</c:formatCode>
                <c:ptCount val="10"/>
                <c:pt idx="0">
                  <c:v>6.8746868387925672E-7</c:v>
                </c:pt>
                <c:pt idx="1">
                  <c:v>2.0278517046322612E-3</c:v>
                </c:pt>
                <c:pt idx="2">
                  <c:v>4.8092233606396653E-3</c:v>
                </c:pt>
                <c:pt idx="3">
                  <c:v>6.7888256184322334E-3</c:v>
                </c:pt>
                <c:pt idx="4">
                  <c:v>1.0366249827809404E-2</c:v>
                </c:pt>
                <c:pt idx="5">
                  <c:v>1.5747609954967021E-2</c:v>
                </c:pt>
                <c:pt idx="6">
                  <c:v>2.2249942045033486E-2</c:v>
                </c:pt>
                <c:pt idx="7">
                  <c:v>2.5891807397883566E-2</c:v>
                </c:pt>
                <c:pt idx="8">
                  <c:v>5.5260288660393495E-2</c:v>
                </c:pt>
                <c:pt idx="9">
                  <c:v>0.85685751396152665</c:v>
                </c:pt>
              </c:numCache>
            </c:numRef>
          </c:val>
        </c:ser>
        <c:axId val="157356416"/>
        <c:axId val="157357952"/>
      </c:barChart>
      <c:catAx>
        <c:axId val="157356416"/>
        <c:scaling>
          <c:orientation val="minMax"/>
        </c:scaling>
        <c:axPos val="l"/>
        <c:tickLblPos val="nextTo"/>
        <c:txPr>
          <a:bodyPr/>
          <a:lstStyle/>
          <a:p>
            <a:pPr>
              <a:defRPr sz="1100"/>
            </a:pPr>
            <a:endParaRPr lang="en-US"/>
          </a:p>
        </c:txPr>
        <c:crossAx val="157357952"/>
        <c:crosses val="autoZero"/>
        <c:auto val="1"/>
        <c:lblAlgn val="ctr"/>
        <c:lblOffset val="100"/>
      </c:catAx>
      <c:valAx>
        <c:axId val="157357952"/>
        <c:scaling>
          <c:orientation val="minMax"/>
        </c:scaling>
        <c:axPos val="b"/>
        <c:majorGridlines/>
        <c:numFmt formatCode="0%" sourceLinked="1"/>
        <c:tickLblPos val="nextTo"/>
        <c:crossAx val="157356416"/>
        <c:crosses val="autoZero"/>
        <c:crossBetween val="between"/>
      </c:valAx>
    </c:plotArea>
    <c:legend>
      <c:legendPos val="b"/>
    </c:legend>
    <c:plotVisOnly val="1"/>
  </c:chart>
  <c:spPr>
    <a:ln>
      <a:noFill/>
    </a:ln>
  </c:sp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percentStacked"/>
        <c:ser>
          <c:idx val="0"/>
          <c:order val="0"/>
          <c:tx>
            <c:strRef>
              <c:f>trend!$A$50</c:f>
              <c:strCache>
                <c:ptCount val="1"/>
                <c:pt idx="0">
                  <c:v>Access/connections</c:v>
                </c:pt>
              </c:strCache>
            </c:strRef>
          </c:tx>
          <c:cat>
            <c:strRef>
              <c:f>trend!$B$49:$E$49</c:f>
              <c:strCache>
                <c:ptCount val="4"/>
                <c:pt idx="0">
                  <c:v>FY 2007</c:v>
                </c:pt>
                <c:pt idx="1">
                  <c:v>FY 2008</c:v>
                </c:pt>
                <c:pt idx="2">
                  <c:v>FY 2009</c:v>
                </c:pt>
                <c:pt idx="3">
                  <c:v>FY 2010</c:v>
                </c:pt>
              </c:strCache>
            </c:strRef>
          </c:cat>
          <c:val>
            <c:numRef>
              <c:f>trend!$B$50:$E$50</c:f>
              <c:numCache>
                <c:formatCode>0%</c:formatCode>
                <c:ptCount val="4"/>
                <c:pt idx="0">
                  <c:v>0.27</c:v>
                </c:pt>
                <c:pt idx="1">
                  <c:v>0.27</c:v>
                </c:pt>
                <c:pt idx="2">
                  <c:v>0.27</c:v>
                </c:pt>
                <c:pt idx="3">
                  <c:v>0.30000000000000032</c:v>
                </c:pt>
              </c:numCache>
            </c:numRef>
          </c:val>
        </c:ser>
        <c:ser>
          <c:idx val="1"/>
          <c:order val="1"/>
          <c:tx>
            <c:strRef>
              <c:f>trend!$A$51</c:f>
              <c:strCache>
                <c:ptCount val="1"/>
                <c:pt idx="0">
                  <c:v>Geographic coverage</c:v>
                </c:pt>
              </c:strCache>
            </c:strRef>
          </c:tx>
          <c:cat>
            <c:strRef>
              <c:f>trend!$B$49:$E$49</c:f>
              <c:strCache>
                <c:ptCount val="4"/>
                <c:pt idx="0">
                  <c:v>FY 2007</c:v>
                </c:pt>
                <c:pt idx="1">
                  <c:v>FY 2008</c:v>
                </c:pt>
                <c:pt idx="2">
                  <c:v>FY 2009</c:v>
                </c:pt>
                <c:pt idx="3">
                  <c:v>FY 2010</c:v>
                </c:pt>
              </c:strCache>
            </c:strRef>
          </c:cat>
          <c:val>
            <c:numRef>
              <c:f>trend!$B$51:$E$51</c:f>
              <c:numCache>
                <c:formatCode>0%</c:formatCode>
                <c:ptCount val="4"/>
                <c:pt idx="0">
                  <c:v>0.29000000000000031</c:v>
                </c:pt>
                <c:pt idx="1">
                  <c:v>0.30000000000000032</c:v>
                </c:pt>
                <c:pt idx="2">
                  <c:v>0.31000000000000155</c:v>
                </c:pt>
                <c:pt idx="3">
                  <c:v>0.30000000000000032</c:v>
                </c:pt>
              </c:numCache>
            </c:numRef>
          </c:val>
        </c:ser>
        <c:ser>
          <c:idx val="2"/>
          <c:order val="2"/>
          <c:tx>
            <c:strRef>
              <c:f>trend!$A$52</c:f>
              <c:strCache>
                <c:ptCount val="1"/>
                <c:pt idx="0">
                  <c:v>Service hours or days</c:v>
                </c:pt>
              </c:strCache>
            </c:strRef>
          </c:tx>
          <c:dLbls>
            <c:txPr>
              <a:bodyPr/>
              <a:lstStyle/>
              <a:p>
                <a:pPr>
                  <a:defRPr>
                    <a:solidFill>
                      <a:schemeClr val="bg1"/>
                    </a:solidFill>
                  </a:defRPr>
                </a:pPr>
                <a:endParaRPr lang="en-US"/>
              </a:p>
            </c:txPr>
            <c:showVal val="1"/>
          </c:dLbls>
          <c:cat>
            <c:strRef>
              <c:f>trend!$B$49:$E$49</c:f>
              <c:strCache>
                <c:ptCount val="4"/>
                <c:pt idx="0">
                  <c:v>FY 2007</c:v>
                </c:pt>
                <c:pt idx="1">
                  <c:v>FY 2008</c:v>
                </c:pt>
                <c:pt idx="2">
                  <c:v>FY 2009</c:v>
                </c:pt>
                <c:pt idx="3">
                  <c:v>FY 2010</c:v>
                </c:pt>
              </c:strCache>
            </c:strRef>
          </c:cat>
          <c:val>
            <c:numRef>
              <c:f>trend!$B$52:$E$52</c:f>
              <c:numCache>
                <c:formatCode>0%</c:formatCode>
                <c:ptCount val="4"/>
                <c:pt idx="0">
                  <c:v>0.29000000000000031</c:v>
                </c:pt>
                <c:pt idx="1">
                  <c:v>0.27</c:v>
                </c:pt>
                <c:pt idx="2">
                  <c:v>0.24000000000000021</c:v>
                </c:pt>
                <c:pt idx="3">
                  <c:v>0.21000000000000021</c:v>
                </c:pt>
              </c:numCache>
            </c:numRef>
          </c:val>
        </c:ser>
        <c:ser>
          <c:idx val="3"/>
          <c:order val="3"/>
          <c:tx>
            <c:strRef>
              <c:f>trend!$A$53</c:f>
              <c:strCache>
                <c:ptCount val="1"/>
                <c:pt idx="0">
                  <c:v>System capacity</c:v>
                </c:pt>
              </c:strCache>
            </c:strRef>
          </c:tx>
          <c:cat>
            <c:strRef>
              <c:f>trend!$B$49:$E$49</c:f>
              <c:strCache>
                <c:ptCount val="4"/>
                <c:pt idx="0">
                  <c:v>FY 2007</c:v>
                </c:pt>
                <c:pt idx="1">
                  <c:v>FY 2008</c:v>
                </c:pt>
                <c:pt idx="2">
                  <c:v>FY 2009</c:v>
                </c:pt>
                <c:pt idx="3">
                  <c:v>FY 2010</c:v>
                </c:pt>
              </c:strCache>
            </c:strRef>
          </c:cat>
          <c:val>
            <c:numRef>
              <c:f>trend!$B$53:$E$53</c:f>
              <c:numCache>
                <c:formatCode>0%</c:formatCode>
                <c:ptCount val="4"/>
                <c:pt idx="0">
                  <c:v>9.0000000000000024E-2</c:v>
                </c:pt>
                <c:pt idx="1">
                  <c:v>0.11</c:v>
                </c:pt>
                <c:pt idx="2">
                  <c:v>0.13</c:v>
                </c:pt>
                <c:pt idx="3">
                  <c:v>0.13</c:v>
                </c:pt>
              </c:numCache>
            </c:numRef>
          </c:val>
        </c:ser>
        <c:ser>
          <c:idx val="4"/>
          <c:order val="4"/>
          <c:tx>
            <c:strRef>
              <c:f>trend!$A$54</c:f>
              <c:strCache>
                <c:ptCount val="1"/>
                <c:pt idx="0">
                  <c:v>Customer knowledge</c:v>
                </c:pt>
              </c:strCache>
            </c:strRef>
          </c:tx>
          <c:spPr>
            <a:solidFill>
              <a:schemeClr val="accent2">
                <a:lumMod val="40000"/>
                <a:lumOff val="60000"/>
              </a:schemeClr>
            </a:solidFill>
          </c:spPr>
          <c:cat>
            <c:strRef>
              <c:f>trend!$B$49:$E$49</c:f>
              <c:strCache>
                <c:ptCount val="4"/>
                <c:pt idx="0">
                  <c:v>FY 2007</c:v>
                </c:pt>
                <c:pt idx="1">
                  <c:v>FY 2008</c:v>
                </c:pt>
                <c:pt idx="2">
                  <c:v>FY 2009</c:v>
                </c:pt>
                <c:pt idx="3">
                  <c:v>FY 2010</c:v>
                </c:pt>
              </c:strCache>
            </c:strRef>
          </c:cat>
          <c:val>
            <c:numRef>
              <c:f>trend!$B$54:$E$54</c:f>
              <c:numCache>
                <c:formatCode>0%</c:formatCode>
                <c:ptCount val="4"/>
                <c:pt idx="0">
                  <c:v>0.05</c:v>
                </c:pt>
                <c:pt idx="1">
                  <c:v>0.05</c:v>
                </c:pt>
                <c:pt idx="2">
                  <c:v>0.05</c:v>
                </c:pt>
                <c:pt idx="3">
                  <c:v>6.0000000000000032E-2</c:v>
                </c:pt>
              </c:numCache>
            </c:numRef>
          </c:val>
        </c:ser>
        <c:dLbls>
          <c:showVal val="1"/>
        </c:dLbls>
        <c:overlap val="100"/>
        <c:serLines/>
        <c:axId val="157403776"/>
        <c:axId val="178766208"/>
      </c:barChart>
      <c:catAx>
        <c:axId val="157403776"/>
        <c:scaling>
          <c:orientation val="minMax"/>
        </c:scaling>
        <c:axPos val="b"/>
        <c:tickLblPos val="nextTo"/>
        <c:crossAx val="178766208"/>
        <c:crosses val="autoZero"/>
        <c:auto val="1"/>
        <c:lblAlgn val="ctr"/>
        <c:lblOffset val="100"/>
      </c:catAx>
      <c:valAx>
        <c:axId val="178766208"/>
        <c:scaling>
          <c:orientation val="minMax"/>
        </c:scaling>
        <c:axPos val="l"/>
        <c:majorGridlines/>
        <c:numFmt formatCode="0%" sourceLinked="1"/>
        <c:tickLblPos val="nextTo"/>
        <c:crossAx val="157403776"/>
        <c:crosses val="autoZero"/>
        <c:crossBetween val="between"/>
      </c:valAx>
    </c:plotArea>
    <c:legend>
      <c:legendPos val="b"/>
    </c:legend>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Sheet1!$B$1</c:f>
              <c:strCache>
                <c:ptCount val="1"/>
                <c:pt idx="0">
                  <c:v>Messages</c:v>
                </c:pt>
              </c:strCache>
            </c:strRef>
          </c:tx>
          <c:cat>
            <c:numRef>
              <c:f>Sheet1!$A$2:$A$5</c:f>
              <c:numCache>
                <c:formatCode>mmm\-yy</c:formatCode>
                <c:ptCount val="4"/>
                <c:pt idx="0">
                  <c:v>40575</c:v>
                </c:pt>
                <c:pt idx="1">
                  <c:v>40603</c:v>
                </c:pt>
                <c:pt idx="2">
                  <c:v>40634</c:v>
                </c:pt>
                <c:pt idx="3">
                  <c:v>40664</c:v>
                </c:pt>
              </c:numCache>
            </c:numRef>
          </c:cat>
          <c:val>
            <c:numRef>
              <c:f>Sheet1!$B$2:$B$5</c:f>
              <c:numCache>
                <c:formatCode>General</c:formatCode>
                <c:ptCount val="4"/>
                <c:pt idx="0">
                  <c:v>242</c:v>
                </c:pt>
                <c:pt idx="1">
                  <c:v>736</c:v>
                </c:pt>
                <c:pt idx="2">
                  <c:v>533</c:v>
                </c:pt>
                <c:pt idx="3">
                  <c:v>254</c:v>
                </c:pt>
              </c:numCache>
            </c:numRef>
          </c:val>
        </c:ser>
        <c:dLbls>
          <c:showVal val="1"/>
        </c:dLbls>
        <c:axId val="178974720"/>
        <c:axId val="178976256"/>
      </c:barChart>
      <c:dateAx>
        <c:axId val="178974720"/>
        <c:scaling>
          <c:orientation val="minMax"/>
        </c:scaling>
        <c:axPos val="b"/>
        <c:numFmt formatCode="mmm\-yy" sourceLinked="1"/>
        <c:tickLblPos val="nextTo"/>
        <c:crossAx val="178976256"/>
        <c:crosses val="autoZero"/>
        <c:auto val="1"/>
        <c:lblOffset val="100"/>
      </c:dateAx>
      <c:valAx>
        <c:axId val="178976256"/>
        <c:scaling>
          <c:orientation val="minMax"/>
        </c:scaling>
        <c:axPos val="l"/>
        <c:majorGridlines/>
        <c:numFmt formatCode="General" sourceLinked="1"/>
        <c:tickLblPos val="nextTo"/>
        <c:crossAx val="178974720"/>
        <c:crosses val="autoZero"/>
        <c:crossBetween val="between"/>
      </c:valAx>
    </c:plotArea>
    <c:plotVisOnly val="1"/>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20032619606759727"/>
          <c:y val="3.6850921273031807E-2"/>
          <c:w val="0.57011613022056451"/>
          <c:h val="0.81649797544151204"/>
        </c:manualLayout>
      </c:layout>
      <c:pieChart>
        <c:varyColors val="1"/>
        <c:ser>
          <c:idx val="0"/>
          <c:order val="0"/>
          <c:dPt>
            <c:idx val="0"/>
            <c:explosion val="10"/>
          </c:dPt>
          <c:dLbls>
            <c:dLbl>
              <c:idx val="0"/>
              <c:layout>
                <c:manualLayout>
                  <c:x val="-0.13115439517428701"/>
                  <c:y val="-0.18122824067646762"/>
                </c:manualLayout>
              </c:layout>
              <c:dLblPos val="bestFit"/>
              <c:showVal val="1"/>
            </c:dLbl>
            <c:dLbl>
              <c:idx val="1"/>
              <c:layout>
                <c:manualLayout>
                  <c:x val="8.6221209190956508E-2"/>
                  <c:y val="0.11136383770668502"/>
                </c:manualLayout>
              </c:layout>
              <c:dLblPos val="bestFit"/>
              <c:showVal val="1"/>
            </c:dLbl>
            <c:dLbl>
              <c:idx val="2"/>
              <c:layout>
                <c:manualLayout>
                  <c:x val="4.3680803057512506E-2"/>
                  <c:y val="0.11838790931989769"/>
                </c:manualLayout>
              </c:layout>
              <c:dLblPos val="bestFit"/>
              <c:showVal val="1"/>
            </c:dLbl>
            <c:dLbl>
              <c:idx val="3"/>
              <c:layout>
                <c:manualLayout>
                  <c:x val="3.8778836855919298E-2"/>
                  <c:y val="1.67926112510495E-2"/>
                </c:manualLayout>
              </c:layout>
              <c:spPr/>
              <c:txPr>
                <a:bodyPr/>
                <a:lstStyle/>
                <a:p>
                  <a:pPr>
                    <a:defRPr>
                      <a:solidFill>
                        <a:sysClr val="windowText" lastClr="000000"/>
                      </a:solidFill>
                    </a:defRPr>
                  </a:pPr>
                  <a:endParaRPr lang="en-US"/>
                </a:p>
              </c:txPr>
              <c:dLblPos val="bestFit"/>
              <c:showVal val="1"/>
            </c:dLbl>
            <c:txPr>
              <a:bodyPr/>
              <a:lstStyle/>
              <a:p>
                <a:pPr>
                  <a:defRPr>
                    <a:solidFill>
                      <a:schemeClr val="bg1"/>
                    </a:solidFill>
                  </a:defRPr>
                </a:pPr>
                <a:endParaRPr lang="en-US"/>
              </a:p>
            </c:txPr>
            <c:dLblPos val="bestFit"/>
            <c:showVal val="1"/>
            <c:showLeaderLines val="1"/>
          </c:dLbls>
          <c:cat>
            <c:strRef>
              <c:f>services!$A$40:$A$43</c:f>
              <c:strCache>
                <c:ptCount val="4"/>
                <c:pt idx="0">
                  <c:v>Trip-based</c:v>
                </c:pt>
                <c:pt idx="1">
                  <c:v>Information-based</c:v>
                </c:pt>
                <c:pt idx="2">
                  <c:v>Capital investment</c:v>
                </c:pt>
                <c:pt idx="3">
                  <c:v>Planning studies</c:v>
                </c:pt>
              </c:strCache>
            </c:strRef>
          </c:cat>
          <c:val>
            <c:numRef>
              <c:f>services!$B$40:$B$43</c:f>
              <c:numCache>
                <c:formatCode>0%</c:formatCode>
                <c:ptCount val="4"/>
                <c:pt idx="0">
                  <c:v>0.79</c:v>
                </c:pt>
                <c:pt idx="1">
                  <c:v>0.12000000000000002</c:v>
                </c:pt>
                <c:pt idx="2">
                  <c:v>8.0000000000000043E-2</c:v>
                </c:pt>
                <c:pt idx="3">
                  <c:v>1.0000000000000005E-2</c:v>
                </c:pt>
              </c:numCache>
            </c:numRef>
          </c:val>
        </c:ser>
        <c:dLbls>
          <c:showVal val="1"/>
        </c:dLbls>
        <c:firstSliceAng val="0"/>
      </c:pieChart>
    </c:plotArea>
    <c:legend>
      <c:legendPos val="b"/>
    </c:legend>
    <c:plotVisOnly val="1"/>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bar"/>
        <c:grouping val="clustered"/>
        <c:ser>
          <c:idx val="0"/>
          <c:order val="0"/>
          <c:cat>
            <c:strRef>
              <c:f>services!$A$58:$A$77</c:f>
              <c:strCache>
                <c:ptCount val="20"/>
                <c:pt idx="0">
                  <c:v>Car-sharing</c:v>
                </c:pt>
                <c:pt idx="1">
                  <c:v>Other capital projects</c:v>
                </c:pt>
                <c:pt idx="2">
                  <c:v>Internet-based information</c:v>
                </c:pt>
                <c:pt idx="3">
                  <c:v>Vanpool vehicles</c:v>
                </c:pt>
                <c:pt idx="4">
                  <c:v>Trip/itinerary planning</c:v>
                </c:pt>
                <c:pt idx="5">
                  <c:v>One-stop center</c:v>
                </c:pt>
                <c:pt idx="6">
                  <c:v>Transportation resource training</c:v>
                </c:pt>
                <c:pt idx="7">
                  <c:v>Feasibility study</c:v>
                </c:pt>
                <c:pt idx="8">
                  <c:v>ITS investments</c:v>
                </c:pt>
                <c:pt idx="9">
                  <c:v>Information materials/marketing</c:v>
                </c:pt>
                <c:pt idx="10">
                  <c:v>One-on-one transit training</c:v>
                </c:pt>
                <c:pt idx="11">
                  <c:v>Vanpool service</c:v>
                </c:pt>
                <c:pt idx="12">
                  <c:v>Vehicle for individual</c:v>
                </c:pt>
                <c:pt idx="13">
                  <c:v>Vehicle for agency</c:v>
                </c:pt>
                <c:pt idx="14">
                  <c:v>User-side subsidies</c:v>
                </c:pt>
                <c:pt idx="15">
                  <c:v>Shuttle/feeder</c:v>
                </c:pt>
                <c:pt idx="16">
                  <c:v>Flexible routing</c:v>
                </c:pt>
                <c:pt idx="17">
                  <c:v>Mobility manager</c:v>
                </c:pt>
                <c:pt idx="18">
                  <c:v>Demand response</c:v>
                </c:pt>
                <c:pt idx="19">
                  <c:v>Fixed route</c:v>
                </c:pt>
              </c:strCache>
            </c:strRef>
          </c:cat>
          <c:val>
            <c:numRef>
              <c:f>services!$B$58:$B$77</c:f>
              <c:numCache>
                <c:formatCode>General</c:formatCode>
                <c:ptCount val="20"/>
                <c:pt idx="0">
                  <c:v>1</c:v>
                </c:pt>
                <c:pt idx="1">
                  <c:v>3</c:v>
                </c:pt>
                <c:pt idx="2">
                  <c:v>3</c:v>
                </c:pt>
                <c:pt idx="3">
                  <c:v>4</c:v>
                </c:pt>
                <c:pt idx="4">
                  <c:v>5</c:v>
                </c:pt>
                <c:pt idx="5">
                  <c:v>9</c:v>
                </c:pt>
                <c:pt idx="6">
                  <c:v>10</c:v>
                </c:pt>
                <c:pt idx="7">
                  <c:v>11</c:v>
                </c:pt>
                <c:pt idx="8">
                  <c:v>12</c:v>
                </c:pt>
                <c:pt idx="9">
                  <c:v>13</c:v>
                </c:pt>
                <c:pt idx="10">
                  <c:v>15</c:v>
                </c:pt>
                <c:pt idx="11">
                  <c:v>28</c:v>
                </c:pt>
                <c:pt idx="12">
                  <c:v>31</c:v>
                </c:pt>
                <c:pt idx="13">
                  <c:v>32</c:v>
                </c:pt>
                <c:pt idx="14">
                  <c:v>38</c:v>
                </c:pt>
                <c:pt idx="15">
                  <c:v>52</c:v>
                </c:pt>
                <c:pt idx="16">
                  <c:v>61</c:v>
                </c:pt>
                <c:pt idx="17">
                  <c:v>65</c:v>
                </c:pt>
                <c:pt idx="18">
                  <c:v>237</c:v>
                </c:pt>
                <c:pt idx="19">
                  <c:v>397</c:v>
                </c:pt>
              </c:numCache>
            </c:numRef>
          </c:val>
        </c:ser>
        <c:axId val="178993792"/>
        <c:axId val="179003776"/>
      </c:barChart>
      <c:catAx>
        <c:axId val="178993792"/>
        <c:scaling>
          <c:orientation val="minMax"/>
        </c:scaling>
        <c:axPos val="l"/>
        <c:tickLblPos val="nextTo"/>
        <c:crossAx val="179003776"/>
        <c:crosses val="autoZero"/>
        <c:auto val="1"/>
        <c:lblAlgn val="ctr"/>
        <c:lblOffset val="100"/>
      </c:catAx>
      <c:valAx>
        <c:axId val="179003776"/>
        <c:scaling>
          <c:orientation val="minMax"/>
          <c:max val="400"/>
        </c:scaling>
        <c:axPos val="b"/>
        <c:majorGridlines/>
        <c:title>
          <c:tx>
            <c:rich>
              <a:bodyPr/>
              <a:lstStyle/>
              <a:p>
                <a:pPr>
                  <a:defRPr/>
                </a:pPr>
                <a:r>
                  <a:rPr lang="en-US" b="0"/>
                  <a:t>Number of programs</a:t>
                </a:r>
              </a:p>
            </c:rich>
          </c:tx>
        </c:title>
        <c:numFmt formatCode="General" sourceLinked="1"/>
        <c:tickLblPos val="nextTo"/>
        <c:crossAx val="178993792"/>
        <c:crosses val="autoZero"/>
        <c:crossBetween val="between"/>
      </c:valAx>
    </c:plotArea>
    <c:plotVisOnly val="1"/>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percentStacked"/>
        <c:ser>
          <c:idx val="0"/>
          <c:order val="0"/>
          <c:tx>
            <c:strRef>
              <c:f>trend!$A$2</c:f>
              <c:strCache>
                <c:ptCount val="1"/>
                <c:pt idx="0">
                  <c:v>Trip-based</c:v>
                </c:pt>
              </c:strCache>
            </c:strRef>
          </c:tx>
          <c:dLbls>
            <c:txPr>
              <a:bodyPr/>
              <a:lstStyle/>
              <a:p>
                <a:pPr>
                  <a:defRPr>
                    <a:solidFill>
                      <a:schemeClr val="bg1"/>
                    </a:solidFill>
                  </a:defRPr>
                </a:pPr>
                <a:endParaRPr lang="en-US"/>
              </a:p>
            </c:txPr>
            <c:showVal val="1"/>
          </c:dLbls>
          <c:cat>
            <c:strRef>
              <c:f>trend!$B$1:$F$1</c:f>
              <c:strCache>
                <c:ptCount val="5"/>
                <c:pt idx="0">
                  <c:v>FY 2006</c:v>
                </c:pt>
                <c:pt idx="1">
                  <c:v>FY 2007</c:v>
                </c:pt>
                <c:pt idx="2">
                  <c:v>FY 2008</c:v>
                </c:pt>
                <c:pt idx="3">
                  <c:v>FY 2009</c:v>
                </c:pt>
                <c:pt idx="4">
                  <c:v>FY 2010</c:v>
                </c:pt>
              </c:strCache>
            </c:strRef>
          </c:cat>
          <c:val>
            <c:numRef>
              <c:f>trend!$B$2:$F$2</c:f>
              <c:numCache>
                <c:formatCode>0%</c:formatCode>
                <c:ptCount val="5"/>
                <c:pt idx="0">
                  <c:v>0.85000000000000164</c:v>
                </c:pt>
                <c:pt idx="1">
                  <c:v>0.85000000000000164</c:v>
                </c:pt>
                <c:pt idx="2">
                  <c:v>0.86000000000000165</c:v>
                </c:pt>
                <c:pt idx="3">
                  <c:v>0.81</c:v>
                </c:pt>
                <c:pt idx="4">
                  <c:v>0.79</c:v>
                </c:pt>
              </c:numCache>
            </c:numRef>
          </c:val>
        </c:ser>
        <c:ser>
          <c:idx val="1"/>
          <c:order val="1"/>
          <c:tx>
            <c:strRef>
              <c:f>trend!$A$3</c:f>
              <c:strCache>
                <c:ptCount val="1"/>
                <c:pt idx="0">
                  <c:v>Info-based</c:v>
                </c:pt>
              </c:strCache>
            </c:strRef>
          </c:tx>
          <c:dLbls>
            <c:txPr>
              <a:bodyPr/>
              <a:lstStyle/>
              <a:p>
                <a:pPr>
                  <a:defRPr>
                    <a:solidFill>
                      <a:schemeClr val="bg1"/>
                    </a:solidFill>
                  </a:defRPr>
                </a:pPr>
                <a:endParaRPr lang="en-US"/>
              </a:p>
            </c:txPr>
            <c:showVal val="1"/>
          </c:dLbls>
          <c:cat>
            <c:strRef>
              <c:f>trend!$B$1:$F$1</c:f>
              <c:strCache>
                <c:ptCount val="5"/>
                <c:pt idx="0">
                  <c:v>FY 2006</c:v>
                </c:pt>
                <c:pt idx="1">
                  <c:v>FY 2007</c:v>
                </c:pt>
                <c:pt idx="2">
                  <c:v>FY 2008</c:v>
                </c:pt>
                <c:pt idx="3">
                  <c:v>FY 2009</c:v>
                </c:pt>
                <c:pt idx="4">
                  <c:v>FY 2010</c:v>
                </c:pt>
              </c:strCache>
            </c:strRef>
          </c:cat>
          <c:val>
            <c:numRef>
              <c:f>trend!$B$3:$F$3</c:f>
              <c:numCache>
                <c:formatCode>0%</c:formatCode>
                <c:ptCount val="5"/>
                <c:pt idx="0">
                  <c:v>8.0000000000000043E-2</c:v>
                </c:pt>
                <c:pt idx="1">
                  <c:v>7.0000000000000021E-2</c:v>
                </c:pt>
                <c:pt idx="2">
                  <c:v>7.0000000000000021E-2</c:v>
                </c:pt>
                <c:pt idx="3">
                  <c:v>0.1</c:v>
                </c:pt>
                <c:pt idx="4">
                  <c:v>0.11</c:v>
                </c:pt>
              </c:numCache>
            </c:numRef>
          </c:val>
        </c:ser>
        <c:ser>
          <c:idx val="2"/>
          <c:order val="2"/>
          <c:tx>
            <c:strRef>
              <c:f>trend!$A$4</c:f>
              <c:strCache>
                <c:ptCount val="1"/>
                <c:pt idx="0">
                  <c:v>Capital</c:v>
                </c:pt>
              </c:strCache>
            </c:strRef>
          </c:tx>
          <c:dLbls>
            <c:txPr>
              <a:bodyPr/>
              <a:lstStyle/>
              <a:p>
                <a:pPr>
                  <a:defRPr>
                    <a:solidFill>
                      <a:schemeClr val="bg1"/>
                    </a:solidFill>
                  </a:defRPr>
                </a:pPr>
                <a:endParaRPr lang="en-US"/>
              </a:p>
            </c:txPr>
            <c:showVal val="1"/>
          </c:dLbls>
          <c:cat>
            <c:strRef>
              <c:f>trend!$B$1:$F$1</c:f>
              <c:strCache>
                <c:ptCount val="5"/>
                <c:pt idx="0">
                  <c:v>FY 2006</c:v>
                </c:pt>
                <c:pt idx="1">
                  <c:v>FY 2007</c:v>
                </c:pt>
                <c:pt idx="2">
                  <c:v>FY 2008</c:v>
                </c:pt>
                <c:pt idx="3">
                  <c:v>FY 2009</c:v>
                </c:pt>
                <c:pt idx="4">
                  <c:v>FY 2010</c:v>
                </c:pt>
              </c:strCache>
            </c:strRef>
          </c:cat>
          <c:val>
            <c:numRef>
              <c:f>trend!$B$4:$F$4</c:f>
              <c:numCache>
                <c:formatCode>0%</c:formatCode>
                <c:ptCount val="5"/>
                <c:pt idx="0">
                  <c:v>7.0000000000000021E-2</c:v>
                </c:pt>
                <c:pt idx="1">
                  <c:v>9.0000000000000024E-2</c:v>
                </c:pt>
                <c:pt idx="2">
                  <c:v>7.0000000000000021E-2</c:v>
                </c:pt>
                <c:pt idx="3">
                  <c:v>9.0000000000000024E-2</c:v>
                </c:pt>
                <c:pt idx="4">
                  <c:v>9.0000000000000024E-2</c:v>
                </c:pt>
              </c:numCache>
            </c:numRef>
          </c:val>
        </c:ser>
        <c:ser>
          <c:idx val="3"/>
          <c:order val="3"/>
          <c:tx>
            <c:strRef>
              <c:f>trend!$A$5</c:f>
              <c:strCache>
                <c:ptCount val="1"/>
                <c:pt idx="0">
                  <c:v>Planning</c:v>
                </c:pt>
              </c:strCache>
            </c:strRef>
          </c:tx>
          <c:dLbls>
            <c:delete val="1"/>
          </c:dLbls>
          <c:cat>
            <c:strRef>
              <c:f>trend!$B$1:$F$1</c:f>
              <c:strCache>
                <c:ptCount val="5"/>
                <c:pt idx="0">
                  <c:v>FY 2006</c:v>
                </c:pt>
                <c:pt idx="1">
                  <c:v>FY 2007</c:v>
                </c:pt>
                <c:pt idx="2">
                  <c:v>FY 2008</c:v>
                </c:pt>
                <c:pt idx="3">
                  <c:v>FY 2009</c:v>
                </c:pt>
                <c:pt idx="4">
                  <c:v>FY 2010</c:v>
                </c:pt>
              </c:strCache>
            </c:strRef>
          </c:cat>
          <c:val>
            <c:numRef>
              <c:f>trend!$B$5:$F$5</c:f>
              <c:numCache>
                <c:formatCode>0%</c:formatCode>
                <c:ptCount val="5"/>
                <c:pt idx="0">
                  <c:v>0</c:v>
                </c:pt>
                <c:pt idx="1">
                  <c:v>0</c:v>
                </c:pt>
                <c:pt idx="2">
                  <c:v>0</c:v>
                </c:pt>
                <c:pt idx="3">
                  <c:v>0</c:v>
                </c:pt>
                <c:pt idx="4">
                  <c:v>1.0000000000000005E-2</c:v>
                </c:pt>
              </c:numCache>
            </c:numRef>
          </c:val>
        </c:ser>
        <c:dLbls>
          <c:showVal val="1"/>
        </c:dLbls>
        <c:overlap val="100"/>
        <c:serLines/>
        <c:axId val="179024640"/>
        <c:axId val="179026176"/>
      </c:barChart>
      <c:catAx>
        <c:axId val="179024640"/>
        <c:scaling>
          <c:orientation val="minMax"/>
        </c:scaling>
        <c:axPos val="b"/>
        <c:tickLblPos val="nextTo"/>
        <c:crossAx val="179026176"/>
        <c:crosses val="autoZero"/>
        <c:auto val="1"/>
        <c:lblAlgn val="ctr"/>
        <c:lblOffset val="100"/>
      </c:catAx>
      <c:valAx>
        <c:axId val="179026176"/>
        <c:scaling>
          <c:orientation val="minMax"/>
        </c:scaling>
        <c:axPos val="l"/>
        <c:majorGridlines/>
        <c:numFmt formatCode="0%" sourceLinked="1"/>
        <c:tickLblPos val="nextTo"/>
        <c:crossAx val="179024640"/>
        <c:crosses val="autoZero"/>
        <c:crossBetween val="between"/>
      </c:valAx>
    </c:plotArea>
    <c:legend>
      <c:legendPos val="b"/>
    </c:legend>
    <c:plotVisOnly val="1"/>
  </c:chart>
  <c:spPr>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bar"/>
        <c:grouping val="percentStacked"/>
        <c:ser>
          <c:idx val="0"/>
          <c:order val="0"/>
          <c:tx>
            <c:strRef>
              <c:f>'urbanized area'!$C$38</c:f>
              <c:strCache>
                <c:ptCount val="1"/>
                <c:pt idx="0">
                  <c:v>Large Urban</c:v>
                </c:pt>
              </c:strCache>
            </c:strRef>
          </c:tx>
          <c:cat>
            <c:strRef>
              <c:f>'urbanized area'!$B$39:$B$58</c:f>
              <c:strCache>
                <c:ptCount val="20"/>
                <c:pt idx="0">
                  <c:v>Demand response  (N=237)</c:v>
                </c:pt>
                <c:pt idx="1">
                  <c:v>Flexible routing  (N=61)</c:v>
                </c:pt>
                <c:pt idx="2">
                  <c:v>Internet-based information (N=3)</c:v>
                </c:pt>
                <c:pt idx="3">
                  <c:v>Other capital projects (N=3)</c:v>
                </c:pt>
                <c:pt idx="4">
                  <c:v>Vehicle for agency (N=32)</c:v>
                </c:pt>
                <c:pt idx="5">
                  <c:v>Materials and marketing  (N=13)</c:v>
                </c:pt>
                <c:pt idx="6">
                  <c:v>Mobility manager (N=65)</c:v>
                </c:pt>
                <c:pt idx="7">
                  <c:v>Vehicle for individual (N=31)</c:v>
                </c:pt>
                <c:pt idx="8">
                  <c:v>One-stop center (N=9)</c:v>
                </c:pt>
                <c:pt idx="9">
                  <c:v>Feasibility study (N=11)</c:v>
                </c:pt>
                <c:pt idx="10">
                  <c:v>Vanpool  (N=28)</c:v>
                </c:pt>
                <c:pt idx="11">
                  <c:v>User-side subsidy  (N=38)</c:v>
                </c:pt>
                <c:pt idx="12">
                  <c:v>Fixed route  (N=397)</c:v>
                </c:pt>
                <c:pt idx="13">
                  <c:v>Shuttle/Feeder (N=52)</c:v>
                </c:pt>
                <c:pt idx="14">
                  <c:v>ITS investments (N=12)</c:v>
                </c:pt>
                <c:pt idx="15">
                  <c:v>Transportation resource training (N=10)</c:v>
                </c:pt>
                <c:pt idx="16">
                  <c:v>Vanpool vehicles (N=4)</c:v>
                </c:pt>
                <c:pt idx="17">
                  <c:v>One-on-one transit training (N=15)</c:v>
                </c:pt>
                <c:pt idx="18">
                  <c:v>Trip/itinerary planning (N=5)</c:v>
                </c:pt>
                <c:pt idx="19">
                  <c:v>Car-sharing (N=1)</c:v>
                </c:pt>
              </c:strCache>
            </c:strRef>
          </c:cat>
          <c:val>
            <c:numRef>
              <c:f>'urbanized area'!$C$39:$C$58</c:f>
              <c:numCache>
                <c:formatCode>0%</c:formatCode>
                <c:ptCount val="20"/>
                <c:pt idx="0">
                  <c:v>0.27426160337552702</c:v>
                </c:pt>
                <c:pt idx="1">
                  <c:v>0.31147540983606886</c:v>
                </c:pt>
                <c:pt idx="2">
                  <c:v>0.33333333333333331</c:v>
                </c:pt>
                <c:pt idx="3">
                  <c:v>0.33333333333333331</c:v>
                </c:pt>
                <c:pt idx="4">
                  <c:v>0.34375</c:v>
                </c:pt>
                <c:pt idx="5">
                  <c:v>0.38461538461538508</c:v>
                </c:pt>
                <c:pt idx="6">
                  <c:v>0.4</c:v>
                </c:pt>
                <c:pt idx="7">
                  <c:v>0.41935483870968093</c:v>
                </c:pt>
                <c:pt idx="8">
                  <c:v>0.44444444444444431</c:v>
                </c:pt>
                <c:pt idx="9">
                  <c:v>0.45454545454545375</c:v>
                </c:pt>
                <c:pt idx="10">
                  <c:v>0.46428571428571402</c:v>
                </c:pt>
                <c:pt idx="11">
                  <c:v>0.52631578947368396</c:v>
                </c:pt>
                <c:pt idx="12">
                  <c:v>0.58438287153652357</c:v>
                </c:pt>
                <c:pt idx="13">
                  <c:v>0.59615384615384603</c:v>
                </c:pt>
                <c:pt idx="14">
                  <c:v>0.66666666666666763</c:v>
                </c:pt>
                <c:pt idx="15">
                  <c:v>0.70000000000000162</c:v>
                </c:pt>
                <c:pt idx="16">
                  <c:v>0.75000000000000411</c:v>
                </c:pt>
                <c:pt idx="17">
                  <c:v>0.8</c:v>
                </c:pt>
                <c:pt idx="18">
                  <c:v>1</c:v>
                </c:pt>
                <c:pt idx="19">
                  <c:v>1</c:v>
                </c:pt>
              </c:numCache>
            </c:numRef>
          </c:val>
        </c:ser>
        <c:ser>
          <c:idx val="1"/>
          <c:order val="1"/>
          <c:tx>
            <c:strRef>
              <c:f>'urbanized area'!$D$38</c:f>
              <c:strCache>
                <c:ptCount val="1"/>
                <c:pt idx="0">
                  <c:v>Small Urban</c:v>
                </c:pt>
              </c:strCache>
            </c:strRef>
          </c:tx>
          <c:cat>
            <c:strRef>
              <c:f>'urbanized area'!$B$39:$B$58</c:f>
              <c:strCache>
                <c:ptCount val="20"/>
                <c:pt idx="0">
                  <c:v>Demand response  (N=237)</c:v>
                </c:pt>
                <c:pt idx="1">
                  <c:v>Flexible routing  (N=61)</c:v>
                </c:pt>
                <c:pt idx="2">
                  <c:v>Internet-based information (N=3)</c:v>
                </c:pt>
                <c:pt idx="3">
                  <c:v>Other capital projects (N=3)</c:v>
                </c:pt>
                <c:pt idx="4">
                  <c:v>Vehicle for agency (N=32)</c:v>
                </c:pt>
                <c:pt idx="5">
                  <c:v>Materials and marketing  (N=13)</c:v>
                </c:pt>
                <c:pt idx="6">
                  <c:v>Mobility manager (N=65)</c:v>
                </c:pt>
                <c:pt idx="7">
                  <c:v>Vehicle for individual (N=31)</c:v>
                </c:pt>
                <c:pt idx="8">
                  <c:v>One-stop center (N=9)</c:v>
                </c:pt>
                <c:pt idx="9">
                  <c:v>Feasibility study (N=11)</c:v>
                </c:pt>
                <c:pt idx="10">
                  <c:v>Vanpool  (N=28)</c:v>
                </c:pt>
                <c:pt idx="11">
                  <c:v>User-side subsidy  (N=38)</c:v>
                </c:pt>
                <c:pt idx="12">
                  <c:v>Fixed route  (N=397)</c:v>
                </c:pt>
                <c:pt idx="13">
                  <c:v>Shuttle/Feeder (N=52)</c:v>
                </c:pt>
                <c:pt idx="14">
                  <c:v>ITS investments (N=12)</c:v>
                </c:pt>
                <c:pt idx="15">
                  <c:v>Transportation resource training (N=10)</c:v>
                </c:pt>
                <c:pt idx="16">
                  <c:v>Vanpool vehicles (N=4)</c:v>
                </c:pt>
                <c:pt idx="17">
                  <c:v>One-on-one transit training (N=15)</c:v>
                </c:pt>
                <c:pt idx="18">
                  <c:v>Trip/itinerary planning (N=5)</c:v>
                </c:pt>
                <c:pt idx="19">
                  <c:v>Car-sharing (N=1)</c:v>
                </c:pt>
              </c:strCache>
            </c:strRef>
          </c:cat>
          <c:val>
            <c:numRef>
              <c:f>'urbanized area'!$D$39:$D$58</c:f>
              <c:numCache>
                <c:formatCode>0%</c:formatCode>
                <c:ptCount val="20"/>
                <c:pt idx="0">
                  <c:v>0.20675105485232262</c:v>
                </c:pt>
                <c:pt idx="1">
                  <c:v>0.27868852459016402</c:v>
                </c:pt>
                <c:pt idx="2">
                  <c:v>0.33333333333333331</c:v>
                </c:pt>
                <c:pt idx="3">
                  <c:v>0.33333333333333331</c:v>
                </c:pt>
                <c:pt idx="4">
                  <c:v>0.15625000000000031</c:v>
                </c:pt>
                <c:pt idx="5">
                  <c:v>0.23076923076923259</c:v>
                </c:pt>
                <c:pt idx="6">
                  <c:v>0.246153846153846</c:v>
                </c:pt>
                <c:pt idx="7">
                  <c:v>0.22580645161290328</c:v>
                </c:pt>
                <c:pt idx="8">
                  <c:v>0.22222222222222204</c:v>
                </c:pt>
                <c:pt idx="9">
                  <c:v>0.18181818181818346</c:v>
                </c:pt>
                <c:pt idx="10">
                  <c:v>0.214285714285714</c:v>
                </c:pt>
                <c:pt idx="11">
                  <c:v>0.23684210526315788</c:v>
                </c:pt>
                <c:pt idx="12">
                  <c:v>0.24937027707808587</c:v>
                </c:pt>
                <c:pt idx="13">
                  <c:v>0.21153846153846362</c:v>
                </c:pt>
                <c:pt idx="14">
                  <c:v>0.16666666666666688</c:v>
                </c:pt>
                <c:pt idx="15">
                  <c:v>0.30000000000000032</c:v>
                </c:pt>
                <c:pt idx="16">
                  <c:v>0.25</c:v>
                </c:pt>
                <c:pt idx="17">
                  <c:v>0.13333333333333328</c:v>
                </c:pt>
                <c:pt idx="18">
                  <c:v>0</c:v>
                </c:pt>
                <c:pt idx="19">
                  <c:v>0</c:v>
                </c:pt>
              </c:numCache>
            </c:numRef>
          </c:val>
        </c:ser>
        <c:ser>
          <c:idx val="2"/>
          <c:order val="2"/>
          <c:tx>
            <c:strRef>
              <c:f>'urbanized area'!$E$38</c:f>
              <c:strCache>
                <c:ptCount val="1"/>
                <c:pt idx="0">
                  <c:v>Non Urban</c:v>
                </c:pt>
              </c:strCache>
            </c:strRef>
          </c:tx>
          <c:cat>
            <c:strRef>
              <c:f>'urbanized area'!$B$39:$B$58</c:f>
              <c:strCache>
                <c:ptCount val="20"/>
                <c:pt idx="0">
                  <c:v>Demand response  (N=237)</c:v>
                </c:pt>
                <c:pt idx="1">
                  <c:v>Flexible routing  (N=61)</c:v>
                </c:pt>
                <c:pt idx="2">
                  <c:v>Internet-based information (N=3)</c:v>
                </c:pt>
                <c:pt idx="3">
                  <c:v>Other capital projects (N=3)</c:v>
                </c:pt>
                <c:pt idx="4">
                  <c:v>Vehicle for agency (N=32)</c:v>
                </c:pt>
                <c:pt idx="5">
                  <c:v>Materials and marketing  (N=13)</c:v>
                </c:pt>
                <c:pt idx="6">
                  <c:v>Mobility manager (N=65)</c:v>
                </c:pt>
                <c:pt idx="7">
                  <c:v>Vehicle for individual (N=31)</c:v>
                </c:pt>
                <c:pt idx="8">
                  <c:v>One-stop center (N=9)</c:v>
                </c:pt>
                <c:pt idx="9">
                  <c:v>Feasibility study (N=11)</c:v>
                </c:pt>
                <c:pt idx="10">
                  <c:v>Vanpool  (N=28)</c:v>
                </c:pt>
                <c:pt idx="11">
                  <c:v>User-side subsidy  (N=38)</c:v>
                </c:pt>
                <c:pt idx="12">
                  <c:v>Fixed route  (N=397)</c:v>
                </c:pt>
                <c:pt idx="13">
                  <c:v>Shuttle/Feeder (N=52)</c:v>
                </c:pt>
                <c:pt idx="14">
                  <c:v>ITS investments (N=12)</c:v>
                </c:pt>
                <c:pt idx="15">
                  <c:v>Transportation resource training (N=10)</c:v>
                </c:pt>
                <c:pt idx="16">
                  <c:v>Vanpool vehicles (N=4)</c:v>
                </c:pt>
                <c:pt idx="17">
                  <c:v>One-on-one transit training (N=15)</c:v>
                </c:pt>
                <c:pt idx="18">
                  <c:v>Trip/itinerary planning (N=5)</c:v>
                </c:pt>
                <c:pt idx="19">
                  <c:v>Car-sharing (N=1)</c:v>
                </c:pt>
              </c:strCache>
            </c:strRef>
          </c:cat>
          <c:val>
            <c:numRef>
              <c:f>'urbanized area'!$E$39:$E$58</c:f>
              <c:numCache>
                <c:formatCode>0%</c:formatCode>
                <c:ptCount val="20"/>
                <c:pt idx="0">
                  <c:v>0.51898734177214501</c:v>
                </c:pt>
                <c:pt idx="1">
                  <c:v>0.40983606557377256</c:v>
                </c:pt>
                <c:pt idx="2">
                  <c:v>0.33333333333333331</c:v>
                </c:pt>
                <c:pt idx="3">
                  <c:v>0.33333333333333331</c:v>
                </c:pt>
                <c:pt idx="4">
                  <c:v>0.5</c:v>
                </c:pt>
                <c:pt idx="5">
                  <c:v>0.38461538461538508</c:v>
                </c:pt>
                <c:pt idx="6">
                  <c:v>0.35384615384615431</c:v>
                </c:pt>
                <c:pt idx="7">
                  <c:v>0.35483870967742293</c:v>
                </c:pt>
                <c:pt idx="8">
                  <c:v>0.33333333333333331</c:v>
                </c:pt>
                <c:pt idx="9">
                  <c:v>0.36363636363636431</c:v>
                </c:pt>
                <c:pt idx="10">
                  <c:v>0.32142857142857623</c:v>
                </c:pt>
                <c:pt idx="11">
                  <c:v>0.23684210526315788</c:v>
                </c:pt>
                <c:pt idx="12">
                  <c:v>0.16624685138539252</c:v>
                </c:pt>
                <c:pt idx="13">
                  <c:v>0.19230769230769201</c:v>
                </c:pt>
                <c:pt idx="14">
                  <c:v>0.16666666666666688</c:v>
                </c:pt>
                <c:pt idx="15">
                  <c:v>0</c:v>
                </c:pt>
                <c:pt idx="16">
                  <c:v>0</c:v>
                </c:pt>
                <c:pt idx="17">
                  <c:v>6.6666666666666707E-2</c:v>
                </c:pt>
                <c:pt idx="18">
                  <c:v>0</c:v>
                </c:pt>
                <c:pt idx="19">
                  <c:v>0</c:v>
                </c:pt>
              </c:numCache>
            </c:numRef>
          </c:val>
        </c:ser>
        <c:overlap val="100"/>
        <c:axId val="179042176"/>
        <c:axId val="179043712"/>
      </c:barChart>
      <c:catAx>
        <c:axId val="179042176"/>
        <c:scaling>
          <c:orientation val="minMax"/>
        </c:scaling>
        <c:axPos val="l"/>
        <c:tickLblPos val="nextTo"/>
        <c:crossAx val="179043712"/>
        <c:crosses val="autoZero"/>
        <c:auto val="1"/>
        <c:lblAlgn val="ctr"/>
        <c:lblOffset val="100"/>
      </c:catAx>
      <c:valAx>
        <c:axId val="179043712"/>
        <c:scaling>
          <c:orientation val="minMax"/>
        </c:scaling>
        <c:axPos val="b"/>
        <c:majorGridlines/>
        <c:numFmt formatCode="0%" sourceLinked="1"/>
        <c:tickLblPos val="nextTo"/>
        <c:crossAx val="179042176"/>
        <c:crosses val="autoZero"/>
        <c:crossBetween val="between"/>
      </c:valAx>
    </c:plotArea>
    <c:legend>
      <c:legendPos val="b"/>
    </c:legend>
    <c:plotVisOnly val="1"/>
  </c:chart>
  <c:spPr>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percentStacked"/>
        <c:ser>
          <c:idx val="0"/>
          <c:order val="0"/>
          <c:tx>
            <c:strRef>
              <c:f>'urbanized area'!$A$66</c:f>
              <c:strCache>
                <c:ptCount val="1"/>
                <c:pt idx="0">
                  <c:v>Trip-based</c:v>
                </c:pt>
              </c:strCache>
            </c:strRef>
          </c:tx>
          <c:cat>
            <c:strRef>
              <c:f>'urbanized area'!$B$65:$D$65</c:f>
              <c:strCache>
                <c:ptCount val="3"/>
                <c:pt idx="0">
                  <c:v>Large urban</c:v>
                </c:pt>
                <c:pt idx="1">
                  <c:v>Small urban</c:v>
                </c:pt>
                <c:pt idx="2">
                  <c:v>Non-urban</c:v>
                </c:pt>
              </c:strCache>
            </c:strRef>
          </c:cat>
          <c:val>
            <c:numRef>
              <c:f>'urbanized area'!$B$66:$D$66</c:f>
              <c:numCache>
                <c:formatCode>0%</c:formatCode>
                <c:ptCount val="3"/>
                <c:pt idx="0">
                  <c:v>0.79</c:v>
                </c:pt>
                <c:pt idx="1">
                  <c:v>0.81</c:v>
                </c:pt>
                <c:pt idx="2">
                  <c:v>0.78</c:v>
                </c:pt>
              </c:numCache>
            </c:numRef>
          </c:val>
        </c:ser>
        <c:ser>
          <c:idx val="1"/>
          <c:order val="1"/>
          <c:tx>
            <c:strRef>
              <c:f>'urbanized area'!$A$67</c:f>
              <c:strCache>
                <c:ptCount val="1"/>
                <c:pt idx="0">
                  <c:v>Information-based</c:v>
                </c:pt>
              </c:strCache>
            </c:strRef>
          </c:tx>
          <c:cat>
            <c:strRef>
              <c:f>'urbanized area'!$B$65:$D$65</c:f>
              <c:strCache>
                <c:ptCount val="3"/>
                <c:pt idx="0">
                  <c:v>Large urban</c:v>
                </c:pt>
                <c:pt idx="1">
                  <c:v>Small urban</c:v>
                </c:pt>
                <c:pt idx="2">
                  <c:v>Non-urban</c:v>
                </c:pt>
              </c:strCache>
            </c:strRef>
          </c:cat>
          <c:val>
            <c:numRef>
              <c:f>'urbanized area'!$B$67:$D$67</c:f>
              <c:numCache>
                <c:formatCode>0%</c:formatCode>
                <c:ptCount val="3"/>
                <c:pt idx="0">
                  <c:v>0.12000000000000002</c:v>
                </c:pt>
                <c:pt idx="1">
                  <c:v>0.11</c:v>
                </c:pt>
                <c:pt idx="2">
                  <c:v>0.11</c:v>
                </c:pt>
              </c:numCache>
            </c:numRef>
          </c:val>
        </c:ser>
        <c:ser>
          <c:idx val="2"/>
          <c:order val="2"/>
          <c:tx>
            <c:strRef>
              <c:f>'urbanized area'!$A$68</c:f>
              <c:strCache>
                <c:ptCount val="1"/>
                <c:pt idx="0">
                  <c:v>Capital investment</c:v>
                </c:pt>
              </c:strCache>
            </c:strRef>
          </c:tx>
          <c:cat>
            <c:strRef>
              <c:f>'urbanized area'!$B$65:$D$65</c:f>
              <c:strCache>
                <c:ptCount val="3"/>
                <c:pt idx="0">
                  <c:v>Large urban</c:v>
                </c:pt>
                <c:pt idx="1">
                  <c:v>Small urban</c:v>
                </c:pt>
                <c:pt idx="2">
                  <c:v>Non-urban</c:v>
                </c:pt>
              </c:strCache>
            </c:strRef>
          </c:cat>
          <c:val>
            <c:numRef>
              <c:f>'urbanized area'!$B$68:$D$68</c:f>
              <c:numCache>
                <c:formatCode>0%</c:formatCode>
                <c:ptCount val="3"/>
                <c:pt idx="0">
                  <c:v>8.0000000000000043E-2</c:v>
                </c:pt>
                <c:pt idx="1">
                  <c:v>7.0000000000000021E-2</c:v>
                </c:pt>
                <c:pt idx="2">
                  <c:v>0.1</c:v>
                </c:pt>
              </c:numCache>
            </c:numRef>
          </c:val>
        </c:ser>
        <c:ser>
          <c:idx val="3"/>
          <c:order val="3"/>
          <c:tx>
            <c:strRef>
              <c:f>'urbanized area'!$A$69</c:f>
              <c:strCache>
                <c:ptCount val="1"/>
                <c:pt idx="0">
                  <c:v>Planning studies</c:v>
                </c:pt>
              </c:strCache>
            </c:strRef>
          </c:tx>
          <c:cat>
            <c:strRef>
              <c:f>'urbanized area'!$B$65:$D$65</c:f>
              <c:strCache>
                <c:ptCount val="3"/>
                <c:pt idx="0">
                  <c:v>Large urban</c:v>
                </c:pt>
                <c:pt idx="1">
                  <c:v>Small urban</c:v>
                </c:pt>
                <c:pt idx="2">
                  <c:v>Non-urban</c:v>
                </c:pt>
              </c:strCache>
            </c:strRef>
          </c:cat>
          <c:val>
            <c:numRef>
              <c:f>'urbanized area'!$B$69:$D$69</c:f>
              <c:numCache>
                <c:formatCode>0%</c:formatCode>
                <c:ptCount val="3"/>
                <c:pt idx="0">
                  <c:v>1.0000000000000005E-2</c:v>
                </c:pt>
                <c:pt idx="1">
                  <c:v>1.0000000000000005E-2</c:v>
                </c:pt>
                <c:pt idx="2">
                  <c:v>1.0000000000000005E-2</c:v>
                </c:pt>
              </c:numCache>
            </c:numRef>
          </c:val>
        </c:ser>
        <c:overlap val="100"/>
        <c:axId val="180384896"/>
        <c:axId val="180386432"/>
      </c:barChart>
      <c:catAx>
        <c:axId val="180384896"/>
        <c:scaling>
          <c:orientation val="minMax"/>
        </c:scaling>
        <c:axPos val="b"/>
        <c:tickLblPos val="nextTo"/>
        <c:crossAx val="180386432"/>
        <c:crosses val="autoZero"/>
        <c:auto val="1"/>
        <c:lblAlgn val="ctr"/>
        <c:lblOffset val="100"/>
      </c:catAx>
      <c:valAx>
        <c:axId val="180386432"/>
        <c:scaling>
          <c:orientation val="minMax"/>
        </c:scaling>
        <c:axPos val="l"/>
        <c:majorGridlines/>
        <c:numFmt formatCode="0%" sourceLinked="1"/>
        <c:tickLblPos val="nextTo"/>
        <c:crossAx val="180384896"/>
        <c:crosses val="autoZero"/>
        <c:crossBetween val="between"/>
      </c:valAx>
    </c:plotArea>
    <c:legend>
      <c:legendPos val="b"/>
    </c:legend>
    <c:plotVisOnly val="1"/>
  </c:chart>
  <c:spPr>
    <a:ln>
      <a:no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percentStacked"/>
        <c:ser>
          <c:idx val="0"/>
          <c:order val="0"/>
          <c:tx>
            <c:strRef>
              <c:f>trend!$A$42</c:f>
              <c:strCache>
                <c:ptCount val="1"/>
                <c:pt idx="0">
                  <c:v>Large urban</c:v>
                </c:pt>
              </c:strCache>
            </c:strRef>
          </c:tx>
          <c:cat>
            <c:strRef>
              <c:f>trend!$B$41:$F$41</c:f>
              <c:strCache>
                <c:ptCount val="5"/>
                <c:pt idx="0">
                  <c:v>FY 2006</c:v>
                </c:pt>
                <c:pt idx="1">
                  <c:v>FY 2007</c:v>
                </c:pt>
                <c:pt idx="2">
                  <c:v>FY 2008</c:v>
                </c:pt>
                <c:pt idx="3">
                  <c:v>FY 2009</c:v>
                </c:pt>
                <c:pt idx="4">
                  <c:v>FY 2010</c:v>
                </c:pt>
              </c:strCache>
            </c:strRef>
          </c:cat>
          <c:val>
            <c:numRef>
              <c:f>trend!$B$42:$F$42</c:f>
              <c:numCache>
                <c:formatCode>0%</c:formatCode>
                <c:ptCount val="5"/>
                <c:pt idx="0">
                  <c:v>0.47000000000000008</c:v>
                </c:pt>
                <c:pt idx="1">
                  <c:v>0.51</c:v>
                </c:pt>
                <c:pt idx="2">
                  <c:v>0.48000000000000032</c:v>
                </c:pt>
                <c:pt idx="3">
                  <c:v>0.44</c:v>
                </c:pt>
                <c:pt idx="4">
                  <c:v>0.47000000000000008</c:v>
                </c:pt>
              </c:numCache>
            </c:numRef>
          </c:val>
        </c:ser>
        <c:ser>
          <c:idx val="1"/>
          <c:order val="1"/>
          <c:tx>
            <c:strRef>
              <c:f>trend!$A$43</c:f>
              <c:strCache>
                <c:ptCount val="1"/>
                <c:pt idx="0">
                  <c:v>Small urban</c:v>
                </c:pt>
              </c:strCache>
            </c:strRef>
          </c:tx>
          <c:cat>
            <c:strRef>
              <c:f>trend!$B$41:$F$41</c:f>
              <c:strCache>
                <c:ptCount val="5"/>
                <c:pt idx="0">
                  <c:v>FY 2006</c:v>
                </c:pt>
                <c:pt idx="1">
                  <c:v>FY 2007</c:v>
                </c:pt>
                <c:pt idx="2">
                  <c:v>FY 2008</c:v>
                </c:pt>
                <c:pt idx="3">
                  <c:v>FY 2009</c:v>
                </c:pt>
                <c:pt idx="4">
                  <c:v>FY 2010</c:v>
                </c:pt>
              </c:strCache>
            </c:strRef>
          </c:cat>
          <c:val>
            <c:numRef>
              <c:f>trend!$B$43:$F$43</c:f>
              <c:numCache>
                <c:formatCode>0%</c:formatCode>
                <c:ptCount val="5"/>
                <c:pt idx="0">
                  <c:v>0.27</c:v>
                </c:pt>
                <c:pt idx="1">
                  <c:v>0.24000000000000021</c:v>
                </c:pt>
                <c:pt idx="2">
                  <c:v>0.27</c:v>
                </c:pt>
                <c:pt idx="3">
                  <c:v>0.25</c:v>
                </c:pt>
                <c:pt idx="4">
                  <c:v>0.23</c:v>
                </c:pt>
              </c:numCache>
            </c:numRef>
          </c:val>
        </c:ser>
        <c:ser>
          <c:idx val="2"/>
          <c:order val="2"/>
          <c:tx>
            <c:strRef>
              <c:f>trend!$A$44</c:f>
              <c:strCache>
                <c:ptCount val="1"/>
                <c:pt idx="0">
                  <c:v>Non-urban</c:v>
                </c:pt>
              </c:strCache>
            </c:strRef>
          </c:tx>
          <c:dLbls>
            <c:txPr>
              <a:bodyPr/>
              <a:lstStyle/>
              <a:p>
                <a:pPr>
                  <a:defRPr>
                    <a:solidFill>
                      <a:schemeClr val="bg1"/>
                    </a:solidFill>
                  </a:defRPr>
                </a:pPr>
                <a:endParaRPr lang="en-US"/>
              </a:p>
            </c:txPr>
            <c:showVal val="1"/>
          </c:dLbls>
          <c:cat>
            <c:strRef>
              <c:f>trend!$B$41:$F$41</c:f>
              <c:strCache>
                <c:ptCount val="5"/>
                <c:pt idx="0">
                  <c:v>FY 2006</c:v>
                </c:pt>
                <c:pt idx="1">
                  <c:v>FY 2007</c:v>
                </c:pt>
                <c:pt idx="2">
                  <c:v>FY 2008</c:v>
                </c:pt>
                <c:pt idx="3">
                  <c:v>FY 2009</c:v>
                </c:pt>
                <c:pt idx="4">
                  <c:v>FY 2010</c:v>
                </c:pt>
              </c:strCache>
            </c:strRef>
          </c:cat>
          <c:val>
            <c:numRef>
              <c:f>trend!$B$44:$F$44</c:f>
              <c:numCache>
                <c:formatCode>0%</c:formatCode>
                <c:ptCount val="5"/>
                <c:pt idx="0">
                  <c:v>0.27</c:v>
                </c:pt>
                <c:pt idx="1">
                  <c:v>0.25</c:v>
                </c:pt>
                <c:pt idx="2">
                  <c:v>0.25</c:v>
                </c:pt>
                <c:pt idx="3">
                  <c:v>0.31000000000000155</c:v>
                </c:pt>
                <c:pt idx="4">
                  <c:v>0.30000000000000032</c:v>
                </c:pt>
              </c:numCache>
            </c:numRef>
          </c:val>
        </c:ser>
        <c:dLbls>
          <c:showVal val="1"/>
        </c:dLbls>
        <c:overlap val="100"/>
        <c:serLines/>
        <c:axId val="180406528"/>
        <c:axId val="184422400"/>
      </c:barChart>
      <c:catAx>
        <c:axId val="180406528"/>
        <c:scaling>
          <c:orientation val="minMax"/>
        </c:scaling>
        <c:axPos val="b"/>
        <c:tickLblPos val="nextTo"/>
        <c:crossAx val="184422400"/>
        <c:crosses val="autoZero"/>
        <c:auto val="1"/>
        <c:lblAlgn val="ctr"/>
        <c:lblOffset val="100"/>
      </c:catAx>
      <c:valAx>
        <c:axId val="184422400"/>
        <c:scaling>
          <c:orientation val="minMax"/>
        </c:scaling>
        <c:axPos val="l"/>
        <c:majorGridlines/>
        <c:numFmt formatCode="0%" sourceLinked="1"/>
        <c:tickLblPos val="nextTo"/>
        <c:crossAx val="180406528"/>
        <c:crosses val="autoZero"/>
        <c:crossBetween val="between"/>
      </c:valAx>
    </c:plotArea>
    <c:legend>
      <c:legendPos val="b"/>
      <c:spPr>
        <a:ln>
          <a:noFill/>
        </a:ln>
      </c:spPr>
    </c:legend>
    <c:plotVisOnly val="1"/>
  </c:chart>
  <c:spPr>
    <a:ln>
      <a:noFill/>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bar"/>
        <c:grouping val="clustered"/>
        <c:ser>
          <c:idx val="0"/>
          <c:order val="0"/>
          <c:cat>
            <c:strRef>
              <c:f>'trips versus service'!$A$35:$A$44</c:f>
              <c:strCache>
                <c:ptCount val="10"/>
                <c:pt idx="0">
                  <c:v>Vanpool vehicles (N=4)</c:v>
                </c:pt>
                <c:pt idx="1">
                  <c:v>Vehicle for agency (N=32)</c:v>
                </c:pt>
                <c:pt idx="2">
                  <c:v>Vehicle for individual (N=31)</c:v>
                </c:pt>
                <c:pt idx="3">
                  <c:v>Mobility manager (N=65)</c:v>
                </c:pt>
                <c:pt idx="4">
                  <c:v>User-side subsidy  (N=38)</c:v>
                </c:pt>
                <c:pt idx="5">
                  <c:v>Vanpool  (N=28)</c:v>
                </c:pt>
                <c:pt idx="6">
                  <c:v>Shuttle/Feeder (N=52)</c:v>
                </c:pt>
                <c:pt idx="7">
                  <c:v>Flexible routing  (N=61)</c:v>
                </c:pt>
                <c:pt idx="8">
                  <c:v>Demand response  (N=237)</c:v>
                </c:pt>
                <c:pt idx="9">
                  <c:v>Fixed route  (N=397)</c:v>
                </c:pt>
              </c:strCache>
            </c:strRef>
          </c:cat>
          <c:val>
            <c:numRef>
              <c:f>'trips versus service'!$B$35:$B$44</c:f>
              <c:numCache>
                <c:formatCode>_(* #,##0_);_(* \(#,##0\);_(* "-"??_);_(@_)</c:formatCode>
                <c:ptCount val="10"/>
                <c:pt idx="0">
                  <c:v>38</c:v>
                </c:pt>
                <c:pt idx="1">
                  <c:v>112090</c:v>
                </c:pt>
                <c:pt idx="2">
                  <c:v>265831</c:v>
                </c:pt>
                <c:pt idx="3">
                  <c:v>375254</c:v>
                </c:pt>
                <c:pt idx="4">
                  <c:v>572997</c:v>
                </c:pt>
                <c:pt idx="5">
                  <c:v>870453</c:v>
                </c:pt>
                <c:pt idx="6">
                  <c:v>1229871</c:v>
                </c:pt>
                <c:pt idx="7">
                  <c:v>1431176</c:v>
                </c:pt>
                <c:pt idx="8">
                  <c:v>3054526</c:v>
                </c:pt>
                <c:pt idx="9">
                  <c:v>47363009.100000009</c:v>
                </c:pt>
              </c:numCache>
            </c:numRef>
          </c:val>
        </c:ser>
        <c:axId val="184428416"/>
        <c:axId val="184429952"/>
      </c:barChart>
      <c:catAx>
        <c:axId val="184428416"/>
        <c:scaling>
          <c:orientation val="minMax"/>
        </c:scaling>
        <c:axPos val="l"/>
        <c:tickLblPos val="nextTo"/>
        <c:crossAx val="184429952"/>
        <c:crosses val="autoZero"/>
        <c:auto val="1"/>
        <c:lblAlgn val="ctr"/>
        <c:lblOffset val="100"/>
      </c:catAx>
      <c:valAx>
        <c:axId val="184429952"/>
        <c:scaling>
          <c:orientation val="minMax"/>
        </c:scaling>
        <c:axPos val="b"/>
        <c:majorGridlines/>
        <c:numFmt formatCode="_(* #,##0_);_(* \(#,##0\);_(* &quot;-&quot;??_);_(@_)" sourceLinked="1"/>
        <c:tickLblPos val="nextTo"/>
        <c:crossAx val="184428416"/>
        <c:crosses val="autoZero"/>
        <c:crossBetween val="between"/>
        <c:majorUnit val="10000000"/>
        <c:dispUnits>
          <c:builtInUnit val="thousands"/>
          <c:dispUnitsLbl>
            <c:layout>
              <c:manualLayout>
                <c:xMode val="edge"/>
                <c:yMode val="edge"/>
                <c:x val="0.51489143402529736"/>
                <c:y val="0.94767208843420103"/>
              </c:manualLayout>
            </c:layout>
            <c:tx>
              <c:rich>
                <a:bodyPr/>
                <a:lstStyle/>
                <a:p>
                  <a:pPr>
                    <a:defRPr/>
                  </a:pPr>
                  <a:r>
                    <a:rPr lang="en-US" b="0"/>
                    <a:t>One-way</a:t>
                  </a:r>
                  <a:r>
                    <a:rPr lang="en-US" b="0" baseline="0"/>
                    <a:t> trips (000)</a:t>
                  </a:r>
                  <a:endParaRPr lang="en-US" b="0"/>
                </a:p>
              </c:rich>
            </c:tx>
          </c:dispUnitsLbl>
        </c:dispUnits>
      </c:valAx>
    </c:plotArea>
    <c:plotVisOnly val="1"/>
  </c:chart>
  <c:spPr>
    <a:ln>
      <a:noFill/>
    </a:ln>
  </c:spPr>
  <c:externalData r:id="rId1"/>
</c:chartSpace>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Solstice">
  <a:themeElements>
    <a:clrScheme name="Solstice">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Solstice">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Solstice">
      <a:fillStyleLst>
        <a:solidFill>
          <a:schemeClr val="phClr"/>
        </a:solidFill>
        <a:gradFill rotWithShape="1">
          <a:gsLst>
            <a:gs pos="0">
              <a:schemeClr val="phClr">
                <a:tint val="35000"/>
                <a:satMod val="253000"/>
              </a:schemeClr>
            </a:gs>
            <a:gs pos="50000">
              <a:schemeClr val="phClr">
                <a:tint val="42000"/>
                <a:satMod val="255000"/>
              </a:schemeClr>
            </a:gs>
            <a:gs pos="97000">
              <a:schemeClr val="phClr">
                <a:tint val="53000"/>
                <a:satMod val="260000"/>
              </a:schemeClr>
            </a:gs>
            <a:gs pos="100000">
              <a:schemeClr val="phClr">
                <a:tint val="56000"/>
                <a:satMod val="275000"/>
              </a:schemeClr>
            </a:gs>
          </a:gsLst>
          <a:path path="circle">
            <a:fillToRect l="50000" t="50000" r="50000" b="50000"/>
          </a:path>
        </a:gradFill>
        <a:gradFill rotWithShape="1">
          <a:gsLst>
            <a:gs pos="0">
              <a:schemeClr val="phClr">
                <a:tint val="92000"/>
                <a:satMod val="170000"/>
              </a:schemeClr>
            </a:gs>
            <a:gs pos="15000">
              <a:schemeClr val="phClr">
                <a:tint val="92000"/>
                <a:shade val="99000"/>
                <a:satMod val="170000"/>
              </a:schemeClr>
            </a:gs>
            <a:gs pos="62000">
              <a:schemeClr val="phClr">
                <a:tint val="96000"/>
                <a:shade val="80000"/>
                <a:satMod val="170000"/>
              </a:schemeClr>
            </a:gs>
            <a:gs pos="97000">
              <a:schemeClr val="phClr">
                <a:tint val="98000"/>
                <a:shade val="63000"/>
                <a:satMod val="170000"/>
              </a:schemeClr>
            </a:gs>
            <a:gs pos="100000">
              <a:schemeClr val="phClr">
                <a:shade val="62000"/>
                <a:satMod val="170000"/>
              </a:schemeClr>
            </a:gs>
          </a:gsLst>
          <a:path path="circle">
            <a:fillToRect l="50000" t="50000" r="50000" b="50000"/>
          </a:path>
        </a:gradFill>
      </a:fillStyleLst>
      <a:lnStyleLst>
        <a:ln w="9525" cap="flat" cmpd="sng" algn="ctr">
          <a:solidFill>
            <a:schemeClr val="phClr"/>
          </a:solidFill>
          <a:prstDash val="solid"/>
        </a:ln>
        <a:ln w="254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5400000" rotWithShape="0">
              <a:srgbClr val="000000">
                <a:alpha val="43137"/>
              </a:srgbClr>
            </a:outerShdw>
          </a:effectLst>
        </a:effectStyle>
        <a:effectStyle>
          <a:effectLst>
            <a:outerShdw blurRad="63500" dist="25400" dir="5400000" rotWithShape="0">
              <a:srgbClr val="000000">
                <a:alpha val="43137"/>
              </a:srgbClr>
            </a:outerShdw>
          </a:effectLst>
          <a:scene3d>
            <a:camera prst="orthographicFront" fov="0">
              <a:rot lat="0" lon="0" rev="0"/>
            </a:camera>
            <a:lightRig rig="brightRoom" dir="tl">
              <a:rot lat="0" lon="0" rev="8700000"/>
            </a:lightRig>
          </a:scene3d>
          <a:sp3d contourW="12700">
            <a:bevelT w="0" h="0"/>
            <a:contourClr>
              <a:schemeClr val="phClr">
                <a:shade val="80000"/>
              </a:schemeClr>
            </a:contourClr>
          </a:sp3d>
        </a:effectStyle>
        <a:effectStyle>
          <a:effectLst>
            <a:outerShdw blurRad="63500" dist="25400" dir="5400000" rotWithShape="0">
              <a:srgbClr val="000000">
                <a:alpha val="43137"/>
              </a:srgbClr>
            </a:outerShdw>
          </a:effectLst>
          <a:scene3d>
            <a:camera prst="orthographicFront" fov="0">
              <a:rot lat="0" lon="0" rev="0"/>
            </a:camera>
            <a:lightRig rig="brightRoom" dir="tl">
              <a:rot lat="0" lon="0" rev="5400000"/>
            </a:lightRig>
          </a:scene3d>
          <a:sp3d contourW="12700">
            <a:bevelT w="25400" h="50800" prst="angle"/>
            <a:contourClr>
              <a:schemeClr val="phClr"/>
            </a:contourClr>
          </a:sp3d>
        </a:effectStyle>
      </a:effectStyleLst>
      <a:bgFillStyleLst>
        <a:solidFill>
          <a:schemeClr val="phClr"/>
        </a:solidFill>
        <a:gradFill rotWithShape="1">
          <a:gsLst>
            <a:gs pos="0">
              <a:schemeClr val="phClr">
                <a:tint val="60000"/>
                <a:satMod val="355000"/>
              </a:schemeClr>
            </a:gs>
            <a:gs pos="40000">
              <a:schemeClr val="phClr">
                <a:tint val="85000"/>
                <a:satMod val="320000"/>
              </a:schemeClr>
            </a:gs>
            <a:gs pos="100000">
              <a:schemeClr val="phClr">
                <a:shade val="55000"/>
                <a:satMod val="300000"/>
              </a:schemeClr>
            </a:gs>
          </a:gsLst>
          <a:path path="circle">
            <a:fillToRect l="-24500" t="-20000" r="124500" b="120000"/>
          </a:path>
        </a:gradFill>
        <a:blipFill>
          <a:blip xmlns:r="http://schemas.openxmlformats.org/officeDocument/2006/relationships" r:embed="rId1">
            <a:duotone>
              <a:schemeClr val="phClr">
                <a:shade val="9000"/>
                <a:satMod val="300000"/>
              </a:schemeClr>
              <a:schemeClr val="phClr">
                <a:tint val="90000"/>
                <a:satMod val="225000"/>
              </a:schemeClr>
            </a:duotone>
          </a:blip>
          <a:tile tx="0" ty="0" sx="90000" sy="90000" flip="xy"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2010-07-22T00:00:00</PublishDate>
  <Abstract/>
  <CompanyAddress/>
  <CompanyPhone/>
  <CompanyFax/>
  <CompanyEmail/>
</CoverPageProperties>
</file>

<file path=customXml/item2.xml><?xml version="1.0" encoding="utf-8"?>
<tns:customPropertyEditors xmlns:tns="http://schemas.microsoft.com/office/2006/customDocumentInformationPanel">
  <tns:showOnOpen/>
  <tns:defaultPropertyEditorNamespace/>
</tns:customPropertyEditor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5297A3-F999-42B8-B2C1-CB5E6CFA54CD}">
  <ds:schemaRefs>
    <ds:schemaRef ds:uri="http://schemas.microsoft.com/office/2006/customDocumentInformationPanel"/>
  </ds:schemaRefs>
</ds:datastoreItem>
</file>

<file path=customXml/itemProps3.xml><?xml version="1.0" encoding="utf-8"?>
<ds:datastoreItem xmlns:ds="http://schemas.openxmlformats.org/officeDocument/2006/customXml" ds:itemID="{8F607607-A677-4510-BC30-2DC732E25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UrbanReport</Template>
  <TotalTime>1</TotalTime>
  <Pages>87</Pages>
  <Words>21956</Words>
  <Characters>119441</Characters>
  <Application>Microsoft Office Word</Application>
  <DocSecurity>0</DocSecurity>
  <Lines>5972</Lines>
  <Paragraphs>4875</Paragraphs>
  <ScaleCrop>false</ScaleCrop>
  <HeadingPairs>
    <vt:vector size="2" baseType="variant">
      <vt:variant>
        <vt:lpstr>Title</vt:lpstr>
      </vt:variant>
      <vt:variant>
        <vt:i4>1</vt:i4>
      </vt:variant>
    </vt:vector>
  </HeadingPairs>
  <TitlesOfParts>
    <vt:vector size="1" baseType="lpstr">
      <vt:lpstr>Connecting People to Employment</vt:lpstr>
    </vt:vector>
  </TitlesOfParts>
  <Company/>
  <LinksUpToDate>false</LinksUpToDate>
  <CharactersWithSpaces>136522</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Connecting People to Employment</dc:title>
  <dc:subject>An Evaluation of Job Access and Reverse Commute (JARC) Program Services Provided in 2010</dc:subject>
  <dc:creator>CES, Inc.</dc:creator>
  <cp:lastModifiedBy>Susan</cp:lastModifiedBy>
  <cp:revision>2</cp:revision>
  <cp:lastPrinted>2011-10-04T21:01:00Z</cp:lastPrinted>
  <dcterms:created xsi:type="dcterms:W3CDTF">2011-10-25T17:33:00Z</dcterms:created>
  <dcterms:modified xsi:type="dcterms:W3CDTF">2011-10-25T17:33:00Z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LCID">
    <vt:i4>1033</vt:i4>
  </property>
  <property fmtid="{D5CDD505-2E9C-101B-9397-08002B2CF9AE}" pid="3" name="_Version">
    <vt:lpwstr>0809</vt:lpwstr>
  </property>
</Properties>
</file>