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76" w:rsidRDefault="00765676">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F80A8D" w:rsidRDefault="00F80A8D">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F80A8D" w:rsidRDefault="00F80A8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THE </w:t>
      </w:r>
    </w:p>
    <w:p w:rsidR="005E6D56" w:rsidRDefault="00CB5A60" w:rsidP="006C274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San D</w:t>
      </w:r>
      <w:r w:rsidR="005E6D56">
        <w:rPr>
          <w:b/>
          <w:sz w:val="32"/>
        </w:rPr>
        <w:t>iego Association of Governments</w:t>
      </w:r>
    </w:p>
    <w:p w:rsidR="006C274C" w:rsidRDefault="006C274C" w:rsidP="006C274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w:t>
      </w:r>
      <w:r w:rsidR="00CB5A60">
        <w:rPr>
          <w:b/>
          <w:sz w:val="32"/>
        </w:rPr>
        <w:t>SANDAG</w:t>
      </w:r>
      <w:r>
        <w:rPr>
          <w:b/>
          <w:sz w:val="32"/>
        </w:rPr>
        <w:t>)</w:t>
      </w:r>
    </w:p>
    <w:p w:rsidR="00F80A8D" w:rsidRDefault="00CB5A60" w:rsidP="006C274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San Diego, California</w:t>
      </w:r>
    </w:p>
    <w:p w:rsidR="00F80A8D" w:rsidRDefault="00F80A8D">
      <w:pPr>
        <w:spacing w:line="480" w:lineRule="auto"/>
        <w:jc w:val="center"/>
        <w:rPr>
          <w:b/>
          <w:sz w:val="28"/>
        </w:rPr>
      </w:pPr>
    </w:p>
    <w:p w:rsidR="00F80A8D" w:rsidRDefault="005A50D6">
      <w:pPr>
        <w:spacing w:line="480" w:lineRule="auto"/>
        <w:jc w:val="center"/>
        <w:rPr>
          <w:b/>
          <w:sz w:val="28"/>
        </w:rPr>
      </w:pPr>
      <w:r>
        <w:rPr>
          <w:b/>
          <w:sz w:val="28"/>
        </w:rPr>
        <w:t>Final</w:t>
      </w:r>
      <w:r w:rsidR="00F80A8D">
        <w:rPr>
          <w:b/>
          <w:sz w:val="28"/>
        </w:rPr>
        <w:t xml:space="preserve"> Report</w:t>
      </w:r>
    </w:p>
    <w:p w:rsidR="00F80A8D" w:rsidRDefault="005A50D6">
      <w:pPr>
        <w:spacing w:line="480" w:lineRule="auto"/>
        <w:jc w:val="center"/>
        <w:rPr>
          <w:sz w:val="24"/>
        </w:rPr>
      </w:pPr>
      <w:r>
        <w:rPr>
          <w:b/>
          <w:sz w:val="28"/>
        </w:rPr>
        <w:t>October</w:t>
      </w:r>
      <w:r w:rsidR="00E10A1F">
        <w:rPr>
          <w:b/>
          <w:sz w:val="28"/>
        </w:rPr>
        <w:t xml:space="preserve"> 2011</w:t>
      </w:r>
    </w:p>
    <w:p w:rsidR="00F80A8D" w:rsidRDefault="00F80A8D" w:rsidP="00693350">
      <w:pPr>
        <w:jc w:val="center"/>
        <w:rPr>
          <w:b/>
          <w:sz w:val="28"/>
          <w:szCs w:val="28"/>
        </w:rPr>
      </w:pPr>
      <w:r>
        <w:rPr>
          <w:b/>
          <w:sz w:val="28"/>
          <w:szCs w:val="28"/>
        </w:rPr>
        <w:t>Prepared For</w:t>
      </w:r>
    </w:p>
    <w:p w:rsidR="00F80A8D" w:rsidRDefault="00F80A8D">
      <w:pPr>
        <w:jc w:val="center"/>
        <w:rPr>
          <w:b/>
          <w:sz w:val="28"/>
          <w:szCs w:val="28"/>
        </w:rPr>
      </w:pPr>
    </w:p>
    <w:p w:rsidR="00F80A8D" w:rsidRDefault="00F80A8D">
      <w:pPr>
        <w:jc w:val="center"/>
        <w:rPr>
          <w:b/>
          <w:sz w:val="28"/>
          <w:szCs w:val="28"/>
        </w:rPr>
      </w:pPr>
      <w:smartTag w:uri="urn:schemas-microsoft-com:office:smarttags" w:element="country-region">
        <w:smartTag w:uri="urn:schemas-microsoft-com:office:smarttags" w:element="place">
          <w:r>
            <w:rPr>
              <w:b/>
              <w:sz w:val="28"/>
              <w:szCs w:val="28"/>
            </w:rPr>
            <w:t>U.S.</w:t>
          </w:r>
        </w:smartTag>
      </w:smartTag>
      <w:r>
        <w:rPr>
          <w:b/>
          <w:sz w:val="28"/>
          <w:szCs w:val="28"/>
        </w:rPr>
        <w:t xml:space="preserve"> DEPARTMENT OF TRANSPORATION</w:t>
      </w:r>
    </w:p>
    <w:p w:rsidR="00F80A8D" w:rsidRDefault="00F80A8D">
      <w:pPr>
        <w:jc w:val="center"/>
        <w:rPr>
          <w:b/>
          <w:sz w:val="28"/>
          <w:szCs w:val="28"/>
        </w:rPr>
      </w:pPr>
      <w:r>
        <w:rPr>
          <w:b/>
          <w:sz w:val="28"/>
          <w:szCs w:val="28"/>
        </w:rPr>
        <w:t>FEDERAL TRANSIT ADMINISTRATION</w:t>
      </w:r>
    </w:p>
    <w:p w:rsidR="00F80A8D" w:rsidRDefault="00F80A8D">
      <w:pPr>
        <w:jc w:val="center"/>
        <w:rPr>
          <w:b/>
          <w:sz w:val="24"/>
        </w:rPr>
      </w:pPr>
      <w:r>
        <w:rPr>
          <w:b/>
          <w:sz w:val="28"/>
          <w:szCs w:val="28"/>
        </w:rPr>
        <w:t>OFFICE OF CIVIL RIGHTS</w:t>
      </w:r>
    </w:p>
    <w:p w:rsidR="00F80A8D" w:rsidRDefault="00F80A8D">
      <w:pPr>
        <w:jc w:val="center"/>
        <w:rPr>
          <w:sz w:val="24"/>
        </w:rPr>
      </w:pPr>
    </w:p>
    <w:p w:rsidR="00F80A8D" w:rsidRDefault="00F80A8D">
      <w:pPr>
        <w:jc w:val="center"/>
        <w:rPr>
          <w:sz w:val="24"/>
        </w:rPr>
      </w:pPr>
    </w:p>
    <w:p w:rsidR="00F80A8D" w:rsidRDefault="00F80A8D">
      <w:pPr>
        <w:jc w:val="center"/>
        <w:rPr>
          <w:sz w:val="24"/>
        </w:rPr>
      </w:pPr>
    </w:p>
    <w:p w:rsidR="00F80A8D" w:rsidRDefault="00F80A8D" w:rsidP="00035671">
      <w:pPr>
        <w:ind w:right="-720"/>
        <w:rPr>
          <w:sz w:val="24"/>
        </w:rPr>
      </w:pPr>
    </w:p>
    <w:p w:rsidR="00F80A8D" w:rsidRDefault="00F80A8D">
      <w:pPr>
        <w:rPr>
          <w:sz w:val="24"/>
        </w:rPr>
      </w:pPr>
    </w:p>
    <w:p w:rsidR="00F80A8D" w:rsidRDefault="00F80A8D">
      <w:pPr>
        <w:jc w:val="center"/>
        <w:rPr>
          <w:b/>
          <w:sz w:val="28"/>
          <w:szCs w:val="28"/>
        </w:rPr>
      </w:pPr>
      <w:r>
        <w:rPr>
          <w:b/>
          <w:sz w:val="28"/>
          <w:szCs w:val="28"/>
        </w:rPr>
        <w:t>Prepared By</w:t>
      </w:r>
    </w:p>
    <w:p w:rsidR="00F80A8D" w:rsidRDefault="00F80A8D">
      <w:pPr>
        <w:jc w:val="center"/>
        <w:rPr>
          <w:b/>
          <w:sz w:val="28"/>
          <w:szCs w:val="28"/>
        </w:rPr>
      </w:pPr>
    </w:p>
    <w:p w:rsidR="00F80A8D" w:rsidRDefault="00F80A8D">
      <w:pPr>
        <w:jc w:val="center"/>
        <w:rPr>
          <w:b/>
          <w:sz w:val="28"/>
          <w:szCs w:val="28"/>
        </w:rPr>
      </w:pPr>
      <w:r>
        <w:rPr>
          <w:b/>
          <w:sz w:val="28"/>
          <w:szCs w:val="28"/>
        </w:rPr>
        <w:t>THE DMP GROUP, LLC</w:t>
      </w:r>
    </w:p>
    <w:p w:rsidR="00F80A8D" w:rsidRDefault="00BB2536">
      <w:pPr>
        <w:jc w:val="center"/>
        <w:rPr>
          <w:b/>
          <w:sz w:val="28"/>
          <w:szCs w:val="28"/>
        </w:rPr>
      </w:pPr>
      <w:r>
        <w:rPr>
          <w:b/>
          <w:sz w:val="28"/>
          <w:szCs w:val="28"/>
        </w:rPr>
        <w:t>2233</w:t>
      </w:r>
      <w:r w:rsidR="00CA1585">
        <w:rPr>
          <w:b/>
          <w:sz w:val="28"/>
          <w:szCs w:val="28"/>
        </w:rPr>
        <w:t xml:space="preserve"> </w:t>
      </w:r>
      <w:r>
        <w:rPr>
          <w:b/>
          <w:sz w:val="28"/>
          <w:szCs w:val="28"/>
        </w:rPr>
        <w:t>Wisconsin</w:t>
      </w:r>
      <w:r w:rsidR="00CA1585">
        <w:rPr>
          <w:b/>
          <w:sz w:val="28"/>
          <w:szCs w:val="28"/>
        </w:rPr>
        <w:t xml:space="preserve"> Avenue NW</w:t>
      </w:r>
    </w:p>
    <w:p w:rsidR="00BB2536" w:rsidRDefault="00BB2536">
      <w:pPr>
        <w:jc w:val="center"/>
        <w:rPr>
          <w:b/>
          <w:sz w:val="28"/>
          <w:szCs w:val="28"/>
        </w:rPr>
      </w:pPr>
      <w:r>
        <w:rPr>
          <w:b/>
          <w:sz w:val="28"/>
          <w:szCs w:val="28"/>
        </w:rPr>
        <w:t>Suite 405</w:t>
      </w:r>
    </w:p>
    <w:p w:rsidR="00F80A8D" w:rsidRDefault="00CA1585">
      <w:pPr>
        <w:jc w:val="center"/>
        <w:rPr>
          <w:b/>
          <w:sz w:val="28"/>
          <w:szCs w:val="28"/>
        </w:rPr>
      </w:pPr>
      <w:r>
        <w:rPr>
          <w:b/>
          <w:sz w:val="28"/>
          <w:szCs w:val="28"/>
        </w:rPr>
        <w:t>Washington, DC 200</w:t>
      </w:r>
      <w:r w:rsidR="00BB2536">
        <w:rPr>
          <w:b/>
          <w:sz w:val="28"/>
          <w:szCs w:val="28"/>
        </w:rPr>
        <w:t>07</w:t>
      </w:r>
    </w:p>
    <w:p w:rsidR="00F80A8D" w:rsidRDefault="00F80A8D">
      <w:pPr>
        <w:jc w:val="center"/>
        <w:rPr>
          <w:b/>
          <w:sz w:val="28"/>
          <w:szCs w:val="28"/>
        </w:rPr>
      </w:pPr>
    </w:p>
    <w:p w:rsidR="00F80A8D" w:rsidRDefault="00F80A8D">
      <w:pPr>
        <w:jc w:val="center"/>
        <w:rPr>
          <w:b/>
          <w:i/>
          <w:iCs/>
          <w:sz w:val="24"/>
          <w:u w:val="single"/>
        </w:rPr>
      </w:pPr>
    </w:p>
    <w:p w:rsidR="00F80A8D" w:rsidRDefault="00F80A8D">
      <w:pPr>
        <w:jc w:val="center"/>
        <w:rPr>
          <w:sz w:val="24"/>
        </w:rPr>
      </w:pPr>
      <w:r>
        <w:rPr>
          <w:b/>
          <w:sz w:val="24"/>
        </w:rPr>
        <w:br w:type="page"/>
      </w:r>
    </w:p>
    <w:p w:rsidR="00F80A8D" w:rsidRDefault="00F80A8D">
      <w:pPr>
        <w:jc w:val="center"/>
        <w:rPr>
          <w:sz w:val="28"/>
          <w:u w:val="single"/>
        </w:rPr>
      </w:pPr>
      <w:r>
        <w:rPr>
          <w:sz w:val="28"/>
          <w:u w:val="single"/>
        </w:rPr>
        <w:lastRenderedPageBreak/>
        <w:t>Table of Contents</w:t>
      </w:r>
    </w:p>
    <w:p w:rsidR="00F80A8D" w:rsidRDefault="00F80A8D">
      <w:pPr>
        <w:jc w:val="center"/>
        <w:rPr>
          <w:sz w:val="28"/>
          <w:u w:val="single"/>
        </w:rPr>
      </w:pPr>
    </w:p>
    <w:p w:rsidR="00F80A8D" w:rsidRDefault="00F80A8D">
      <w:pPr>
        <w:jc w:val="center"/>
        <w:rPr>
          <w:sz w:val="28"/>
          <w:u w:val="single"/>
        </w:rPr>
      </w:pPr>
    </w:p>
    <w:p w:rsidR="00F14DCD" w:rsidRDefault="007F764D">
      <w:pPr>
        <w:pStyle w:val="TOC1"/>
        <w:rPr>
          <w:rFonts w:asciiTheme="minorHAnsi" w:eastAsiaTheme="minorEastAsia" w:hAnsiTheme="minorHAnsi" w:cstheme="minorBidi"/>
          <w:b w:val="0"/>
          <w:sz w:val="22"/>
          <w:szCs w:val="22"/>
        </w:rPr>
      </w:pPr>
      <w:r w:rsidRPr="007F764D">
        <w:rPr>
          <w:sz w:val="28"/>
          <w:szCs w:val="28"/>
        </w:rPr>
        <w:fldChar w:fldCharType="begin"/>
      </w:r>
      <w:r w:rsidR="004D1FBA">
        <w:rPr>
          <w:sz w:val="28"/>
          <w:szCs w:val="28"/>
        </w:rPr>
        <w:instrText xml:space="preserve"> TOC \o "1-2" </w:instrText>
      </w:r>
      <w:r w:rsidRPr="007F764D">
        <w:rPr>
          <w:sz w:val="28"/>
          <w:szCs w:val="28"/>
        </w:rPr>
        <w:fldChar w:fldCharType="separate"/>
      </w:r>
      <w:r w:rsidR="00F14DCD" w:rsidRPr="005E4C9B">
        <w:t>I.</w:t>
      </w:r>
      <w:r w:rsidR="00F14DCD">
        <w:rPr>
          <w:rFonts w:asciiTheme="minorHAnsi" w:eastAsiaTheme="minorEastAsia" w:hAnsiTheme="minorHAnsi" w:cstheme="minorBidi"/>
          <w:b w:val="0"/>
          <w:sz w:val="22"/>
          <w:szCs w:val="22"/>
        </w:rPr>
        <w:tab/>
      </w:r>
      <w:r w:rsidR="00F14DCD">
        <w:t>GENERAL INFORMATION</w:t>
      </w:r>
      <w:r w:rsidR="00F14DCD">
        <w:tab/>
      </w:r>
      <w:r>
        <w:fldChar w:fldCharType="begin"/>
      </w:r>
      <w:r w:rsidR="00F14DCD">
        <w:instrText xml:space="preserve"> PAGEREF _Toc315152499 \h </w:instrText>
      </w:r>
      <w:r>
        <w:fldChar w:fldCharType="separate"/>
      </w:r>
      <w:r w:rsidR="00DC1F88">
        <w:t>1</w:t>
      </w:r>
      <w:r>
        <w:fldChar w:fldCharType="end"/>
      </w:r>
    </w:p>
    <w:p w:rsidR="00F14DCD" w:rsidRDefault="00F14DCD">
      <w:pPr>
        <w:pStyle w:val="TOC1"/>
        <w:rPr>
          <w:rFonts w:asciiTheme="minorHAnsi" w:eastAsiaTheme="minorEastAsia" w:hAnsiTheme="minorHAnsi" w:cstheme="minorBidi"/>
          <w:b w:val="0"/>
          <w:sz w:val="22"/>
          <w:szCs w:val="22"/>
        </w:rPr>
      </w:pPr>
      <w:r w:rsidRPr="005E4C9B">
        <w:t>II.</w:t>
      </w:r>
      <w:r>
        <w:rPr>
          <w:rFonts w:asciiTheme="minorHAnsi" w:eastAsiaTheme="minorEastAsia" w:hAnsiTheme="minorHAnsi" w:cstheme="minorBidi"/>
          <w:b w:val="0"/>
          <w:sz w:val="22"/>
          <w:szCs w:val="22"/>
        </w:rPr>
        <w:tab/>
      </w:r>
      <w:r>
        <w:t>JURISDICTION AND AUTHORITIES</w:t>
      </w:r>
      <w:r>
        <w:tab/>
      </w:r>
      <w:r w:rsidR="007F764D">
        <w:fldChar w:fldCharType="begin"/>
      </w:r>
      <w:r>
        <w:instrText xml:space="preserve"> PAGEREF _Toc315152500 \h </w:instrText>
      </w:r>
      <w:r w:rsidR="007F764D">
        <w:fldChar w:fldCharType="separate"/>
      </w:r>
      <w:r w:rsidR="00DC1F88">
        <w:t>2</w:t>
      </w:r>
      <w:r w:rsidR="007F764D">
        <w:fldChar w:fldCharType="end"/>
      </w:r>
    </w:p>
    <w:p w:rsidR="00F14DCD" w:rsidRDefault="00F14DCD">
      <w:pPr>
        <w:pStyle w:val="TOC1"/>
        <w:rPr>
          <w:rFonts w:asciiTheme="minorHAnsi" w:eastAsiaTheme="minorEastAsia" w:hAnsiTheme="minorHAnsi" w:cstheme="minorBidi"/>
          <w:b w:val="0"/>
          <w:sz w:val="22"/>
          <w:szCs w:val="22"/>
        </w:rPr>
      </w:pPr>
      <w:r w:rsidRPr="005E4C9B">
        <w:t>III.</w:t>
      </w:r>
      <w:r>
        <w:rPr>
          <w:rFonts w:asciiTheme="minorHAnsi" w:eastAsiaTheme="minorEastAsia" w:hAnsiTheme="minorHAnsi" w:cstheme="minorBidi"/>
          <w:b w:val="0"/>
          <w:sz w:val="22"/>
          <w:szCs w:val="22"/>
        </w:rPr>
        <w:tab/>
      </w:r>
      <w:r>
        <w:t>PURPOSE AND OBJECTIVES</w:t>
      </w:r>
      <w:r>
        <w:tab/>
      </w:r>
      <w:r w:rsidR="007F764D">
        <w:fldChar w:fldCharType="begin"/>
      </w:r>
      <w:r>
        <w:instrText xml:space="preserve"> PAGEREF _Toc315152501 \h </w:instrText>
      </w:r>
      <w:r w:rsidR="007F764D">
        <w:fldChar w:fldCharType="separate"/>
      </w:r>
      <w:r w:rsidR="00DC1F88">
        <w:t>3</w:t>
      </w:r>
      <w:r w:rsidR="007F764D">
        <w:fldChar w:fldCharType="end"/>
      </w:r>
    </w:p>
    <w:p w:rsidR="00F14DCD" w:rsidRDefault="00F14DCD">
      <w:pPr>
        <w:pStyle w:val="TOC1"/>
        <w:rPr>
          <w:rFonts w:asciiTheme="minorHAnsi" w:eastAsiaTheme="minorEastAsia" w:hAnsiTheme="minorHAnsi" w:cstheme="minorBidi"/>
          <w:b w:val="0"/>
          <w:sz w:val="22"/>
          <w:szCs w:val="22"/>
        </w:rPr>
      </w:pPr>
      <w:r w:rsidRPr="005E4C9B">
        <w:t>IV.</w:t>
      </w:r>
      <w:r>
        <w:rPr>
          <w:rFonts w:asciiTheme="minorHAnsi" w:eastAsiaTheme="minorEastAsia" w:hAnsiTheme="minorHAnsi" w:cstheme="minorBidi"/>
          <w:b w:val="0"/>
          <w:sz w:val="22"/>
          <w:szCs w:val="22"/>
        </w:rPr>
        <w:tab/>
      </w:r>
      <w:r>
        <w:t>BACKGROUND INFORMATION</w:t>
      </w:r>
      <w:r>
        <w:tab/>
      </w:r>
      <w:r w:rsidR="007F764D">
        <w:fldChar w:fldCharType="begin"/>
      </w:r>
      <w:r>
        <w:instrText xml:space="preserve"> PAGEREF _Toc315152502 \h </w:instrText>
      </w:r>
      <w:r w:rsidR="007F764D">
        <w:fldChar w:fldCharType="separate"/>
      </w:r>
      <w:r w:rsidR="00DC1F88">
        <w:t>5</w:t>
      </w:r>
      <w:r w:rsidR="007F764D">
        <w:fldChar w:fldCharType="end"/>
      </w:r>
    </w:p>
    <w:p w:rsidR="00F14DCD" w:rsidRDefault="00F14DCD">
      <w:pPr>
        <w:pStyle w:val="TOC1"/>
        <w:rPr>
          <w:rFonts w:asciiTheme="minorHAnsi" w:eastAsiaTheme="minorEastAsia" w:hAnsiTheme="minorHAnsi" w:cstheme="minorBidi"/>
          <w:b w:val="0"/>
          <w:sz w:val="22"/>
          <w:szCs w:val="22"/>
        </w:rPr>
      </w:pPr>
      <w:r w:rsidRPr="005E4C9B">
        <w:t>V.</w:t>
      </w:r>
      <w:r>
        <w:rPr>
          <w:rFonts w:asciiTheme="minorHAnsi" w:eastAsiaTheme="minorEastAsia" w:hAnsiTheme="minorHAnsi" w:cstheme="minorBidi"/>
          <w:b w:val="0"/>
          <w:sz w:val="22"/>
          <w:szCs w:val="22"/>
        </w:rPr>
        <w:tab/>
      </w:r>
      <w:r>
        <w:t>SCOPE AND METHODOLOGY</w:t>
      </w:r>
      <w:r>
        <w:tab/>
      </w:r>
      <w:r w:rsidR="007F764D">
        <w:fldChar w:fldCharType="begin"/>
      </w:r>
      <w:r>
        <w:instrText xml:space="preserve"> PAGEREF _Toc315152503 \h </w:instrText>
      </w:r>
      <w:r w:rsidR="007F764D">
        <w:fldChar w:fldCharType="separate"/>
      </w:r>
      <w:r w:rsidR="00DC1F88">
        <w:t>10</w:t>
      </w:r>
      <w:r w:rsidR="007F764D">
        <w:fldChar w:fldCharType="end"/>
      </w:r>
    </w:p>
    <w:p w:rsidR="00F14DCD" w:rsidRDefault="00F14DCD">
      <w:pPr>
        <w:pStyle w:val="TOC1"/>
        <w:rPr>
          <w:rFonts w:asciiTheme="minorHAnsi" w:eastAsiaTheme="minorEastAsia" w:hAnsiTheme="minorHAnsi" w:cstheme="minorBidi"/>
          <w:b w:val="0"/>
          <w:sz w:val="22"/>
          <w:szCs w:val="22"/>
        </w:rPr>
      </w:pPr>
      <w:r w:rsidRPr="005E4C9B">
        <w:t>VI.</w:t>
      </w:r>
      <w:r>
        <w:rPr>
          <w:rFonts w:asciiTheme="minorHAnsi" w:eastAsiaTheme="minorEastAsia" w:hAnsiTheme="minorHAnsi" w:cstheme="minorBidi"/>
          <w:b w:val="0"/>
          <w:sz w:val="22"/>
          <w:szCs w:val="22"/>
        </w:rPr>
        <w:tab/>
      </w:r>
      <w:r>
        <w:t>FINDINGS AND RECOMMENDATIONS</w:t>
      </w:r>
      <w:r>
        <w:tab/>
      </w:r>
      <w:r w:rsidR="007F764D">
        <w:fldChar w:fldCharType="begin"/>
      </w:r>
      <w:r>
        <w:instrText xml:space="preserve"> PAGEREF _Toc315152504 \h </w:instrText>
      </w:r>
      <w:r w:rsidR="007F764D">
        <w:fldChar w:fldCharType="separate"/>
      </w:r>
      <w:r w:rsidR="00DC1F88">
        <w:t>15</w:t>
      </w:r>
      <w:r w:rsidR="007F764D">
        <w:fldChar w:fldCharType="end"/>
      </w:r>
    </w:p>
    <w:p w:rsidR="00F14DCD" w:rsidRDefault="00F14DCD">
      <w:pPr>
        <w:pStyle w:val="TOC2"/>
        <w:rPr>
          <w:rFonts w:asciiTheme="minorHAnsi" w:eastAsiaTheme="minorEastAsia" w:hAnsiTheme="minorHAnsi" w:cstheme="minorBidi"/>
          <w:sz w:val="22"/>
          <w:szCs w:val="22"/>
        </w:rPr>
      </w:pPr>
      <w:r w:rsidRPr="005E4C9B">
        <w:t>1.</w:t>
      </w:r>
      <w:r>
        <w:rPr>
          <w:rFonts w:asciiTheme="minorHAnsi" w:eastAsiaTheme="minorEastAsia" w:hAnsiTheme="minorHAnsi" w:cstheme="minorBidi"/>
          <w:sz w:val="22"/>
          <w:szCs w:val="22"/>
        </w:rPr>
        <w:tab/>
      </w:r>
      <w:r>
        <w:t>Inclusive Public Participation</w:t>
      </w:r>
      <w:r>
        <w:tab/>
      </w:r>
      <w:r w:rsidR="007F764D">
        <w:fldChar w:fldCharType="begin"/>
      </w:r>
      <w:r>
        <w:instrText xml:space="preserve"> PAGEREF _Toc315152505 \h </w:instrText>
      </w:r>
      <w:r w:rsidR="007F764D">
        <w:fldChar w:fldCharType="separate"/>
      </w:r>
      <w:r w:rsidR="00DC1F88">
        <w:t>16</w:t>
      </w:r>
      <w:r w:rsidR="007F764D">
        <w:fldChar w:fldCharType="end"/>
      </w:r>
    </w:p>
    <w:p w:rsidR="00F14DCD" w:rsidRDefault="00F14DCD">
      <w:pPr>
        <w:pStyle w:val="TOC2"/>
        <w:rPr>
          <w:rFonts w:asciiTheme="minorHAnsi" w:eastAsiaTheme="minorEastAsia" w:hAnsiTheme="minorHAnsi" w:cstheme="minorBidi"/>
          <w:sz w:val="22"/>
          <w:szCs w:val="22"/>
        </w:rPr>
      </w:pPr>
      <w:r w:rsidRPr="005E4C9B">
        <w:t>2.</w:t>
      </w:r>
      <w:r>
        <w:rPr>
          <w:rFonts w:asciiTheme="minorHAnsi" w:eastAsiaTheme="minorEastAsia" w:hAnsiTheme="minorHAnsi" w:cstheme="minorBidi"/>
          <w:sz w:val="22"/>
          <w:szCs w:val="22"/>
        </w:rPr>
        <w:tab/>
      </w:r>
      <w:r>
        <w:t>Language Access to LEP Persons</w:t>
      </w:r>
      <w:r>
        <w:tab/>
      </w:r>
      <w:r w:rsidR="007F764D">
        <w:fldChar w:fldCharType="begin"/>
      </w:r>
      <w:r>
        <w:instrText xml:space="preserve"> PAGEREF _Toc315152506 \h </w:instrText>
      </w:r>
      <w:r w:rsidR="007F764D">
        <w:fldChar w:fldCharType="separate"/>
      </w:r>
      <w:r w:rsidR="00DC1F88">
        <w:t>20</w:t>
      </w:r>
      <w:r w:rsidR="007F764D">
        <w:fldChar w:fldCharType="end"/>
      </w:r>
    </w:p>
    <w:p w:rsidR="00F14DCD" w:rsidRDefault="00F14DCD">
      <w:pPr>
        <w:pStyle w:val="TOC2"/>
        <w:rPr>
          <w:rFonts w:asciiTheme="minorHAnsi" w:eastAsiaTheme="minorEastAsia" w:hAnsiTheme="minorHAnsi" w:cstheme="minorBidi"/>
          <w:sz w:val="22"/>
          <w:szCs w:val="22"/>
        </w:rPr>
      </w:pPr>
      <w:r w:rsidRPr="005E4C9B">
        <w:t>3.</w:t>
      </w:r>
      <w:r>
        <w:rPr>
          <w:rFonts w:asciiTheme="minorHAnsi" w:eastAsiaTheme="minorEastAsia" w:hAnsiTheme="minorHAnsi" w:cstheme="minorBidi"/>
          <w:sz w:val="22"/>
          <w:szCs w:val="22"/>
        </w:rPr>
        <w:tab/>
      </w:r>
      <w:r>
        <w:t>Title VI Complaint Procedures</w:t>
      </w:r>
      <w:r>
        <w:tab/>
      </w:r>
      <w:r w:rsidR="007F764D">
        <w:fldChar w:fldCharType="begin"/>
      </w:r>
      <w:r>
        <w:instrText xml:space="preserve"> PAGEREF _Toc315152507 \h </w:instrText>
      </w:r>
      <w:r w:rsidR="007F764D">
        <w:fldChar w:fldCharType="separate"/>
      </w:r>
      <w:r w:rsidR="00DC1F88">
        <w:t>25</w:t>
      </w:r>
      <w:r w:rsidR="007F764D">
        <w:fldChar w:fldCharType="end"/>
      </w:r>
    </w:p>
    <w:p w:rsidR="00F14DCD" w:rsidRDefault="00F14DCD">
      <w:pPr>
        <w:pStyle w:val="TOC2"/>
        <w:rPr>
          <w:rFonts w:asciiTheme="minorHAnsi" w:eastAsiaTheme="minorEastAsia" w:hAnsiTheme="minorHAnsi" w:cstheme="minorBidi"/>
          <w:sz w:val="22"/>
          <w:szCs w:val="22"/>
        </w:rPr>
      </w:pPr>
      <w:r w:rsidRPr="005E4C9B">
        <w:t>4.</w:t>
      </w:r>
      <w:r>
        <w:rPr>
          <w:rFonts w:asciiTheme="minorHAnsi" w:eastAsiaTheme="minorEastAsia" w:hAnsiTheme="minorHAnsi" w:cstheme="minorBidi"/>
          <w:sz w:val="22"/>
          <w:szCs w:val="22"/>
        </w:rPr>
        <w:tab/>
      </w:r>
      <w:r>
        <w:t>Record of Title VI Investigations, Complaints, and Lawsuits</w:t>
      </w:r>
      <w:r>
        <w:tab/>
      </w:r>
      <w:r w:rsidR="007F764D">
        <w:fldChar w:fldCharType="begin"/>
      </w:r>
      <w:r>
        <w:instrText xml:space="preserve"> PAGEREF _Toc315152508 \h </w:instrText>
      </w:r>
      <w:r w:rsidR="007F764D">
        <w:fldChar w:fldCharType="separate"/>
      </w:r>
      <w:r w:rsidR="00DC1F88">
        <w:t>27</w:t>
      </w:r>
      <w:r w:rsidR="007F764D">
        <w:fldChar w:fldCharType="end"/>
      </w:r>
    </w:p>
    <w:p w:rsidR="00F14DCD" w:rsidRDefault="00F14DCD">
      <w:pPr>
        <w:pStyle w:val="TOC2"/>
        <w:rPr>
          <w:rFonts w:asciiTheme="minorHAnsi" w:eastAsiaTheme="minorEastAsia" w:hAnsiTheme="minorHAnsi" w:cstheme="minorBidi"/>
          <w:sz w:val="22"/>
          <w:szCs w:val="22"/>
        </w:rPr>
      </w:pPr>
      <w:r w:rsidRPr="005E4C9B">
        <w:t>5.</w:t>
      </w:r>
      <w:r>
        <w:rPr>
          <w:rFonts w:asciiTheme="minorHAnsi" w:eastAsiaTheme="minorEastAsia" w:hAnsiTheme="minorHAnsi" w:cstheme="minorBidi"/>
          <w:sz w:val="22"/>
          <w:szCs w:val="22"/>
        </w:rPr>
        <w:tab/>
      </w:r>
      <w:r>
        <w:t>Notice to Beneficiaries of Protection Under Title VI</w:t>
      </w:r>
      <w:r>
        <w:tab/>
      </w:r>
      <w:r w:rsidR="007F764D">
        <w:fldChar w:fldCharType="begin"/>
      </w:r>
      <w:r>
        <w:instrText xml:space="preserve"> PAGEREF _Toc315152509 \h </w:instrText>
      </w:r>
      <w:r w:rsidR="007F764D">
        <w:fldChar w:fldCharType="separate"/>
      </w:r>
      <w:r w:rsidR="00DC1F88">
        <w:t>27</w:t>
      </w:r>
      <w:r w:rsidR="007F764D">
        <w:fldChar w:fldCharType="end"/>
      </w:r>
    </w:p>
    <w:p w:rsidR="00F14DCD" w:rsidRDefault="00F14DCD">
      <w:pPr>
        <w:pStyle w:val="TOC2"/>
        <w:rPr>
          <w:rFonts w:asciiTheme="minorHAnsi" w:eastAsiaTheme="minorEastAsia" w:hAnsiTheme="minorHAnsi" w:cstheme="minorBidi"/>
          <w:sz w:val="22"/>
          <w:szCs w:val="22"/>
        </w:rPr>
      </w:pPr>
      <w:r w:rsidRPr="005E4C9B">
        <w:t>6.</w:t>
      </w:r>
      <w:r>
        <w:rPr>
          <w:rFonts w:asciiTheme="minorHAnsi" w:eastAsiaTheme="minorEastAsia" w:hAnsiTheme="minorHAnsi" w:cstheme="minorBidi"/>
          <w:sz w:val="22"/>
          <w:szCs w:val="22"/>
        </w:rPr>
        <w:tab/>
      </w:r>
      <w:r>
        <w:t>Annual Title VI Certification and Assurance</w:t>
      </w:r>
      <w:r>
        <w:tab/>
      </w:r>
      <w:r w:rsidR="007F764D">
        <w:fldChar w:fldCharType="begin"/>
      </w:r>
      <w:r>
        <w:instrText xml:space="preserve"> PAGEREF _Toc315152510 \h </w:instrText>
      </w:r>
      <w:r w:rsidR="007F764D">
        <w:fldChar w:fldCharType="separate"/>
      </w:r>
      <w:r w:rsidR="00DC1F88">
        <w:t>29</w:t>
      </w:r>
      <w:r w:rsidR="007F764D">
        <w:fldChar w:fldCharType="end"/>
      </w:r>
    </w:p>
    <w:p w:rsidR="00F14DCD" w:rsidRDefault="00F14DCD">
      <w:pPr>
        <w:pStyle w:val="TOC2"/>
        <w:rPr>
          <w:rFonts w:asciiTheme="minorHAnsi" w:eastAsiaTheme="minorEastAsia" w:hAnsiTheme="minorHAnsi" w:cstheme="minorBidi"/>
          <w:sz w:val="22"/>
          <w:szCs w:val="22"/>
        </w:rPr>
      </w:pPr>
      <w:r w:rsidRPr="005E4C9B">
        <w:t>7.</w:t>
      </w:r>
      <w:r>
        <w:rPr>
          <w:rFonts w:asciiTheme="minorHAnsi" w:eastAsiaTheme="minorEastAsia" w:hAnsiTheme="minorHAnsi" w:cstheme="minorBidi"/>
          <w:sz w:val="22"/>
          <w:szCs w:val="22"/>
        </w:rPr>
        <w:tab/>
      </w:r>
      <w:r>
        <w:t>Environmental Justice Analysis of Construction Projects</w:t>
      </w:r>
      <w:r>
        <w:tab/>
      </w:r>
      <w:r w:rsidR="007F764D">
        <w:fldChar w:fldCharType="begin"/>
      </w:r>
      <w:r>
        <w:instrText xml:space="preserve"> PAGEREF _Toc315152511 \h </w:instrText>
      </w:r>
      <w:r w:rsidR="007F764D">
        <w:fldChar w:fldCharType="separate"/>
      </w:r>
      <w:r w:rsidR="00DC1F88">
        <w:t>29</w:t>
      </w:r>
      <w:r w:rsidR="007F764D">
        <w:fldChar w:fldCharType="end"/>
      </w:r>
    </w:p>
    <w:p w:rsidR="00F14DCD" w:rsidRDefault="00F14DCD">
      <w:pPr>
        <w:pStyle w:val="TOC2"/>
        <w:rPr>
          <w:rFonts w:asciiTheme="minorHAnsi" w:eastAsiaTheme="minorEastAsia" w:hAnsiTheme="minorHAnsi" w:cstheme="minorBidi"/>
          <w:sz w:val="22"/>
          <w:szCs w:val="22"/>
        </w:rPr>
      </w:pPr>
      <w:r w:rsidRPr="005E4C9B">
        <w:t>8.</w:t>
      </w:r>
      <w:r>
        <w:rPr>
          <w:rFonts w:asciiTheme="minorHAnsi" w:eastAsiaTheme="minorEastAsia" w:hAnsiTheme="minorHAnsi" w:cstheme="minorBidi"/>
          <w:sz w:val="22"/>
          <w:szCs w:val="22"/>
        </w:rPr>
        <w:tab/>
      </w:r>
      <w:r>
        <w:t>Submit Title VI Program</w:t>
      </w:r>
      <w:r>
        <w:tab/>
      </w:r>
      <w:r w:rsidR="007F764D">
        <w:fldChar w:fldCharType="begin"/>
      </w:r>
      <w:r>
        <w:instrText xml:space="preserve"> PAGEREF _Toc315152512 \h </w:instrText>
      </w:r>
      <w:r w:rsidR="007F764D">
        <w:fldChar w:fldCharType="separate"/>
      </w:r>
      <w:r w:rsidR="00DC1F88">
        <w:t>32</w:t>
      </w:r>
      <w:r w:rsidR="007F764D">
        <w:fldChar w:fldCharType="end"/>
      </w:r>
    </w:p>
    <w:p w:rsidR="00F14DCD" w:rsidRDefault="00F14DCD">
      <w:pPr>
        <w:pStyle w:val="TOC2"/>
        <w:rPr>
          <w:rFonts w:asciiTheme="minorHAnsi" w:eastAsiaTheme="minorEastAsia" w:hAnsiTheme="minorHAnsi" w:cstheme="minorBidi"/>
          <w:sz w:val="22"/>
          <w:szCs w:val="22"/>
        </w:rPr>
      </w:pPr>
      <w:r w:rsidRPr="005E4C9B">
        <w:t>9.</w:t>
      </w:r>
      <w:r>
        <w:rPr>
          <w:rFonts w:asciiTheme="minorHAnsi" w:eastAsiaTheme="minorEastAsia" w:hAnsiTheme="minorHAnsi" w:cstheme="minorBidi"/>
          <w:sz w:val="22"/>
          <w:szCs w:val="22"/>
        </w:rPr>
        <w:tab/>
      </w:r>
      <w:r>
        <w:t>Evaluation of Service and Fare Changes</w:t>
      </w:r>
      <w:r>
        <w:tab/>
      </w:r>
      <w:r w:rsidR="007F764D">
        <w:fldChar w:fldCharType="begin"/>
      </w:r>
      <w:r>
        <w:instrText xml:space="preserve"> PAGEREF _Toc315152513 \h </w:instrText>
      </w:r>
      <w:r w:rsidR="007F764D">
        <w:fldChar w:fldCharType="separate"/>
      </w:r>
      <w:r w:rsidR="00DC1F88">
        <w:t>34</w:t>
      </w:r>
      <w:r w:rsidR="007F764D">
        <w:fldChar w:fldCharType="end"/>
      </w:r>
    </w:p>
    <w:p w:rsidR="00F14DCD" w:rsidRDefault="00F14DCD">
      <w:pPr>
        <w:pStyle w:val="TOC2"/>
        <w:rPr>
          <w:rFonts w:asciiTheme="minorHAnsi" w:eastAsiaTheme="minorEastAsia" w:hAnsiTheme="minorHAnsi" w:cstheme="minorBidi"/>
          <w:sz w:val="22"/>
          <w:szCs w:val="22"/>
        </w:rPr>
      </w:pPr>
      <w:r w:rsidRPr="005E4C9B">
        <w:t>10.</w:t>
      </w:r>
      <w:r>
        <w:rPr>
          <w:rFonts w:asciiTheme="minorHAnsi" w:eastAsiaTheme="minorEastAsia" w:hAnsiTheme="minorHAnsi" w:cstheme="minorBidi"/>
          <w:sz w:val="22"/>
          <w:szCs w:val="22"/>
        </w:rPr>
        <w:tab/>
      </w:r>
      <w:r>
        <w:t>Demographic Profile</w:t>
      </w:r>
      <w:r>
        <w:tab/>
      </w:r>
      <w:r w:rsidR="007F764D">
        <w:fldChar w:fldCharType="begin"/>
      </w:r>
      <w:r>
        <w:instrText xml:space="preserve"> PAGEREF _Toc315152514 \h </w:instrText>
      </w:r>
      <w:r w:rsidR="007F764D">
        <w:fldChar w:fldCharType="separate"/>
      </w:r>
      <w:r w:rsidR="00DC1F88">
        <w:t>37</w:t>
      </w:r>
      <w:r w:rsidR="007F764D">
        <w:fldChar w:fldCharType="end"/>
      </w:r>
    </w:p>
    <w:p w:rsidR="00F14DCD" w:rsidRDefault="00F14DCD">
      <w:pPr>
        <w:pStyle w:val="TOC2"/>
        <w:rPr>
          <w:rFonts w:asciiTheme="minorHAnsi" w:eastAsiaTheme="minorEastAsia" w:hAnsiTheme="minorHAnsi" w:cstheme="minorBidi"/>
          <w:sz w:val="22"/>
          <w:szCs w:val="22"/>
        </w:rPr>
      </w:pPr>
      <w:r w:rsidRPr="005E4C9B">
        <w:t>11.</w:t>
      </w:r>
      <w:r>
        <w:rPr>
          <w:rFonts w:asciiTheme="minorHAnsi" w:eastAsiaTheme="minorEastAsia" w:hAnsiTheme="minorHAnsi" w:cstheme="minorBidi"/>
          <w:sz w:val="22"/>
          <w:szCs w:val="22"/>
        </w:rPr>
        <w:tab/>
      </w:r>
      <w:r>
        <w:t>Metropolitan Planning Process</w:t>
      </w:r>
      <w:r>
        <w:tab/>
      </w:r>
      <w:r w:rsidR="007F764D">
        <w:fldChar w:fldCharType="begin"/>
      </w:r>
      <w:r>
        <w:instrText xml:space="preserve"> PAGEREF _Toc315152515 \h </w:instrText>
      </w:r>
      <w:r w:rsidR="007F764D">
        <w:fldChar w:fldCharType="separate"/>
      </w:r>
      <w:r w:rsidR="00DC1F88">
        <w:t>38</w:t>
      </w:r>
      <w:r w:rsidR="007F764D">
        <w:fldChar w:fldCharType="end"/>
      </w:r>
    </w:p>
    <w:p w:rsidR="00F14DCD" w:rsidRDefault="00F14DCD">
      <w:pPr>
        <w:pStyle w:val="TOC2"/>
        <w:rPr>
          <w:rFonts w:asciiTheme="minorHAnsi" w:eastAsiaTheme="minorEastAsia" w:hAnsiTheme="minorHAnsi" w:cstheme="minorBidi"/>
          <w:sz w:val="22"/>
          <w:szCs w:val="22"/>
        </w:rPr>
      </w:pPr>
      <w:r w:rsidRPr="005E4C9B">
        <w:t>12.</w:t>
      </w:r>
      <w:r>
        <w:rPr>
          <w:rFonts w:asciiTheme="minorHAnsi" w:eastAsiaTheme="minorEastAsia" w:hAnsiTheme="minorHAnsi" w:cstheme="minorBidi"/>
          <w:sz w:val="22"/>
          <w:szCs w:val="22"/>
        </w:rPr>
        <w:tab/>
      </w:r>
      <w:r>
        <w:t>Analytical Process for Identifying Impacts</w:t>
      </w:r>
      <w:r>
        <w:tab/>
      </w:r>
      <w:r w:rsidR="007F764D">
        <w:fldChar w:fldCharType="begin"/>
      </w:r>
      <w:r>
        <w:instrText xml:space="preserve"> PAGEREF _Toc315152516 \h </w:instrText>
      </w:r>
      <w:r w:rsidR="007F764D">
        <w:fldChar w:fldCharType="separate"/>
      </w:r>
      <w:r w:rsidR="00DC1F88">
        <w:t>40</w:t>
      </w:r>
      <w:r w:rsidR="007F764D">
        <w:fldChar w:fldCharType="end"/>
      </w:r>
    </w:p>
    <w:p w:rsidR="00F14DCD" w:rsidRDefault="00F14DCD">
      <w:pPr>
        <w:pStyle w:val="TOC1"/>
        <w:rPr>
          <w:rFonts w:asciiTheme="minorHAnsi" w:eastAsiaTheme="minorEastAsia" w:hAnsiTheme="minorHAnsi" w:cstheme="minorBidi"/>
          <w:b w:val="0"/>
          <w:sz w:val="22"/>
          <w:szCs w:val="22"/>
        </w:rPr>
      </w:pPr>
      <w:r w:rsidRPr="005E4C9B">
        <w:t>VII.</w:t>
      </w:r>
      <w:r>
        <w:rPr>
          <w:rFonts w:asciiTheme="minorHAnsi" w:eastAsiaTheme="minorEastAsia" w:hAnsiTheme="minorHAnsi" w:cstheme="minorBidi"/>
          <w:b w:val="0"/>
          <w:sz w:val="22"/>
          <w:szCs w:val="22"/>
        </w:rPr>
        <w:tab/>
      </w:r>
      <w:r>
        <w:t>SUMMARY OF FINDINGS AND CORRECTIVE ACTIONS</w:t>
      </w:r>
      <w:r>
        <w:tab/>
      </w:r>
      <w:r w:rsidR="007F764D">
        <w:fldChar w:fldCharType="begin"/>
      </w:r>
      <w:r>
        <w:instrText xml:space="preserve"> PAGEREF _Toc315152517 \h </w:instrText>
      </w:r>
      <w:r w:rsidR="007F764D">
        <w:fldChar w:fldCharType="separate"/>
      </w:r>
      <w:r w:rsidR="00DC1F88">
        <w:t>43</w:t>
      </w:r>
      <w:r w:rsidR="007F764D">
        <w:fldChar w:fldCharType="end"/>
      </w:r>
    </w:p>
    <w:p w:rsidR="00F14DCD" w:rsidRDefault="00F14DCD">
      <w:pPr>
        <w:pStyle w:val="TOC1"/>
        <w:rPr>
          <w:rFonts w:asciiTheme="minorHAnsi" w:eastAsiaTheme="minorEastAsia" w:hAnsiTheme="minorHAnsi" w:cstheme="minorBidi"/>
          <w:b w:val="0"/>
          <w:sz w:val="22"/>
          <w:szCs w:val="22"/>
        </w:rPr>
      </w:pPr>
      <w:r w:rsidRPr="005E4C9B">
        <w:t>VIII.</w:t>
      </w:r>
      <w:r>
        <w:rPr>
          <w:rFonts w:asciiTheme="minorHAnsi" w:eastAsiaTheme="minorEastAsia" w:hAnsiTheme="minorHAnsi" w:cstheme="minorBidi"/>
          <w:b w:val="0"/>
          <w:sz w:val="22"/>
          <w:szCs w:val="22"/>
        </w:rPr>
        <w:tab/>
      </w:r>
      <w:r>
        <w:t>ATTENDEES</w:t>
      </w:r>
      <w:r>
        <w:tab/>
      </w:r>
      <w:r w:rsidR="007F764D">
        <w:fldChar w:fldCharType="begin"/>
      </w:r>
      <w:r>
        <w:instrText xml:space="preserve"> PAGEREF _Toc315152518 \h </w:instrText>
      </w:r>
      <w:r w:rsidR="007F764D">
        <w:fldChar w:fldCharType="separate"/>
      </w:r>
      <w:r w:rsidR="00DC1F88">
        <w:t>46</w:t>
      </w:r>
      <w:r w:rsidR="007F764D">
        <w:fldChar w:fldCharType="end"/>
      </w:r>
    </w:p>
    <w:p w:rsidR="00F80A8D" w:rsidRDefault="007F764D" w:rsidP="009A52A0">
      <w:pPr>
        <w:pStyle w:val="TOC1"/>
        <w:sectPr w:rsidR="00F80A8D" w:rsidSect="00035671">
          <w:headerReference w:type="default" r:id="rId8"/>
          <w:footerReference w:type="even" r:id="rId9"/>
          <w:footerReference w:type="default" r:id="rId10"/>
          <w:footerReference w:type="first" r:id="rId11"/>
          <w:pgSz w:w="12240" w:h="15840" w:code="1"/>
          <w:pgMar w:top="1440" w:right="1440" w:bottom="1440" w:left="1440" w:header="720" w:footer="144" w:gutter="0"/>
          <w:pgNumType w:start="1"/>
          <w:cols w:space="720"/>
          <w:titlePg/>
          <w:docGrid w:linePitch="272"/>
        </w:sectPr>
      </w:pPr>
      <w:r>
        <w:fldChar w:fldCharType="end"/>
      </w:r>
    </w:p>
    <w:p w:rsidR="00F80A8D" w:rsidRDefault="00F80A8D" w:rsidP="00786FE8">
      <w:pPr>
        <w:pStyle w:val="BHLevel1"/>
        <w:tabs>
          <w:tab w:val="clear" w:pos="720"/>
          <w:tab w:val="num" w:pos="1080"/>
        </w:tabs>
        <w:rPr>
          <w:sz w:val="28"/>
          <w:szCs w:val="28"/>
        </w:rPr>
      </w:pPr>
      <w:bookmarkStart w:id="0" w:name="_Toc106790237"/>
      <w:bookmarkStart w:id="1" w:name="_Toc315152499"/>
      <w:r>
        <w:rPr>
          <w:sz w:val="28"/>
          <w:szCs w:val="28"/>
        </w:rPr>
        <w:lastRenderedPageBreak/>
        <w:t>GENERAL INFORMATION</w:t>
      </w:r>
      <w:bookmarkEnd w:id="0"/>
      <w:bookmarkEnd w:id="1"/>
    </w:p>
    <w:p w:rsidR="006C274C" w:rsidRDefault="006C274C">
      <w:pPr>
        <w:ind w:left="2880" w:hanging="2880"/>
        <w:rPr>
          <w:sz w:val="28"/>
        </w:rPr>
      </w:pPr>
    </w:p>
    <w:p w:rsidR="006C274C" w:rsidRDefault="006C274C" w:rsidP="006C274C">
      <w:pPr>
        <w:ind w:left="2880" w:hanging="2880"/>
        <w:rPr>
          <w:sz w:val="28"/>
          <w:szCs w:val="28"/>
        </w:rPr>
      </w:pPr>
      <w:r>
        <w:rPr>
          <w:sz w:val="28"/>
        </w:rPr>
        <w:t>Grant Recipient:</w:t>
      </w:r>
      <w:r>
        <w:rPr>
          <w:sz w:val="28"/>
        </w:rPr>
        <w:tab/>
      </w:r>
      <w:r w:rsidR="00CB5A60">
        <w:rPr>
          <w:sz w:val="28"/>
          <w:szCs w:val="28"/>
        </w:rPr>
        <w:t>San Diego Association of Governments</w:t>
      </w:r>
      <w:r>
        <w:rPr>
          <w:sz w:val="28"/>
          <w:szCs w:val="28"/>
        </w:rPr>
        <w:t xml:space="preserve"> (</w:t>
      </w:r>
      <w:r w:rsidR="00CB5A60">
        <w:rPr>
          <w:sz w:val="28"/>
          <w:szCs w:val="28"/>
        </w:rPr>
        <w:t>SANDAG</w:t>
      </w:r>
      <w:r>
        <w:rPr>
          <w:sz w:val="28"/>
          <w:szCs w:val="28"/>
        </w:rPr>
        <w:t>)</w:t>
      </w:r>
    </w:p>
    <w:p w:rsidR="006C274C" w:rsidRDefault="006C274C" w:rsidP="006C274C">
      <w:pPr>
        <w:rPr>
          <w:sz w:val="28"/>
          <w:szCs w:val="28"/>
        </w:rPr>
      </w:pPr>
    </w:p>
    <w:p w:rsidR="006C274C" w:rsidRDefault="006C274C" w:rsidP="006C274C">
      <w:pPr>
        <w:pStyle w:val="NumberList"/>
        <w:rPr>
          <w:noProof w:val="0"/>
          <w:sz w:val="28"/>
        </w:rPr>
      </w:pPr>
      <w:r>
        <w:rPr>
          <w:noProof w:val="0"/>
          <w:sz w:val="28"/>
        </w:rPr>
        <w:t>City/State:</w:t>
      </w:r>
      <w:r>
        <w:rPr>
          <w:noProof w:val="0"/>
          <w:sz w:val="28"/>
        </w:rPr>
        <w:tab/>
      </w:r>
      <w:r>
        <w:rPr>
          <w:noProof w:val="0"/>
          <w:sz w:val="28"/>
        </w:rPr>
        <w:tab/>
      </w:r>
      <w:r>
        <w:rPr>
          <w:noProof w:val="0"/>
          <w:sz w:val="28"/>
        </w:rPr>
        <w:tab/>
      </w:r>
      <w:r w:rsidR="00CB5A60">
        <w:rPr>
          <w:noProof w:val="0"/>
          <w:sz w:val="28"/>
        </w:rPr>
        <w:t>San Diego, California</w:t>
      </w:r>
    </w:p>
    <w:p w:rsidR="006C274C" w:rsidRDefault="006C274C" w:rsidP="006C274C">
      <w:pPr>
        <w:rPr>
          <w:sz w:val="28"/>
        </w:rPr>
      </w:pPr>
    </w:p>
    <w:p w:rsidR="006C274C" w:rsidRDefault="008335BD" w:rsidP="006C274C">
      <w:pPr>
        <w:rPr>
          <w:sz w:val="28"/>
        </w:rPr>
      </w:pPr>
      <w:r>
        <w:rPr>
          <w:sz w:val="28"/>
        </w:rPr>
        <w:t>Grantee Number:</w:t>
      </w:r>
      <w:r>
        <w:rPr>
          <w:sz w:val="28"/>
        </w:rPr>
        <w:tab/>
      </w:r>
      <w:r>
        <w:rPr>
          <w:sz w:val="28"/>
        </w:rPr>
        <w:tab/>
      </w:r>
      <w:r w:rsidR="005100E7">
        <w:rPr>
          <w:sz w:val="28"/>
        </w:rPr>
        <w:t>1620</w:t>
      </w:r>
    </w:p>
    <w:p w:rsidR="006C274C" w:rsidRDefault="006C274C" w:rsidP="006C274C">
      <w:pPr>
        <w:rPr>
          <w:sz w:val="28"/>
        </w:rPr>
      </w:pPr>
    </w:p>
    <w:p w:rsidR="006C274C" w:rsidRDefault="006C274C" w:rsidP="006C274C">
      <w:pPr>
        <w:rPr>
          <w:rFonts w:cs="Tahoma"/>
          <w:sz w:val="28"/>
          <w:szCs w:val="28"/>
        </w:rPr>
      </w:pPr>
      <w:r>
        <w:rPr>
          <w:sz w:val="28"/>
        </w:rPr>
        <w:t xml:space="preserve">Executive Official:  </w:t>
      </w:r>
      <w:r>
        <w:rPr>
          <w:sz w:val="28"/>
        </w:rPr>
        <w:tab/>
      </w:r>
      <w:r w:rsidR="00CB5A60">
        <w:rPr>
          <w:sz w:val="28"/>
        </w:rPr>
        <w:t>Mr. Gary Gallegos</w:t>
      </w:r>
    </w:p>
    <w:p w:rsidR="006C274C" w:rsidRDefault="00CB5A60" w:rsidP="006C274C">
      <w:pPr>
        <w:ind w:left="2880"/>
        <w:rPr>
          <w:rFonts w:cs="Tahoma"/>
          <w:sz w:val="28"/>
          <w:szCs w:val="28"/>
        </w:rPr>
      </w:pPr>
      <w:r>
        <w:rPr>
          <w:rFonts w:cs="Tahoma"/>
          <w:sz w:val="28"/>
          <w:szCs w:val="28"/>
        </w:rPr>
        <w:t xml:space="preserve">Executive </w:t>
      </w:r>
      <w:r w:rsidR="006C274C">
        <w:rPr>
          <w:rFonts w:cs="Tahoma"/>
          <w:sz w:val="28"/>
          <w:szCs w:val="28"/>
        </w:rPr>
        <w:t>Director</w:t>
      </w:r>
    </w:p>
    <w:p w:rsidR="006C274C" w:rsidRPr="005B389A" w:rsidRDefault="00CB5A60" w:rsidP="006C274C">
      <w:pPr>
        <w:ind w:left="2880"/>
        <w:rPr>
          <w:rFonts w:cs="Tahoma"/>
          <w:sz w:val="28"/>
          <w:szCs w:val="28"/>
        </w:rPr>
      </w:pPr>
      <w:r>
        <w:rPr>
          <w:rFonts w:cs="Tahoma"/>
          <w:sz w:val="28"/>
          <w:szCs w:val="28"/>
        </w:rPr>
        <w:t>San Diego Association of Governments</w:t>
      </w:r>
    </w:p>
    <w:p w:rsidR="00F55A24" w:rsidRDefault="00CB5A60" w:rsidP="006C274C">
      <w:pPr>
        <w:ind w:left="2880"/>
        <w:rPr>
          <w:rFonts w:cs="Tahoma"/>
          <w:sz w:val="28"/>
          <w:szCs w:val="28"/>
        </w:rPr>
      </w:pPr>
      <w:r>
        <w:rPr>
          <w:rFonts w:cs="Tahoma"/>
          <w:sz w:val="28"/>
          <w:szCs w:val="28"/>
        </w:rPr>
        <w:t>401 B Street</w:t>
      </w:r>
    </w:p>
    <w:p w:rsidR="006C274C" w:rsidRPr="005B389A" w:rsidRDefault="00CB5A60" w:rsidP="006C274C">
      <w:pPr>
        <w:ind w:left="2880"/>
        <w:rPr>
          <w:rFonts w:cs="Tahoma"/>
          <w:sz w:val="28"/>
          <w:szCs w:val="28"/>
        </w:rPr>
      </w:pPr>
      <w:r>
        <w:rPr>
          <w:rFonts w:cs="Tahoma"/>
          <w:sz w:val="28"/>
          <w:szCs w:val="28"/>
        </w:rPr>
        <w:t>Suite 800</w:t>
      </w:r>
    </w:p>
    <w:p w:rsidR="006C274C" w:rsidRDefault="00CB5A60" w:rsidP="006C274C">
      <w:pPr>
        <w:ind w:left="2880"/>
        <w:rPr>
          <w:rFonts w:cs="Tahoma"/>
          <w:sz w:val="28"/>
          <w:szCs w:val="28"/>
        </w:rPr>
      </w:pPr>
      <w:r>
        <w:rPr>
          <w:rFonts w:cs="Tahoma"/>
          <w:sz w:val="28"/>
          <w:szCs w:val="28"/>
        </w:rPr>
        <w:t>San Diego, CA  92101</w:t>
      </w:r>
    </w:p>
    <w:p w:rsidR="00474FAB" w:rsidRDefault="00474FAB" w:rsidP="00474FAB">
      <w:pPr>
        <w:rPr>
          <w:rFonts w:cs="Tahoma"/>
          <w:sz w:val="28"/>
          <w:szCs w:val="28"/>
        </w:rPr>
      </w:pPr>
    </w:p>
    <w:p w:rsidR="00474FAB" w:rsidRPr="005B389A" w:rsidRDefault="00474FAB" w:rsidP="00474FAB">
      <w:pPr>
        <w:rPr>
          <w:rFonts w:cs="Tahoma"/>
          <w:sz w:val="28"/>
          <w:szCs w:val="28"/>
        </w:rPr>
      </w:pPr>
      <w:r>
        <w:rPr>
          <w:rFonts w:cs="Tahoma"/>
          <w:sz w:val="28"/>
          <w:szCs w:val="28"/>
        </w:rPr>
        <w:t>On-Site Contact:</w:t>
      </w:r>
      <w:r>
        <w:rPr>
          <w:rFonts w:cs="Tahoma"/>
          <w:sz w:val="28"/>
          <w:szCs w:val="28"/>
        </w:rPr>
        <w:tab/>
      </w:r>
      <w:r>
        <w:rPr>
          <w:rFonts w:cs="Tahoma"/>
          <w:sz w:val="28"/>
          <w:szCs w:val="28"/>
        </w:rPr>
        <w:tab/>
      </w:r>
      <w:r w:rsidR="00CB5A60">
        <w:rPr>
          <w:rFonts w:cs="Tahoma"/>
          <w:sz w:val="28"/>
          <w:szCs w:val="28"/>
        </w:rPr>
        <w:t>Julie Wiley, General Counsel</w:t>
      </w:r>
    </w:p>
    <w:p w:rsidR="006C274C" w:rsidRDefault="006C274C" w:rsidP="006C274C">
      <w:pPr>
        <w:ind w:left="2880"/>
        <w:jc w:val="both"/>
        <w:rPr>
          <w:sz w:val="28"/>
          <w:szCs w:val="28"/>
        </w:rPr>
      </w:pPr>
    </w:p>
    <w:p w:rsidR="006C274C" w:rsidRDefault="006C274C" w:rsidP="006C274C">
      <w:pPr>
        <w:rPr>
          <w:sz w:val="28"/>
          <w:szCs w:val="28"/>
        </w:rPr>
      </w:pPr>
      <w:r>
        <w:rPr>
          <w:sz w:val="28"/>
          <w:szCs w:val="28"/>
        </w:rPr>
        <w:t>Report Prepared By:</w:t>
      </w:r>
      <w:r>
        <w:rPr>
          <w:sz w:val="28"/>
          <w:szCs w:val="28"/>
        </w:rPr>
        <w:tab/>
        <w:t>THE DMP GROUP, LLC</w:t>
      </w:r>
    </w:p>
    <w:p w:rsidR="006C274C" w:rsidRDefault="006C274C" w:rsidP="00893BCA">
      <w:pPr>
        <w:rPr>
          <w:sz w:val="28"/>
          <w:szCs w:val="28"/>
        </w:rPr>
      </w:pPr>
      <w:r>
        <w:rPr>
          <w:sz w:val="28"/>
          <w:szCs w:val="28"/>
        </w:rPr>
        <w:tab/>
      </w:r>
      <w:r>
        <w:rPr>
          <w:sz w:val="28"/>
          <w:szCs w:val="28"/>
        </w:rPr>
        <w:tab/>
      </w:r>
      <w:r>
        <w:rPr>
          <w:sz w:val="28"/>
          <w:szCs w:val="28"/>
        </w:rPr>
        <w:tab/>
      </w:r>
      <w:r>
        <w:rPr>
          <w:sz w:val="28"/>
          <w:szCs w:val="28"/>
        </w:rPr>
        <w:tab/>
      </w:r>
      <w:r w:rsidR="00BB2536">
        <w:rPr>
          <w:sz w:val="28"/>
          <w:szCs w:val="28"/>
        </w:rPr>
        <w:t>2233</w:t>
      </w:r>
      <w:r w:rsidR="00893BCA">
        <w:rPr>
          <w:sz w:val="28"/>
          <w:szCs w:val="28"/>
        </w:rPr>
        <w:t xml:space="preserve"> </w:t>
      </w:r>
      <w:r w:rsidR="00BB2536">
        <w:rPr>
          <w:sz w:val="28"/>
          <w:szCs w:val="28"/>
        </w:rPr>
        <w:t>Wisconsin</w:t>
      </w:r>
      <w:r w:rsidR="00893BCA">
        <w:rPr>
          <w:sz w:val="28"/>
          <w:szCs w:val="28"/>
        </w:rPr>
        <w:t xml:space="preserve"> Avenue</w:t>
      </w:r>
      <w:r w:rsidR="00BB2536">
        <w:rPr>
          <w:sz w:val="28"/>
          <w:szCs w:val="28"/>
        </w:rPr>
        <w:t xml:space="preserve"> </w:t>
      </w:r>
      <w:r w:rsidR="00893BCA">
        <w:rPr>
          <w:sz w:val="28"/>
          <w:szCs w:val="28"/>
        </w:rPr>
        <w:t>NW</w:t>
      </w:r>
    </w:p>
    <w:p w:rsidR="00071824" w:rsidRDefault="00071824" w:rsidP="00893BCA">
      <w:pPr>
        <w:rPr>
          <w:sz w:val="28"/>
          <w:szCs w:val="28"/>
        </w:rPr>
      </w:pPr>
      <w:r>
        <w:rPr>
          <w:sz w:val="28"/>
          <w:szCs w:val="28"/>
        </w:rPr>
        <w:t xml:space="preserve">                                         Suite 405</w:t>
      </w:r>
    </w:p>
    <w:p w:rsidR="00893BCA" w:rsidRDefault="00893BCA" w:rsidP="00893BCA">
      <w:pPr>
        <w:rPr>
          <w:sz w:val="28"/>
          <w:szCs w:val="28"/>
        </w:rPr>
      </w:pPr>
      <w:r>
        <w:rPr>
          <w:sz w:val="28"/>
          <w:szCs w:val="28"/>
        </w:rPr>
        <w:tab/>
      </w:r>
      <w:r>
        <w:rPr>
          <w:sz w:val="28"/>
          <w:szCs w:val="28"/>
        </w:rPr>
        <w:tab/>
      </w:r>
      <w:r>
        <w:rPr>
          <w:sz w:val="28"/>
          <w:szCs w:val="28"/>
        </w:rPr>
        <w:tab/>
      </w:r>
      <w:r>
        <w:rPr>
          <w:sz w:val="28"/>
          <w:szCs w:val="28"/>
        </w:rPr>
        <w:tab/>
        <w:t>Washington, DC</w:t>
      </w:r>
      <w:r w:rsidR="00BB2536">
        <w:rPr>
          <w:sz w:val="28"/>
          <w:szCs w:val="28"/>
        </w:rPr>
        <w:t xml:space="preserve"> 20007</w:t>
      </w:r>
    </w:p>
    <w:p w:rsidR="006C274C" w:rsidRDefault="006C274C" w:rsidP="006C274C">
      <w:pPr>
        <w:rPr>
          <w:sz w:val="28"/>
          <w:szCs w:val="28"/>
        </w:rPr>
      </w:pPr>
    </w:p>
    <w:p w:rsidR="006C274C" w:rsidRDefault="006C274C" w:rsidP="006C274C">
      <w:pPr>
        <w:rPr>
          <w:sz w:val="28"/>
          <w:szCs w:val="28"/>
        </w:rPr>
      </w:pPr>
      <w:r>
        <w:rPr>
          <w:sz w:val="28"/>
          <w:szCs w:val="28"/>
        </w:rPr>
        <w:t>Si</w:t>
      </w:r>
      <w:r w:rsidR="00893BCA">
        <w:rPr>
          <w:sz w:val="28"/>
          <w:szCs w:val="28"/>
        </w:rPr>
        <w:t>te Visit Dates:</w:t>
      </w:r>
      <w:r w:rsidR="00893BCA">
        <w:rPr>
          <w:sz w:val="28"/>
          <w:szCs w:val="28"/>
        </w:rPr>
        <w:tab/>
      </w:r>
      <w:r w:rsidR="00893BCA">
        <w:rPr>
          <w:sz w:val="28"/>
          <w:szCs w:val="28"/>
        </w:rPr>
        <w:tab/>
      </w:r>
      <w:r w:rsidR="005772CD">
        <w:rPr>
          <w:sz w:val="28"/>
          <w:szCs w:val="28"/>
        </w:rPr>
        <w:t xml:space="preserve">March 8 </w:t>
      </w:r>
      <w:r w:rsidR="00F55A24">
        <w:rPr>
          <w:sz w:val="28"/>
          <w:szCs w:val="28"/>
        </w:rPr>
        <w:t>–</w:t>
      </w:r>
      <w:r w:rsidR="005772CD">
        <w:rPr>
          <w:sz w:val="28"/>
          <w:szCs w:val="28"/>
        </w:rPr>
        <w:t xml:space="preserve"> 10</w:t>
      </w:r>
      <w:r w:rsidR="00893BCA">
        <w:rPr>
          <w:sz w:val="28"/>
          <w:szCs w:val="28"/>
        </w:rPr>
        <w:t>, 201</w:t>
      </w:r>
      <w:r w:rsidR="005772CD">
        <w:rPr>
          <w:sz w:val="28"/>
          <w:szCs w:val="28"/>
        </w:rPr>
        <w:t>1</w:t>
      </w:r>
    </w:p>
    <w:p w:rsidR="006C274C" w:rsidRDefault="006C274C" w:rsidP="006C274C">
      <w:pPr>
        <w:rPr>
          <w:sz w:val="28"/>
          <w:szCs w:val="28"/>
        </w:rPr>
      </w:pPr>
    </w:p>
    <w:p w:rsidR="006C274C" w:rsidRDefault="006C274C" w:rsidP="006C274C">
      <w:pPr>
        <w:rPr>
          <w:sz w:val="28"/>
          <w:szCs w:val="28"/>
        </w:rPr>
      </w:pPr>
      <w:r>
        <w:rPr>
          <w:sz w:val="28"/>
          <w:szCs w:val="28"/>
        </w:rPr>
        <w:t xml:space="preserve">Compliance Review </w:t>
      </w:r>
    </w:p>
    <w:p w:rsidR="006C274C" w:rsidRDefault="006C274C" w:rsidP="006C274C">
      <w:pPr>
        <w:rPr>
          <w:sz w:val="28"/>
          <w:szCs w:val="28"/>
        </w:rPr>
      </w:pPr>
      <w:r>
        <w:rPr>
          <w:sz w:val="28"/>
          <w:szCs w:val="28"/>
        </w:rPr>
        <w:t>Team Members:</w:t>
      </w:r>
      <w:r>
        <w:rPr>
          <w:sz w:val="28"/>
          <w:szCs w:val="28"/>
        </w:rPr>
        <w:tab/>
      </w:r>
      <w:r>
        <w:rPr>
          <w:sz w:val="28"/>
          <w:szCs w:val="28"/>
        </w:rPr>
        <w:tab/>
        <w:t>John Potts, Lead Reviewer</w:t>
      </w:r>
    </w:p>
    <w:p w:rsidR="006C274C" w:rsidRDefault="00893BCA" w:rsidP="006C274C">
      <w:pPr>
        <w:ind w:left="2160" w:firstLine="720"/>
        <w:rPr>
          <w:sz w:val="28"/>
          <w:szCs w:val="28"/>
        </w:rPr>
      </w:pPr>
      <w:r>
        <w:rPr>
          <w:sz w:val="28"/>
          <w:szCs w:val="28"/>
        </w:rPr>
        <w:t>Donald</w:t>
      </w:r>
      <w:r w:rsidR="006C274C">
        <w:rPr>
          <w:sz w:val="28"/>
          <w:szCs w:val="28"/>
        </w:rPr>
        <w:t xml:space="preserve"> Lucas, Reviewer</w:t>
      </w:r>
    </w:p>
    <w:p w:rsidR="00F80A8D" w:rsidRDefault="00893BCA">
      <w:pPr>
        <w:rPr>
          <w:sz w:val="28"/>
          <w:szCs w:val="28"/>
        </w:rPr>
      </w:pPr>
      <w:r>
        <w:rPr>
          <w:sz w:val="28"/>
          <w:szCs w:val="28"/>
        </w:rPr>
        <w:tab/>
      </w:r>
      <w:r>
        <w:rPr>
          <w:sz w:val="28"/>
          <w:szCs w:val="28"/>
        </w:rPr>
        <w:tab/>
      </w:r>
      <w:r>
        <w:rPr>
          <w:sz w:val="28"/>
          <w:szCs w:val="28"/>
        </w:rPr>
        <w:tab/>
      </w:r>
      <w:r>
        <w:rPr>
          <w:sz w:val="28"/>
          <w:szCs w:val="28"/>
        </w:rPr>
        <w:tab/>
        <w:t>Khalique Davis, Reviewer</w:t>
      </w:r>
    </w:p>
    <w:p w:rsidR="00F80A8D" w:rsidRPr="005F1E85" w:rsidRDefault="00F80A8D">
      <w:pPr>
        <w:rPr>
          <w:sz w:val="4"/>
          <w:szCs w:val="4"/>
        </w:rPr>
      </w:pPr>
      <w:r>
        <w:rPr>
          <w:sz w:val="28"/>
          <w:szCs w:val="28"/>
        </w:rPr>
        <w:br w:type="page"/>
      </w:r>
    </w:p>
    <w:p w:rsidR="00F80A8D" w:rsidRDefault="00F80A8D">
      <w:pPr>
        <w:pStyle w:val="BHLevel1"/>
        <w:rPr>
          <w:sz w:val="28"/>
          <w:szCs w:val="28"/>
        </w:rPr>
      </w:pPr>
      <w:bookmarkStart w:id="2" w:name="_Toc106790238"/>
      <w:bookmarkStart w:id="3" w:name="_Toc315152500"/>
      <w:r>
        <w:rPr>
          <w:sz w:val="28"/>
          <w:szCs w:val="28"/>
        </w:rPr>
        <w:lastRenderedPageBreak/>
        <w:t>JURISDICTION AND AUTHORITIES</w:t>
      </w:r>
      <w:bookmarkEnd w:id="2"/>
      <w:bookmarkEnd w:id="3"/>
    </w:p>
    <w:p w:rsidR="00F80A8D" w:rsidRDefault="00F80A8D">
      <w:pPr>
        <w:spacing w:line="360" w:lineRule="auto"/>
        <w:rPr>
          <w:sz w:val="28"/>
          <w:szCs w:val="28"/>
        </w:rPr>
      </w:pPr>
    </w:p>
    <w:p w:rsidR="00F80A8D" w:rsidRDefault="00F80A8D">
      <w:pPr>
        <w:spacing w:line="360" w:lineRule="auto"/>
        <w:jc w:val="both"/>
        <w:rPr>
          <w:sz w:val="28"/>
          <w:szCs w:val="28"/>
        </w:rPr>
      </w:pPr>
      <w:r>
        <w:rPr>
          <w:sz w:val="28"/>
          <w:szCs w:val="28"/>
        </w:rPr>
        <w:t xml:space="preserve">The Federal Transit Administration (FTA) Office of Civil Rights is authorized by the Secretary of Transportation to conduct civil rights compliance reviews.  The </w:t>
      </w:r>
      <w:r w:rsidR="005772CD">
        <w:rPr>
          <w:sz w:val="28"/>
          <w:szCs w:val="28"/>
        </w:rPr>
        <w:t>San Diego Association of Governments (SANDAG</w:t>
      </w:r>
      <w:r>
        <w:rPr>
          <w:sz w:val="28"/>
        </w:rPr>
        <w:t>)</w:t>
      </w:r>
      <w:r>
        <w:rPr>
          <w:sz w:val="28"/>
          <w:szCs w:val="28"/>
        </w:rPr>
        <w:t xml:space="preserve"> is a recipient of FTA funding assistance and is therefore subject to the Title VI compliance conditions associated with the use of these funds pursuant to the following: </w:t>
      </w:r>
    </w:p>
    <w:p w:rsidR="00ED6E12" w:rsidRPr="00447DE4" w:rsidRDefault="00ED6E12" w:rsidP="00ED6E12">
      <w:pPr>
        <w:numPr>
          <w:ilvl w:val="0"/>
          <w:numId w:val="8"/>
        </w:numPr>
        <w:spacing w:after="120"/>
        <w:jc w:val="both"/>
        <w:rPr>
          <w:sz w:val="28"/>
          <w:szCs w:val="28"/>
        </w:rPr>
      </w:pPr>
      <w:r w:rsidRPr="00447DE4">
        <w:rPr>
          <w:sz w:val="28"/>
          <w:szCs w:val="28"/>
        </w:rPr>
        <w:t xml:space="preserve">Title VI of the Civil Rights Act of 1964 (42 U.S.C. Section 2000d). </w:t>
      </w:r>
    </w:p>
    <w:p w:rsidR="00ED6E12" w:rsidRPr="00447DE4" w:rsidRDefault="00ED6E12" w:rsidP="00ED6E12">
      <w:pPr>
        <w:numPr>
          <w:ilvl w:val="0"/>
          <w:numId w:val="8"/>
        </w:numPr>
        <w:spacing w:after="120"/>
        <w:jc w:val="both"/>
        <w:rPr>
          <w:sz w:val="28"/>
          <w:szCs w:val="28"/>
        </w:rPr>
      </w:pPr>
      <w:r w:rsidRPr="00447DE4">
        <w:rPr>
          <w:sz w:val="28"/>
          <w:szCs w:val="28"/>
        </w:rPr>
        <w:t xml:space="preserve">Federal Transit Laws, as amended (49 U.S.C. Chapter 53 et seq.). </w:t>
      </w:r>
    </w:p>
    <w:p w:rsidR="00ED6E12" w:rsidRPr="00447DE4" w:rsidRDefault="00ED6E12" w:rsidP="00ED6E12">
      <w:pPr>
        <w:numPr>
          <w:ilvl w:val="0"/>
          <w:numId w:val="8"/>
        </w:numPr>
        <w:spacing w:after="120"/>
        <w:jc w:val="both"/>
        <w:rPr>
          <w:sz w:val="28"/>
          <w:szCs w:val="28"/>
        </w:rPr>
      </w:pPr>
      <w:r w:rsidRPr="00447DE4">
        <w:rPr>
          <w:sz w:val="28"/>
          <w:szCs w:val="28"/>
        </w:rPr>
        <w:t xml:space="preserve">Uniform Relocation Assistance and Real Property Acquisition Policies Act of 1970, as amended (42 U.S.C. 4601, et seq.). </w:t>
      </w:r>
    </w:p>
    <w:p w:rsidR="00ED6E12" w:rsidRPr="00447DE4" w:rsidRDefault="00ED6E12" w:rsidP="00ED6E12">
      <w:pPr>
        <w:numPr>
          <w:ilvl w:val="0"/>
          <w:numId w:val="8"/>
        </w:numPr>
        <w:spacing w:after="120"/>
        <w:jc w:val="both"/>
        <w:rPr>
          <w:sz w:val="28"/>
          <w:szCs w:val="28"/>
        </w:rPr>
      </w:pPr>
      <w:r w:rsidRPr="00447DE4">
        <w:rPr>
          <w:sz w:val="28"/>
          <w:szCs w:val="28"/>
        </w:rPr>
        <w:t xml:space="preserve">Department of Justice regulation, 28 CFR </w:t>
      </w:r>
      <w:proofErr w:type="gramStart"/>
      <w:r w:rsidRPr="00447DE4">
        <w:rPr>
          <w:sz w:val="28"/>
          <w:szCs w:val="28"/>
        </w:rPr>
        <w:t>part</w:t>
      </w:r>
      <w:proofErr w:type="gramEnd"/>
      <w:r w:rsidRPr="00447DE4">
        <w:rPr>
          <w:sz w:val="28"/>
          <w:szCs w:val="28"/>
        </w:rPr>
        <w:t xml:space="preserve"> 42, Subpart F, “Coordination of Enforcement of Nondiscrimination in Federally-Assisted Programs” (December 1, 1976, unless otherwise noted). </w:t>
      </w:r>
    </w:p>
    <w:p w:rsidR="00ED6E12" w:rsidRPr="00447DE4" w:rsidRDefault="00ED6E12" w:rsidP="00ED6E12">
      <w:pPr>
        <w:numPr>
          <w:ilvl w:val="0"/>
          <w:numId w:val="8"/>
        </w:numPr>
        <w:spacing w:after="120"/>
        <w:jc w:val="both"/>
        <w:rPr>
          <w:sz w:val="28"/>
          <w:szCs w:val="28"/>
        </w:rPr>
      </w:pPr>
      <w:r w:rsidRPr="00447DE4">
        <w:rPr>
          <w:sz w:val="28"/>
          <w:szCs w:val="28"/>
        </w:rPr>
        <w:t xml:space="preserve">DOT regulation, 49 CFR part 21, “Nondiscrimination in Federally-Assisted Programs of the Department of Transportation—Effectuation of Title VI of the Civil Rights Act of 1964” (June 18, 1970, unless otherwise noted). </w:t>
      </w:r>
    </w:p>
    <w:p w:rsidR="00ED6E12" w:rsidRPr="00447DE4" w:rsidRDefault="00ED6E12" w:rsidP="00ED6E12">
      <w:pPr>
        <w:numPr>
          <w:ilvl w:val="0"/>
          <w:numId w:val="8"/>
        </w:numPr>
        <w:spacing w:after="120"/>
        <w:jc w:val="both"/>
        <w:rPr>
          <w:sz w:val="28"/>
          <w:szCs w:val="28"/>
        </w:rPr>
      </w:pPr>
      <w:r w:rsidRPr="00447DE4">
        <w:rPr>
          <w:sz w:val="28"/>
          <w:szCs w:val="28"/>
        </w:rPr>
        <w:t xml:space="preserve">Joint FTA/Federal Highway Administration (FHWA) regulation, 23 CFR part 771, “Environmental Impact and Related Procedures” (August 28, 1987). </w:t>
      </w:r>
    </w:p>
    <w:p w:rsidR="00ED6E12" w:rsidRPr="00447DE4" w:rsidRDefault="00ED6E12" w:rsidP="00ED6E12">
      <w:pPr>
        <w:numPr>
          <w:ilvl w:val="0"/>
          <w:numId w:val="8"/>
        </w:numPr>
        <w:spacing w:after="120"/>
        <w:jc w:val="both"/>
        <w:rPr>
          <w:sz w:val="28"/>
          <w:szCs w:val="28"/>
        </w:rPr>
      </w:pPr>
      <w:r w:rsidRPr="00447DE4">
        <w:rPr>
          <w:sz w:val="28"/>
          <w:szCs w:val="28"/>
        </w:rPr>
        <w:t xml:space="preserve">Joint FTA/FHWA regulation, 23 CFR part 450 and 49 CFR part 613, “Planning Assistance and Standards,” (October 28, 1993, unless otherwise noted). </w:t>
      </w:r>
    </w:p>
    <w:p w:rsidR="00ED6E12" w:rsidRPr="00447DE4" w:rsidRDefault="00ED6E12" w:rsidP="00ED6E12">
      <w:pPr>
        <w:numPr>
          <w:ilvl w:val="0"/>
          <w:numId w:val="8"/>
        </w:numPr>
        <w:spacing w:after="120"/>
        <w:jc w:val="both"/>
        <w:rPr>
          <w:sz w:val="28"/>
          <w:szCs w:val="28"/>
        </w:rPr>
      </w:pPr>
      <w:r w:rsidRPr="00447DE4">
        <w:rPr>
          <w:sz w:val="28"/>
          <w:szCs w:val="28"/>
        </w:rPr>
        <w:t xml:space="preserve">DOT Order 5610.2, “U.S. DOT Order on Environmental Justice to Address Environmental Justice in Minority Populations and Low-Income Populations,” (April 15, 1997). </w:t>
      </w:r>
    </w:p>
    <w:p w:rsidR="00ED6E12" w:rsidRPr="00447DE4" w:rsidRDefault="00ED6E12" w:rsidP="00786FE8">
      <w:pPr>
        <w:numPr>
          <w:ilvl w:val="0"/>
          <w:numId w:val="8"/>
        </w:numPr>
        <w:tabs>
          <w:tab w:val="clear" w:pos="720"/>
          <w:tab w:val="num" w:pos="1080"/>
        </w:tabs>
        <w:spacing w:after="120"/>
        <w:jc w:val="both"/>
        <w:rPr>
          <w:sz w:val="28"/>
          <w:szCs w:val="28"/>
        </w:rPr>
      </w:pPr>
      <w:r w:rsidRPr="00447DE4">
        <w:rPr>
          <w:sz w:val="28"/>
          <w:szCs w:val="28"/>
        </w:rPr>
        <w:t xml:space="preserve">DOT Policy Guidance Concerning Recipients’ Responsibilities to Limited English Proficient Persons, (December 14, 2005). </w:t>
      </w:r>
    </w:p>
    <w:p w:rsidR="00ED6E12" w:rsidRPr="00447DE4" w:rsidRDefault="00ED6E12" w:rsidP="00786FE8">
      <w:pPr>
        <w:numPr>
          <w:ilvl w:val="0"/>
          <w:numId w:val="8"/>
        </w:numPr>
        <w:tabs>
          <w:tab w:val="clear" w:pos="720"/>
          <w:tab w:val="num" w:pos="1080"/>
        </w:tabs>
        <w:jc w:val="both"/>
        <w:rPr>
          <w:sz w:val="28"/>
          <w:szCs w:val="28"/>
        </w:rPr>
      </w:pPr>
      <w:r w:rsidRPr="00447DE4">
        <w:rPr>
          <w:sz w:val="28"/>
          <w:szCs w:val="28"/>
        </w:rPr>
        <w:t>Section 1</w:t>
      </w:r>
      <w:r>
        <w:rPr>
          <w:sz w:val="28"/>
          <w:szCs w:val="28"/>
        </w:rPr>
        <w:t>2 of FTA’s Master Agreement 17,</w:t>
      </w:r>
      <w:r w:rsidRPr="00447DE4">
        <w:rPr>
          <w:sz w:val="28"/>
          <w:szCs w:val="28"/>
        </w:rPr>
        <w:t xml:space="preserve"> (October 1, 20</w:t>
      </w:r>
      <w:r>
        <w:rPr>
          <w:sz w:val="28"/>
          <w:szCs w:val="28"/>
        </w:rPr>
        <w:t>10</w:t>
      </w:r>
      <w:r w:rsidRPr="00447DE4">
        <w:rPr>
          <w:sz w:val="28"/>
          <w:szCs w:val="28"/>
        </w:rPr>
        <w:t>).</w:t>
      </w:r>
    </w:p>
    <w:p w:rsidR="00F80A8D" w:rsidRDefault="00F80A8D">
      <w:pPr>
        <w:spacing w:line="360" w:lineRule="auto"/>
        <w:jc w:val="both"/>
        <w:rPr>
          <w:sz w:val="28"/>
          <w:szCs w:val="28"/>
        </w:rPr>
      </w:pPr>
    </w:p>
    <w:p w:rsidR="00F80A8D" w:rsidRPr="00786FE8" w:rsidRDefault="00F80A8D" w:rsidP="00786FE8">
      <w:pPr>
        <w:pStyle w:val="BHLevel1"/>
        <w:tabs>
          <w:tab w:val="clear" w:pos="720"/>
          <w:tab w:val="num" w:pos="1080"/>
        </w:tabs>
        <w:rPr>
          <w:sz w:val="28"/>
          <w:szCs w:val="28"/>
        </w:rPr>
      </w:pPr>
      <w:bookmarkStart w:id="4" w:name="_Toc106790239"/>
      <w:r>
        <w:br w:type="page"/>
      </w:r>
      <w:bookmarkStart w:id="5" w:name="_Toc315152501"/>
      <w:r w:rsidRPr="00786FE8">
        <w:rPr>
          <w:sz w:val="28"/>
          <w:szCs w:val="28"/>
        </w:rPr>
        <w:lastRenderedPageBreak/>
        <w:t>PURPOSE AND OBJECTIVES</w:t>
      </w:r>
      <w:bookmarkEnd w:id="4"/>
      <w:bookmarkEnd w:id="5"/>
      <w:r w:rsidRPr="00786FE8">
        <w:rPr>
          <w:sz w:val="28"/>
          <w:szCs w:val="28"/>
        </w:rPr>
        <w:t xml:space="preserve"> </w:t>
      </w:r>
    </w:p>
    <w:p w:rsidR="00F80A8D" w:rsidRDefault="00F80A8D"/>
    <w:p w:rsidR="00F80A8D" w:rsidRDefault="00F80A8D">
      <w:pPr>
        <w:pStyle w:val="Heading4"/>
        <w:rPr>
          <w:sz w:val="28"/>
        </w:rPr>
      </w:pPr>
      <w:r>
        <w:rPr>
          <w:sz w:val="28"/>
        </w:rPr>
        <w:t>Purpose</w:t>
      </w:r>
    </w:p>
    <w:p w:rsidR="00F80A8D" w:rsidRDefault="00F80A8D"/>
    <w:p w:rsidR="00F80A8D" w:rsidRDefault="00F80A8D">
      <w:pPr>
        <w:spacing w:line="360" w:lineRule="auto"/>
        <w:rPr>
          <w:sz w:val="28"/>
          <w:szCs w:val="28"/>
        </w:rPr>
      </w:pPr>
      <w:r>
        <w:rPr>
          <w:sz w:val="28"/>
          <w:szCs w:val="28"/>
        </w:rPr>
        <w:t xml:space="preserve">The Federal Transit Administration (FTA) Office of Civil Rights periodically conducts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w:t>
      </w:r>
      <w:r w:rsidR="005772CD">
        <w:rPr>
          <w:sz w:val="28"/>
          <w:szCs w:val="28"/>
        </w:rPr>
        <w:t>SANDAG’s</w:t>
      </w:r>
      <w:r>
        <w:rPr>
          <w:sz w:val="28"/>
          <w:szCs w:val="28"/>
        </w:rPr>
        <w:t xml:space="preserve"> Title VI Program was necessary.  </w:t>
      </w:r>
    </w:p>
    <w:p w:rsidR="00F80A8D" w:rsidRDefault="00F80A8D">
      <w:pPr>
        <w:spacing w:line="360" w:lineRule="auto"/>
        <w:rPr>
          <w:b/>
          <w:sz w:val="28"/>
          <w:szCs w:val="28"/>
        </w:rPr>
      </w:pPr>
    </w:p>
    <w:p w:rsidR="00F80A8D" w:rsidRDefault="00F80A8D">
      <w:pPr>
        <w:spacing w:line="360" w:lineRule="auto"/>
        <w:rPr>
          <w:sz w:val="28"/>
        </w:rPr>
      </w:pPr>
      <w:r>
        <w:rPr>
          <w:sz w:val="28"/>
          <w:szCs w:val="28"/>
        </w:rPr>
        <w:t xml:space="preserve">The Office of Civil Rights authorized The DMP Group, LLC to conduct the Title VI Compliance Review of </w:t>
      </w:r>
      <w:r w:rsidR="005772CD">
        <w:rPr>
          <w:sz w:val="28"/>
          <w:szCs w:val="28"/>
        </w:rPr>
        <w:t>SANDAG</w:t>
      </w:r>
      <w:r>
        <w:rPr>
          <w:sz w:val="28"/>
          <w:szCs w:val="28"/>
        </w:rPr>
        <w:t xml:space="preserve">.  The primary purpose of this Compliance Review was to determine the extent to which </w:t>
      </w:r>
      <w:r w:rsidR="005772CD">
        <w:rPr>
          <w:sz w:val="28"/>
          <w:szCs w:val="28"/>
        </w:rPr>
        <w:t>SANDAG</w:t>
      </w:r>
      <w:r>
        <w:rPr>
          <w:sz w:val="28"/>
          <w:szCs w:val="28"/>
        </w:rPr>
        <w:t xml:space="preserve"> has met its General Reporting and Program-Specific Requirements</w:t>
      </w:r>
      <w:r w:rsidR="000A65D4">
        <w:rPr>
          <w:sz w:val="28"/>
          <w:szCs w:val="28"/>
        </w:rPr>
        <w:t xml:space="preserve"> and Guidelines</w:t>
      </w:r>
      <w:r>
        <w:rPr>
          <w:sz w:val="28"/>
          <w:szCs w:val="28"/>
        </w:rPr>
        <w:t>, in accordance with FTA Circular 4702.1A, “</w:t>
      </w:r>
      <w:r w:rsidR="00C10267">
        <w:rPr>
          <w:bCs/>
          <w:sz w:val="28"/>
          <w:szCs w:val="28"/>
        </w:rPr>
        <w:t>Title VI a</w:t>
      </w:r>
      <w:r>
        <w:rPr>
          <w:bCs/>
          <w:sz w:val="28"/>
          <w:szCs w:val="28"/>
        </w:rPr>
        <w:t>nd</w:t>
      </w:r>
      <w:r w:rsidR="00C10267">
        <w:rPr>
          <w:bCs/>
          <w:sz w:val="28"/>
          <w:szCs w:val="28"/>
        </w:rPr>
        <w:t xml:space="preserve"> Title VI-Dependent Guidelines f</w:t>
      </w:r>
      <w:r>
        <w:rPr>
          <w:bCs/>
          <w:sz w:val="28"/>
          <w:szCs w:val="28"/>
        </w:rPr>
        <w:t>or Federal Transit Administration Recipients</w:t>
      </w:r>
      <w:r w:rsidR="00415407">
        <w:rPr>
          <w:bCs/>
          <w:sz w:val="28"/>
          <w:szCs w:val="28"/>
        </w:rPr>
        <w:t>.</w:t>
      </w:r>
      <w:r>
        <w:rPr>
          <w:bCs/>
          <w:sz w:val="28"/>
          <w:szCs w:val="28"/>
        </w:rPr>
        <w:t>”</w:t>
      </w:r>
      <w:r>
        <w:rPr>
          <w:sz w:val="28"/>
          <w:szCs w:val="28"/>
        </w:rPr>
        <w:t xml:space="preserve">  Members of the Compliance Review team also discussed with </w:t>
      </w:r>
      <w:r w:rsidR="005772CD">
        <w:rPr>
          <w:sz w:val="28"/>
          <w:szCs w:val="28"/>
        </w:rPr>
        <w:t>SANDAG</w:t>
      </w:r>
      <w:r>
        <w:rPr>
          <w:sz w:val="28"/>
          <w:szCs w:val="28"/>
        </w:rPr>
        <w:t xml:space="preserve">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w:t>
      </w:r>
      <w:r>
        <w:rPr>
          <w:sz w:val="28"/>
        </w:rPr>
        <w:t xml:space="preserve">The Compliance Review was not an investigation to determine the merit of any specific discrimination complaints filed against </w:t>
      </w:r>
      <w:r w:rsidR="005772CD">
        <w:rPr>
          <w:sz w:val="28"/>
          <w:szCs w:val="28"/>
        </w:rPr>
        <w:t>SANDAG</w:t>
      </w:r>
      <w:r>
        <w:rPr>
          <w:sz w:val="28"/>
        </w:rPr>
        <w:t>.</w:t>
      </w:r>
    </w:p>
    <w:p w:rsidR="00F80A8D" w:rsidRDefault="00F80A8D">
      <w:pPr>
        <w:pStyle w:val="Heading4"/>
        <w:spacing w:line="360" w:lineRule="auto"/>
        <w:rPr>
          <w:sz w:val="28"/>
          <w:szCs w:val="28"/>
        </w:rPr>
      </w:pPr>
    </w:p>
    <w:p w:rsidR="00F80A8D" w:rsidRDefault="00F80A8D">
      <w:pPr>
        <w:pStyle w:val="Heading4"/>
        <w:spacing w:line="360" w:lineRule="auto"/>
        <w:rPr>
          <w:sz w:val="28"/>
          <w:szCs w:val="28"/>
        </w:rPr>
      </w:pPr>
      <w:r>
        <w:rPr>
          <w:sz w:val="28"/>
          <w:szCs w:val="28"/>
        </w:rPr>
        <w:t>Objectives</w:t>
      </w:r>
    </w:p>
    <w:p w:rsidR="00F80A8D" w:rsidRDefault="00F80A8D">
      <w:pPr>
        <w:spacing w:line="360" w:lineRule="auto"/>
        <w:rPr>
          <w:sz w:val="28"/>
          <w:szCs w:val="28"/>
        </w:rPr>
      </w:pPr>
      <w:r>
        <w:rPr>
          <w:sz w:val="28"/>
          <w:szCs w:val="28"/>
        </w:rPr>
        <w:t>The objectives of FTA’s Title VI Program, as set forth in FTA Circular 4702.1A, “Title VI and Title VI-Dependent Guidelines for Federal Transit Administration Recipients,” are:</w:t>
      </w:r>
    </w:p>
    <w:p w:rsidR="00F80A8D" w:rsidRDefault="00F80A8D" w:rsidP="00415407">
      <w:pPr>
        <w:spacing w:line="360" w:lineRule="auto"/>
        <w:rPr>
          <w:sz w:val="28"/>
          <w:szCs w:val="28"/>
        </w:rPr>
      </w:pPr>
    </w:p>
    <w:p w:rsidR="00F80A8D" w:rsidRDefault="00F80A8D" w:rsidP="00786FE8">
      <w:pPr>
        <w:numPr>
          <w:ilvl w:val="0"/>
          <w:numId w:val="1"/>
        </w:numPr>
        <w:tabs>
          <w:tab w:val="clear" w:pos="720"/>
          <w:tab w:val="num" w:pos="2520"/>
        </w:tabs>
        <w:rPr>
          <w:sz w:val="28"/>
          <w:szCs w:val="28"/>
        </w:rPr>
      </w:pPr>
      <w:r>
        <w:rPr>
          <w:sz w:val="28"/>
          <w:szCs w:val="28"/>
        </w:rPr>
        <w:t xml:space="preserve">Ensure that the level and quality of transportation service is provided without regard to race, color, or national origin; </w:t>
      </w:r>
    </w:p>
    <w:p w:rsidR="00474FAB" w:rsidRDefault="00474FAB" w:rsidP="00786FE8">
      <w:pPr>
        <w:ind w:left="720"/>
        <w:rPr>
          <w:sz w:val="28"/>
          <w:szCs w:val="28"/>
        </w:rPr>
      </w:pPr>
    </w:p>
    <w:p w:rsidR="00F80A8D" w:rsidRDefault="00F80A8D" w:rsidP="00786FE8">
      <w:pPr>
        <w:numPr>
          <w:ilvl w:val="0"/>
          <w:numId w:val="1"/>
        </w:numPr>
        <w:tabs>
          <w:tab w:val="clear" w:pos="720"/>
          <w:tab w:val="num" w:pos="2160"/>
        </w:tabs>
        <w:rPr>
          <w:sz w:val="28"/>
          <w:szCs w:val="28"/>
        </w:rPr>
      </w:pPr>
      <w:r>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474FAB" w:rsidRDefault="00474FAB" w:rsidP="00786FE8">
      <w:pPr>
        <w:ind w:left="360"/>
        <w:rPr>
          <w:sz w:val="28"/>
          <w:szCs w:val="28"/>
        </w:rPr>
      </w:pPr>
    </w:p>
    <w:p w:rsidR="00F80A8D" w:rsidRDefault="00F80A8D" w:rsidP="00786FE8">
      <w:pPr>
        <w:numPr>
          <w:ilvl w:val="0"/>
          <w:numId w:val="1"/>
        </w:numPr>
        <w:tabs>
          <w:tab w:val="clear" w:pos="720"/>
          <w:tab w:val="num" w:pos="1800"/>
        </w:tabs>
        <w:rPr>
          <w:sz w:val="28"/>
          <w:szCs w:val="28"/>
        </w:rPr>
      </w:pPr>
      <w:r>
        <w:rPr>
          <w:sz w:val="28"/>
          <w:szCs w:val="28"/>
        </w:rPr>
        <w:t xml:space="preserve">Promote the full and fair participation of all affected populations in transportation decision making; </w:t>
      </w:r>
    </w:p>
    <w:p w:rsidR="00474FAB" w:rsidRDefault="00474FAB" w:rsidP="00786FE8">
      <w:pPr>
        <w:ind w:left="360"/>
        <w:rPr>
          <w:sz w:val="28"/>
          <w:szCs w:val="28"/>
        </w:rPr>
      </w:pPr>
    </w:p>
    <w:p w:rsidR="00F80A8D" w:rsidRDefault="00F80A8D" w:rsidP="00786FE8">
      <w:pPr>
        <w:numPr>
          <w:ilvl w:val="0"/>
          <w:numId w:val="1"/>
        </w:numPr>
        <w:tabs>
          <w:tab w:val="clear" w:pos="720"/>
          <w:tab w:val="num" w:pos="1440"/>
        </w:tabs>
        <w:rPr>
          <w:sz w:val="28"/>
          <w:szCs w:val="28"/>
        </w:rPr>
      </w:pPr>
      <w:r>
        <w:rPr>
          <w:sz w:val="28"/>
          <w:szCs w:val="28"/>
        </w:rPr>
        <w:t xml:space="preserve">Prevent the denial, reduction, or delay in benefits related to programs and activities that benefit minority populations or low-income populations; </w:t>
      </w:r>
    </w:p>
    <w:p w:rsidR="00474FAB" w:rsidRDefault="00474FAB" w:rsidP="00786FE8">
      <w:pPr>
        <w:ind w:left="360"/>
        <w:rPr>
          <w:sz w:val="28"/>
          <w:szCs w:val="28"/>
        </w:rPr>
      </w:pPr>
    </w:p>
    <w:p w:rsidR="00F80A8D" w:rsidRDefault="00F80A8D" w:rsidP="00786FE8">
      <w:pPr>
        <w:numPr>
          <w:ilvl w:val="0"/>
          <w:numId w:val="1"/>
        </w:numPr>
        <w:tabs>
          <w:tab w:val="clear" w:pos="720"/>
          <w:tab w:val="num" w:pos="1080"/>
        </w:tabs>
        <w:rPr>
          <w:sz w:val="28"/>
          <w:szCs w:val="28"/>
        </w:rPr>
      </w:pPr>
      <w:r>
        <w:rPr>
          <w:sz w:val="28"/>
          <w:szCs w:val="28"/>
        </w:rPr>
        <w:t xml:space="preserve">Ensure meaningful access to programs and activities by persons with limited English proficiency.  </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The objectives of Executive Order 13166 and the “</w:t>
      </w:r>
      <w:r>
        <w:rPr>
          <w:bCs/>
          <w:sz w:val="28"/>
          <w:szCs w:val="28"/>
        </w:rPr>
        <w:t>DOT</w:t>
      </w:r>
      <w:r>
        <w:rPr>
          <w:sz w:val="28"/>
          <w:szCs w:val="28"/>
        </w:rPr>
        <w:t xml:space="preserve"> Guidance to Recipients on Special Language Services to Limited English Proficient (LEP) Beneficiaries” are for FTA grantees to take reasonable steps to ensure “meaningful” access to transit services and programs for LEP persons.</w:t>
      </w:r>
    </w:p>
    <w:p w:rsidR="004B5E77" w:rsidRDefault="004B5E77">
      <w:pPr>
        <w:rPr>
          <w:b/>
          <w:caps/>
          <w:sz w:val="28"/>
          <w:szCs w:val="28"/>
          <w:u w:val="single"/>
        </w:rPr>
      </w:pPr>
      <w:bookmarkStart w:id="6" w:name="_Toc106790241"/>
      <w:r>
        <w:rPr>
          <w:sz w:val="28"/>
          <w:szCs w:val="28"/>
        </w:rPr>
        <w:br w:type="page"/>
      </w:r>
    </w:p>
    <w:p w:rsidR="004B5E77" w:rsidRPr="00786FE8" w:rsidRDefault="005A50D6" w:rsidP="004B5E77">
      <w:pPr>
        <w:pStyle w:val="BHLevel1"/>
        <w:rPr>
          <w:sz w:val="28"/>
          <w:szCs w:val="28"/>
        </w:rPr>
      </w:pPr>
      <w:bookmarkStart w:id="7" w:name="_Toc315152502"/>
      <w:r w:rsidRPr="00786FE8">
        <w:rPr>
          <w:sz w:val="28"/>
          <w:szCs w:val="28"/>
        </w:rPr>
        <w:lastRenderedPageBreak/>
        <w:t>BACKGROUND INFORMATION</w:t>
      </w:r>
      <w:bookmarkEnd w:id="7"/>
    </w:p>
    <w:p w:rsidR="004B5E77" w:rsidRDefault="004B5E77" w:rsidP="004B5E77">
      <w:pPr>
        <w:spacing w:line="360" w:lineRule="auto"/>
        <w:rPr>
          <w:sz w:val="28"/>
          <w:szCs w:val="28"/>
        </w:rPr>
      </w:pPr>
    </w:p>
    <w:p w:rsidR="00795E45" w:rsidRPr="00795E45" w:rsidRDefault="00795E45" w:rsidP="00795E45">
      <w:pPr>
        <w:spacing w:line="360" w:lineRule="auto"/>
        <w:rPr>
          <w:sz w:val="28"/>
          <w:szCs w:val="28"/>
        </w:rPr>
      </w:pPr>
      <w:r w:rsidRPr="00795E45">
        <w:rPr>
          <w:sz w:val="28"/>
          <w:szCs w:val="28"/>
        </w:rPr>
        <w:t xml:space="preserve">SANDAG is the regional decision-making agency as well as the technical and informational resource for the </w:t>
      </w:r>
      <w:r w:rsidR="00302FEA">
        <w:rPr>
          <w:sz w:val="28"/>
          <w:szCs w:val="28"/>
        </w:rPr>
        <w:t xml:space="preserve">San Diego, California </w:t>
      </w:r>
      <w:r w:rsidRPr="00795E45">
        <w:rPr>
          <w:sz w:val="28"/>
          <w:szCs w:val="28"/>
        </w:rPr>
        <w:t>area’s 18 incorporated cities and the county government, which collectively make up the association of governments.  SANDAG is governed by a Board of Directors composed of elected officials from each of the 19 members.  Supplementing the voting members are advisory representatives from Imperial County, the U.S. Department of Defense, California Department of Transportation (Caltrans), San Diego Unified Port District, San Diego County Water Authority, Metropolitan Transit System (MTS), North San Diego County Transit District (NCTD)</w:t>
      </w:r>
      <w:r w:rsidR="00725A45">
        <w:rPr>
          <w:sz w:val="28"/>
          <w:szCs w:val="28"/>
        </w:rPr>
        <w:t>,</w:t>
      </w:r>
      <w:r w:rsidRPr="00795E45">
        <w:rPr>
          <w:sz w:val="28"/>
          <w:szCs w:val="28"/>
        </w:rPr>
        <w:t xml:space="preserve"> Southern California Tribal Chairmen's Association</w:t>
      </w:r>
      <w:r w:rsidR="0034228C">
        <w:rPr>
          <w:sz w:val="28"/>
          <w:szCs w:val="28"/>
        </w:rPr>
        <w:t xml:space="preserve"> (SCTCA)</w:t>
      </w:r>
      <w:r w:rsidRPr="00795E45">
        <w:rPr>
          <w:sz w:val="28"/>
          <w:szCs w:val="28"/>
        </w:rPr>
        <w:t xml:space="preserve">, and Mexico.  The agency’s planning boundary is the jurisdictional limits of the County of San </w:t>
      </w:r>
      <w:r w:rsidR="00E34B0C" w:rsidRPr="00795E45">
        <w:rPr>
          <w:sz w:val="28"/>
          <w:szCs w:val="28"/>
        </w:rPr>
        <w:t>Diego</w:t>
      </w:r>
      <w:r w:rsidR="00E34B0C">
        <w:rPr>
          <w:sz w:val="28"/>
          <w:szCs w:val="28"/>
        </w:rPr>
        <w:t>;</w:t>
      </w:r>
      <w:r w:rsidRPr="00795E45">
        <w:rPr>
          <w:sz w:val="28"/>
          <w:szCs w:val="28"/>
        </w:rPr>
        <w:t xml:space="preserve"> however, it works extra-regionally with agencies in Mexico and throughout southern California.  The county has a </w:t>
      </w:r>
      <w:r w:rsidR="00400958">
        <w:rPr>
          <w:sz w:val="28"/>
          <w:szCs w:val="28"/>
        </w:rPr>
        <w:t>201</w:t>
      </w:r>
      <w:r w:rsidR="00302FEA">
        <w:rPr>
          <w:sz w:val="28"/>
          <w:szCs w:val="28"/>
        </w:rPr>
        <w:t xml:space="preserve">0 </w:t>
      </w:r>
      <w:r w:rsidRPr="00795E45">
        <w:rPr>
          <w:sz w:val="28"/>
          <w:szCs w:val="28"/>
        </w:rPr>
        <w:t xml:space="preserve">population of </w:t>
      </w:r>
      <w:r w:rsidR="00400958">
        <w:rPr>
          <w:sz w:val="28"/>
          <w:szCs w:val="28"/>
        </w:rPr>
        <w:t>3,095,313</w:t>
      </w:r>
      <w:r w:rsidRPr="00795E45">
        <w:rPr>
          <w:sz w:val="28"/>
          <w:szCs w:val="28"/>
        </w:rPr>
        <w:t>.</w:t>
      </w:r>
    </w:p>
    <w:p w:rsidR="00795E45" w:rsidRPr="00795E45" w:rsidRDefault="00795E45" w:rsidP="00795E45">
      <w:pPr>
        <w:spacing w:line="360" w:lineRule="auto"/>
        <w:rPr>
          <w:sz w:val="28"/>
          <w:szCs w:val="28"/>
        </w:rPr>
      </w:pPr>
    </w:p>
    <w:p w:rsidR="00795E45" w:rsidRPr="00795E45" w:rsidRDefault="00795E45" w:rsidP="00795E45">
      <w:pPr>
        <w:spacing w:line="360" w:lineRule="auto"/>
        <w:rPr>
          <w:sz w:val="28"/>
          <w:szCs w:val="28"/>
        </w:rPr>
      </w:pPr>
      <w:r w:rsidRPr="00795E45">
        <w:rPr>
          <w:sz w:val="28"/>
          <w:szCs w:val="28"/>
        </w:rPr>
        <w:t xml:space="preserve">SANDAG was originally created </w:t>
      </w:r>
      <w:r w:rsidR="00A060BD" w:rsidRPr="00795E45">
        <w:rPr>
          <w:sz w:val="28"/>
          <w:szCs w:val="28"/>
        </w:rPr>
        <w:t>as a joint power</w:t>
      </w:r>
      <w:r w:rsidRPr="00795E45">
        <w:rPr>
          <w:sz w:val="28"/>
          <w:szCs w:val="28"/>
        </w:rPr>
        <w:t xml:space="preserve"> authority formed under Section 6500 of the California Government Code in 1972 as the comprehensive planning organization.  It adopted its current name in 1980 to better reflect its purpose.  In 1987, SANDAG added the responsibilities of administering the region’s transportation program, known as </w:t>
      </w:r>
      <w:proofErr w:type="spellStart"/>
      <w:r w:rsidRPr="00795E45">
        <w:rPr>
          <w:sz w:val="28"/>
          <w:szCs w:val="28"/>
        </w:rPr>
        <w:t>TransNet</w:t>
      </w:r>
      <w:proofErr w:type="spellEnd"/>
      <w:r w:rsidRPr="00795E45">
        <w:rPr>
          <w:sz w:val="28"/>
          <w:szCs w:val="28"/>
        </w:rPr>
        <w:t>, which is funded by a voter-approved 1/2 percent sales tax.</w:t>
      </w:r>
    </w:p>
    <w:p w:rsidR="00795E45" w:rsidRPr="00795E45" w:rsidRDefault="00795E45" w:rsidP="00795E45">
      <w:pPr>
        <w:spacing w:line="360" w:lineRule="auto"/>
        <w:rPr>
          <w:sz w:val="28"/>
          <w:szCs w:val="28"/>
        </w:rPr>
      </w:pPr>
    </w:p>
    <w:p w:rsidR="00795E45" w:rsidRPr="00795E45" w:rsidRDefault="00795E45" w:rsidP="00795E45">
      <w:pPr>
        <w:spacing w:line="360" w:lineRule="auto"/>
        <w:rPr>
          <w:sz w:val="28"/>
          <w:szCs w:val="28"/>
        </w:rPr>
      </w:pPr>
      <w:r w:rsidRPr="00795E45">
        <w:rPr>
          <w:sz w:val="28"/>
          <w:szCs w:val="28"/>
        </w:rPr>
        <w:t xml:space="preserve">On January 1, 2003, state legislation (SB 1703) was enacted which changed the structure of SANDAG from a joint powers authority to a state-created regional governmental agency, making it a permanent rather than voluntary association of </w:t>
      </w:r>
      <w:r w:rsidRPr="00795E45">
        <w:rPr>
          <w:sz w:val="28"/>
          <w:szCs w:val="28"/>
        </w:rPr>
        <w:lastRenderedPageBreak/>
        <w:t>local governments with increased responsibilities and powers.  SB 1703 consolidated all transportation planning and development functions into SANDAG so that these activities would occur on a multi-modal basis.</w:t>
      </w:r>
    </w:p>
    <w:p w:rsidR="00795E45" w:rsidRPr="00795E45" w:rsidRDefault="00795E45" w:rsidP="00795E45">
      <w:pPr>
        <w:spacing w:line="360" w:lineRule="auto"/>
        <w:rPr>
          <w:sz w:val="28"/>
          <w:szCs w:val="28"/>
        </w:rPr>
      </w:pPr>
    </w:p>
    <w:p w:rsidR="00795E45" w:rsidRPr="00795E45" w:rsidRDefault="00795E45" w:rsidP="00795E45">
      <w:pPr>
        <w:spacing w:line="360" w:lineRule="auto"/>
        <w:rPr>
          <w:sz w:val="28"/>
          <w:szCs w:val="28"/>
        </w:rPr>
      </w:pPr>
      <w:r w:rsidRPr="00795E45">
        <w:rPr>
          <w:sz w:val="28"/>
          <w:szCs w:val="28"/>
        </w:rPr>
        <w:t>The roles and responsibilities of SANDAG, MTS, and NCTD are outlined in a master memorandum of understanding executed on April 23, 2004.  SANDAG is responsible for transit planning, development, and construction while MTS and NCTD are responsible for transit operations.  MTS and NCTD also manage small construction projects with SANDAG assistance.  SANDAG is responsible for establishing regional fare policy.</w:t>
      </w:r>
    </w:p>
    <w:p w:rsidR="00795E45" w:rsidRPr="00795E45" w:rsidRDefault="00795E45" w:rsidP="00795E45">
      <w:pPr>
        <w:spacing w:line="360" w:lineRule="auto"/>
        <w:rPr>
          <w:sz w:val="28"/>
          <w:szCs w:val="28"/>
        </w:rPr>
      </w:pPr>
    </w:p>
    <w:p w:rsidR="0034228C" w:rsidRPr="0034228C" w:rsidRDefault="0034228C" w:rsidP="0034228C">
      <w:pPr>
        <w:spacing w:line="360" w:lineRule="auto"/>
        <w:rPr>
          <w:sz w:val="28"/>
          <w:szCs w:val="28"/>
        </w:rPr>
      </w:pPr>
      <w:r w:rsidRPr="0034228C">
        <w:rPr>
          <w:sz w:val="28"/>
          <w:szCs w:val="28"/>
        </w:rPr>
        <w:t>The Chairm</w:t>
      </w:r>
      <w:r w:rsidR="00415407">
        <w:rPr>
          <w:sz w:val="28"/>
          <w:szCs w:val="28"/>
        </w:rPr>
        <w:t>a</w:t>
      </w:r>
      <w:r w:rsidRPr="0034228C">
        <w:rPr>
          <w:sz w:val="28"/>
          <w:szCs w:val="28"/>
        </w:rPr>
        <w:t>n of SCTCA sits on SANDAG’s Board of Directors</w:t>
      </w:r>
      <w:r>
        <w:rPr>
          <w:sz w:val="28"/>
          <w:szCs w:val="28"/>
        </w:rPr>
        <w:t>.  The</w:t>
      </w:r>
      <w:r w:rsidRPr="0034228C">
        <w:rPr>
          <w:sz w:val="28"/>
          <w:szCs w:val="28"/>
        </w:rPr>
        <w:t xml:space="preserve"> </w:t>
      </w:r>
      <w:r>
        <w:rPr>
          <w:sz w:val="28"/>
          <w:szCs w:val="28"/>
        </w:rPr>
        <w:t>Board’s</w:t>
      </w:r>
      <w:r w:rsidRPr="0034228C">
        <w:rPr>
          <w:sz w:val="28"/>
          <w:szCs w:val="28"/>
        </w:rPr>
        <w:t xml:space="preserve"> Border Committee considers the needs of 17 </w:t>
      </w:r>
      <w:r w:rsidR="00415407">
        <w:rPr>
          <w:sz w:val="28"/>
          <w:szCs w:val="28"/>
        </w:rPr>
        <w:t>Indian T</w:t>
      </w:r>
      <w:r w:rsidRPr="0034228C">
        <w:rPr>
          <w:sz w:val="28"/>
          <w:szCs w:val="28"/>
        </w:rPr>
        <w:t>ribes on 18 reservations and Mexico</w:t>
      </w:r>
      <w:r w:rsidR="00786FE8">
        <w:rPr>
          <w:sz w:val="28"/>
          <w:szCs w:val="28"/>
        </w:rPr>
        <w:t>.  None of the Indian t</w:t>
      </w:r>
      <w:r w:rsidRPr="0034228C">
        <w:rPr>
          <w:sz w:val="28"/>
          <w:szCs w:val="28"/>
        </w:rPr>
        <w:t xml:space="preserve">ribes in the region are recipients of grant funds from SANDAG.  The Reservation Transportation Authority took on the role of Bureau of Indian Affairs (BIA) to pool funds and prioritizes projects for the region.  SANDAG is also a member of the Tribal Transportation Advisory Committee that meets quarterly.  The committee consists of public agencies working with </w:t>
      </w:r>
      <w:r w:rsidR="00415407">
        <w:rPr>
          <w:sz w:val="28"/>
          <w:szCs w:val="28"/>
        </w:rPr>
        <w:t xml:space="preserve">Indian </w:t>
      </w:r>
      <w:r w:rsidR="00786FE8">
        <w:rPr>
          <w:sz w:val="28"/>
          <w:szCs w:val="28"/>
        </w:rPr>
        <w:t>t</w:t>
      </w:r>
      <w:r w:rsidRPr="0034228C">
        <w:rPr>
          <w:sz w:val="28"/>
          <w:szCs w:val="28"/>
        </w:rPr>
        <w:t>ribes.</w:t>
      </w:r>
    </w:p>
    <w:p w:rsidR="0034228C" w:rsidRDefault="0034228C" w:rsidP="00795E45">
      <w:pPr>
        <w:spacing w:line="360" w:lineRule="auto"/>
        <w:rPr>
          <w:sz w:val="28"/>
          <w:szCs w:val="28"/>
        </w:rPr>
      </w:pPr>
    </w:p>
    <w:p w:rsidR="00795E45" w:rsidRPr="00795E45" w:rsidRDefault="00795E45" w:rsidP="00795E45">
      <w:pPr>
        <w:spacing w:line="360" w:lineRule="auto"/>
        <w:rPr>
          <w:sz w:val="28"/>
          <w:szCs w:val="28"/>
        </w:rPr>
      </w:pPr>
      <w:r w:rsidRPr="00795E45">
        <w:rPr>
          <w:sz w:val="28"/>
          <w:szCs w:val="28"/>
        </w:rPr>
        <w:t xml:space="preserve">The roles and responsibilities of the three entities are evolving.  During Federal fiscal years (FYs) 2004 and 2005, SANDAG applied for all grants on behalf of itself and MTS while NCTD applied for its </w:t>
      </w:r>
      <w:r w:rsidR="00415407">
        <w:rPr>
          <w:sz w:val="28"/>
          <w:szCs w:val="28"/>
        </w:rPr>
        <w:t xml:space="preserve">own </w:t>
      </w:r>
      <w:r w:rsidRPr="00795E45">
        <w:rPr>
          <w:sz w:val="28"/>
          <w:szCs w:val="28"/>
        </w:rPr>
        <w:t>grants.  In FY 2006, MTS, formerly the Metropolitan Transit Development Board (MTDB</w:t>
      </w:r>
      <w:proofErr w:type="gramStart"/>
      <w:r w:rsidRPr="00795E45">
        <w:rPr>
          <w:sz w:val="28"/>
          <w:szCs w:val="28"/>
        </w:rPr>
        <w:t>)</w:t>
      </w:r>
      <w:r w:rsidR="00725A45">
        <w:rPr>
          <w:sz w:val="28"/>
          <w:szCs w:val="28"/>
        </w:rPr>
        <w:t>,</w:t>
      </w:r>
      <w:proofErr w:type="gramEnd"/>
      <w:r w:rsidRPr="00795E45">
        <w:rPr>
          <w:sz w:val="28"/>
          <w:szCs w:val="28"/>
        </w:rPr>
        <w:t xml:space="preserve"> became a FTA grantee again.  MTS now applies for and administers grants for preventive maintenance, bus procurements, and bus and light rail vehicle (LRV) parts.</w:t>
      </w:r>
    </w:p>
    <w:p w:rsidR="00795E45" w:rsidRPr="00795E45" w:rsidRDefault="00795E45" w:rsidP="00795E45">
      <w:pPr>
        <w:spacing w:line="360" w:lineRule="auto"/>
        <w:rPr>
          <w:sz w:val="28"/>
          <w:szCs w:val="28"/>
        </w:rPr>
      </w:pPr>
    </w:p>
    <w:p w:rsidR="004B5E77" w:rsidRDefault="00795E45" w:rsidP="00795E45">
      <w:pPr>
        <w:spacing w:line="360" w:lineRule="auto"/>
        <w:rPr>
          <w:sz w:val="28"/>
          <w:szCs w:val="28"/>
        </w:rPr>
      </w:pPr>
      <w:r w:rsidRPr="00795E45">
        <w:rPr>
          <w:sz w:val="28"/>
          <w:szCs w:val="28"/>
        </w:rPr>
        <w:t xml:space="preserve">In addition to using FTA funds for planning, development, and construction, SANDAG uses </w:t>
      </w:r>
      <w:r w:rsidR="00302FEA">
        <w:rPr>
          <w:sz w:val="28"/>
          <w:szCs w:val="28"/>
        </w:rPr>
        <w:t>“</w:t>
      </w:r>
      <w:r w:rsidRPr="00795E45">
        <w:rPr>
          <w:sz w:val="28"/>
          <w:szCs w:val="28"/>
        </w:rPr>
        <w:t>flex</w:t>
      </w:r>
      <w:r w:rsidR="00302FEA">
        <w:rPr>
          <w:sz w:val="28"/>
          <w:szCs w:val="28"/>
        </w:rPr>
        <w:t>”</w:t>
      </w:r>
      <w:r w:rsidRPr="00795E45">
        <w:rPr>
          <w:sz w:val="28"/>
          <w:szCs w:val="28"/>
        </w:rPr>
        <w:t xml:space="preserve"> funds to subsidize private vanpools in accordance with FTA guidelines on the capital cost of contracting.  SANDAG contracts with two private vanpool contractors, Enterprise Vanpool and VPSI, Inc.  These contractors own and maintain the vehicles, which are leased to </w:t>
      </w:r>
      <w:r w:rsidR="00400958">
        <w:rPr>
          <w:sz w:val="28"/>
          <w:szCs w:val="28"/>
        </w:rPr>
        <w:t>organizations</w:t>
      </w:r>
      <w:r w:rsidRPr="00795E45">
        <w:rPr>
          <w:sz w:val="28"/>
          <w:szCs w:val="28"/>
        </w:rPr>
        <w:t xml:space="preserve"> at a subsidized rate.  </w:t>
      </w:r>
    </w:p>
    <w:p w:rsidR="00A21149" w:rsidRDefault="00A21149" w:rsidP="00A21149">
      <w:pPr>
        <w:rPr>
          <w:b/>
          <w:sz w:val="28"/>
          <w:szCs w:val="28"/>
        </w:rPr>
      </w:pPr>
    </w:p>
    <w:p w:rsidR="00A21149" w:rsidRPr="003B1D4C" w:rsidRDefault="00A21149" w:rsidP="00A21149">
      <w:pPr>
        <w:spacing w:line="360" w:lineRule="auto"/>
        <w:rPr>
          <w:sz w:val="28"/>
          <w:szCs w:val="28"/>
        </w:rPr>
      </w:pPr>
      <w:r w:rsidRPr="003B1D4C">
        <w:rPr>
          <w:sz w:val="28"/>
          <w:szCs w:val="28"/>
        </w:rPr>
        <w:t xml:space="preserve">The following table represents a demographic profile of the </w:t>
      </w:r>
      <w:r>
        <w:rPr>
          <w:sz w:val="28"/>
          <w:szCs w:val="28"/>
        </w:rPr>
        <w:t>SANDAG service</w:t>
      </w:r>
      <w:r w:rsidRPr="003B1D4C">
        <w:rPr>
          <w:sz w:val="28"/>
          <w:szCs w:val="28"/>
        </w:rPr>
        <w:t xml:space="preserve"> area using data from the 2000 and the 2010 Census.  The table shows the 2000 and 2010 population by racial/ethnic group.</w:t>
      </w:r>
      <w:r w:rsidRPr="00A21149">
        <w:rPr>
          <w:sz w:val="28"/>
        </w:rPr>
        <w:t xml:space="preserve"> </w:t>
      </w:r>
      <w:r>
        <w:rPr>
          <w:sz w:val="28"/>
        </w:rPr>
        <w:t xml:space="preserve"> </w:t>
      </w:r>
      <w:r w:rsidRPr="003B1D4C">
        <w:rPr>
          <w:sz w:val="28"/>
          <w:szCs w:val="28"/>
        </w:rPr>
        <w:t>From 2000 to 20</w:t>
      </w:r>
      <w:r>
        <w:rPr>
          <w:sz w:val="28"/>
          <w:szCs w:val="28"/>
        </w:rPr>
        <w:t>10, the total population of San Diego County</w:t>
      </w:r>
      <w:r w:rsidRPr="003B1D4C">
        <w:rPr>
          <w:sz w:val="28"/>
          <w:szCs w:val="28"/>
        </w:rPr>
        <w:t xml:space="preserve"> increased </w:t>
      </w:r>
      <w:r>
        <w:rPr>
          <w:sz w:val="28"/>
          <w:szCs w:val="28"/>
        </w:rPr>
        <w:t>1</w:t>
      </w:r>
      <w:r w:rsidR="00461AED">
        <w:rPr>
          <w:sz w:val="28"/>
          <w:szCs w:val="28"/>
        </w:rPr>
        <w:t>0.0</w:t>
      </w:r>
      <w:r w:rsidRPr="003B1D4C">
        <w:rPr>
          <w:sz w:val="28"/>
          <w:szCs w:val="28"/>
        </w:rPr>
        <w:t xml:space="preserve"> percent. </w:t>
      </w:r>
      <w:r w:rsidR="00110F04">
        <w:rPr>
          <w:sz w:val="28"/>
          <w:szCs w:val="28"/>
        </w:rPr>
        <w:t xml:space="preserve"> </w:t>
      </w:r>
      <w:r w:rsidRPr="003B1D4C">
        <w:rPr>
          <w:sz w:val="28"/>
          <w:szCs w:val="28"/>
        </w:rPr>
        <w:t xml:space="preserve">The White population increased </w:t>
      </w:r>
      <w:r w:rsidR="00461AED">
        <w:rPr>
          <w:sz w:val="28"/>
          <w:szCs w:val="28"/>
        </w:rPr>
        <w:t>5.9</w:t>
      </w:r>
      <w:r w:rsidRPr="003B1D4C">
        <w:rPr>
          <w:sz w:val="28"/>
          <w:szCs w:val="28"/>
        </w:rPr>
        <w:t xml:space="preserve"> percent, the Black pop</w:t>
      </w:r>
      <w:r>
        <w:rPr>
          <w:sz w:val="28"/>
          <w:szCs w:val="28"/>
        </w:rPr>
        <w:t xml:space="preserve">ulation </w:t>
      </w:r>
      <w:r w:rsidR="00461AED">
        <w:rPr>
          <w:sz w:val="28"/>
          <w:szCs w:val="28"/>
        </w:rPr>
        <w:t>decreased by 2</w:t>
      </w:r>
      <w:r>
        <w:rPr>
          <w:sz w:val="28"/>
          <w:szCs w:val="28"/>
        </w:rPr>
        <w:t xml:space="preserve"> </w:t>
      </w:r>
      <w:r w:rsidRPr="003B1D4C">
        <w:rPr>
          <w:sz w:val="28"/>
          <w:szCs w:val="28"/>
        </w:rPr>
        <w:t xml:space="preserve">percent, the Hispanic population increased </w:t>
      </w:r>
      <w:r>
        <w:rPr>
          <w:sz w:val="28"/>
          <w:szCs w:val="28"/>
        </w:rPr>
        <w:t>3</w:t>
      </w:r>
      <w:r w:rsidR="00461AED">
        <w:rPr>
          <w:sz w:val="28"/>
          <w:szCs w:val="28"/>
        </w:rPr>
        <w:t>2</w:t>
      </w:r>
      <w:r>
        <w:rPr>
          <w:sz w:val="28"/>
          <w:szCs w:val="28"/>
        </w:rPr>
        <w:t xml:space="preserve"> percent, the Asian popula</w:t>
      </w:r>
      <w:r w:rsidR="00461AED">
        <w:rPr>
          <w:sz w:val="28"/>
          <w:szCs w:val="28"/>
        </w:rPr>
        <w:t>tion increased by</w:t>
      </w:r>
      <w:r w:rsidR="00110F04">
        <w:rPr>
          <w:sz w:val="28"/>
          <w:szCs w:val="28"/>
        </w:rPr>
        <w:t xml:space="preserve"> </w:t>
      </w:r>
      <w:r w:rsidR="00461AED">
        <w:rPr>
          <w:sz w:val="28"/>
          <w:szCs w:val="28"/>
        </w:rPr>
        <w:t>34.5</w:t>
      </w:r>
      <w:r>
        <w:rPr>
          <w:sz w:val="28"/>
          <w:szCs w:val="28"/>
        </w:rPr>
        <w:t xml:space="preserve"> percent, the Hawaiian/</w:t>
      </w:r>
      <w:r w:rsidRPr="003B1D4C">
        <w:rPr>
          <w:sz w:val="28"/>
          <w:szCs w:val="28"/>
        </w:rPr>
        <w:t xml:space="preserve">Pacific Islander population increased </w:t>
      </w:r>
      <w:r w:rsidR="00461AED">
        <w:rPr>
          <w:sz w:val="28"/>
          <w:szCs w:val="28"/>
        </w:rPr>
        <w:t>13.1</w:t>
      </w:r>
      <w:r w:rsidRPr="003B1D4C">
        <w:rPr>
          <w:sz w:val="28"/>
          <w:szCs w:val="28"/>
        </w:rPr>
        <w:t xml:space="preserve"> percent, and the American Indi</w:t>
      </w:r>
      <w:r>
        <w:rPr>
          <w:sz w:val="28"/>
          <w:szCs w:val="28"/>
        </w:rPr>
        <w:t xml:space="preserve">an/Alaskan Native increased </w:t>
      </w:r>
      <w:r w:rsidR="00461AED">
        <w:rPr>
          <w:sz w:val="28"/>
          <w:szCs w:val="28"/>
        </w:rPr>
        <w:t>8.2</w:t>
      </w:r>
      <w:r w:rsidRPr="003B1D4C">
        <w:rPr>
          <w:sz w:val="28"/>
          <w:szCs w:val="28"/>
        </w:rPr>
        <w:t xml:space="preserve"> percent. </w:t>
      </w:r>
      <w:r w:rsidR="00110F04">
        <w:rPr>
          <w:sz w:val="28"/>
          <w:szCs w:val="28"/>
        </w:rPr>
        <w:t xml:space="preserve"> </w:t>
      </w:r>
      <w:r w:rsidRPr="003B1D4C">
        <w:rPr>
          <w:sz w:val="28"/>
          <w:szCs w:val="28"/>
        </w:rPr>
        <w:t xml:space="preserve">In 2010, </w:t>
      </w:r>
      <w:r>
        <w:rPr>
          <w:sz w:val="28"/>
          <w:szCs w:val="28"/>
        </w:rPr>
        <w:t>64</w:t>
      </w:r>
      <w:r w:rsidRPr="003B1D4C">
        <w:rPr>
          <w:sz w:val="28"/>
          <w:szCs w:val="28"/>
        </w:rPr>
        <w:t xml:space="preserve"> percent of the total population was White (a</w:t>
      </w:r>
      <w:r w:rsidR="00110F04">
        <w:rPr>
          <w:sz w:val="28"/>
          <w:szCs w:val="28"/>
        </w:rPr>
        <w:t>n</w:t>
      </w:r>
      <w:r w:rsidRPr="003B1D4C">
        <w:rPr>
          <w:sz w:val="28"/>
          <w:szCs w:val="28"/>
        </w:rPr>
        <w:t xml:space="preserve"> increase of </w:t>
      </w:r>
      <w:r w:rsidR="00461AED">
        <w:rPr>
          <w:sz w:val="28"/>
          <w:szCs w:val="28"/>
        </w:rPr>
        <w:t>3.5</w:t>
      </w:r>
      <w:r w:rsidRPr="003B1D4C">
        <w:rPr>
          <w:sz w:val="28"/>
          <w:szCs w:val="28"/>
        </w:rPr>
        <w:t xml:space="preserve"> percent from 2000), </w:t>
      </w:r>
      <w:r>
        <w:rPr>
          <w:sz w:val="28"/>
          <w:szCs w:val="28"/>
        </w:rPr>
        <w:t>5.1</w:t>
      </w:r>
      <w:r w:rsidRPr="003B1D4C">
        <w:rPr>
          <w:sz w:val="28"/>
          <w:szCs w:val="28"/>
        </w:rPr>
        <w:t xml:space="preserve"> perce</w:t>
      </w:r>
      <w:r>
        <w:rPr>
          <w:sz w:val="28"/>
          <w:szCs w:val="28"/>
        </w:rPr>
        <w:t xml:space="preserve">nt was Black (an </w:t>
      </w:r>
      <w:r w:rsidR="00461AED">
        <w:rPr>
          <w:sz w:val="28"/>
          <w:szCs w:val="28"/>
        </w:rPr>
        <w:t>decrease</w:t>
      </w:r>
      <w:r>
        <w:rPr>
          <w:sz w:val="28"/>
          <w:szCs w:val="28"/>
        </w:rPr>
        <w:t xml:space="preserve"> of 0.1</w:t>
      </w:r>
      <w:r w:rsidRPr="003B1D4C">
        <w:rPr>
          <w:sz w:val="28"/>
          <w:szCs w:val="28"/>
        </w:rPr>
        <w:t xml:space="preserve"> percent), </w:t>
      </w:r>
      <w:r>
        <w:rPr>
          <w:sz w:val="28"/>
          <w:szCs w:val="28"/>
        </w:rPr>
        <w:t>32</w:t>
      </w:r>
      <w:r w:rsidRPr="003B1D4C">
        <w:rPr>
          <w:sz w:val="28"/>
          <w:szCs w:val="28"/>
        </w:rPr>
        <w:t xml:space="preserve"> percent was Hispanic (an increase of </w:t>
      </w:r>
      <w:r w:rsidR="00461AED">
        <w:rPr>
          <w:sz w:val="28"/>
          <w:szCs w:val="28"/>
        </w:rPr>
        <w:t>7.8</w:t>
      </w:r>
      <w:r w:rsidRPr="003B1D4C">
        <w:rPr>
          <w:sz w:val="28"/>
          <w:szCs w:val="28"/>
        </w:rPr>
        <w:t xml:space="preserve"> percent), </w:t>
      </w:r>
      <w:r>
        <w:rPr>
          <w:sz w:val="28"/>
          <w:szCs w:val="28"/>
        </w:rPr>
        <w:t xml:space="preserve">10.9 percent was Asian </w:t>
      </w:r>
      <w:r w:rsidRPr="003B1D4C">
        <w:rPr>
          <w:sz w:val="28"/>
          <w:szCs w:val="28"/>
        </w:rPr>
        <w:t xml:space="preserve">(an increase of </w:t>
      </w:r>
      <w:r w:rsidR="00461AED">
        <w:rPr>
          <w:sz w:val="28"/>
          <w:szCs w:val="28"/>
        </w:rPr>
        <w:t>2.8</w:t>
      </w:r>
      <w:r w:rsidRPr="003B1D4C">
        <w:rPr>
          <w:sz w:val="28"/>
          <w:szCs w:val="28"/>
        </w:rPr>
        <w:t xml:space="preserve"> percent)</w:t>
      </w:r>
      <w:r>
        <w:rPr>
          <w:sz w:val="28"/>
          <w:szCs w:val="28"/>
        </w:rPr>
        <w:t>, 0.5</w:t>
      </w:r>
      <w:r w:rsidRPr="003B1D4C">
        <w:rPr>
          <w:sz w:val="28"/>
          <w:szCs w:val="28"/>
        </w:rPr>
        <w:t xml:space="preserve"> percent was </w:t>
      </w:r>
      <w:r>
        <w:rPr>
          <w:sz w:val="28"/>
          <w:szCs w:val="28"/>
        </w:rPr>
        <w:t>Hawaiian/</w:t>
      </w:r>
      <w:r w:rsidRPr="003B1D4C">
        <w:rPr>
          <w:sz w:val="28"/>
          <w:szCs w:val="28"/>
        </w:rPr>
        <w:t>Paci</w:t>
      </w:r>
      <w:r>
        <w:rPr>
          <w:sz w:val="28"/>
          <w:szCs w:val="28"/>
        </w:rPr>
        <w:t>fic Islander (an increase of 0.1</w:t>
      </w:r>
      <w:r w:rsidRPr="003B1D4C">
        <w:rPr>
          <w:sz w:val="28"/>
          <w:szCs w:val="28"/>
        </w:rPr>
        <w:t xml:space="preserve"> percent), and </w:t>
      </w:r>
      <w:r>
        <w:rPr>
          <w:sz w:val="28"/>
          <w:szCs w:val="28"/>
        </w:rPr>
        <w:t>0.9</w:t>
      </w:r>
      <w:r w:rsidRPr="003B1D4C">
        <w:rPr>
          <w:sz w:val="28"/>
          <w:szCs w:val="28"/>
        </w:rPr>
        <w:t xml:space="preserve"> percent was American Indian/Alaskan Native (</w:t>
      </w:r>
      <w:r>
        <w:rPr>
          <w:sz w:val="28"/>
          <w:szCs w:val="28"/>
        </w:rPr>
        <w:t>an increase of 0.1</w:t>
      </w:r>
      <w:r w:rsidRPr="003B1D4C">
        <w:rPr>
          <w:sz w:val="28"/>
          <w:szCs w:val="28"/>
        </w:rPr>
        <w:t xml:space="preserve"> percent).</w:t>
      </w:r>
      <w:r w:rsidR="002D7B46">
        <w:rPr>
          <w:sz w:val="28"/>
          <w:szCs w:val="28"/>
        </w:rPr>
        <w:t xml:space="preserve">  In 2000, 21.5 percent of </w:t>
      </w:r>
      <w:r w:rsidR="00110F04">
        <w:rPr>
          <w:sz w:val="28"/>
          <w:szCs w:val="28"/>
        </w:rPr>
        <w:t xml:space="preserve">San Diego County residents were low-income and </w:t>
      </w:r>
      <w:r w:rsidR="002D7B46">
        <w:rPr>
          <w:sz w:val="28"/>
          <w:szCs w:val="28"/>
        </w:rPr>
        <w:t xml:space="preserve">12.4 percent were LEP.  At the time of the Final report, 2010 low-income and LEP data were unavailable.  </w:t>
      </w:r>
    </w:p>
    <w:p w:rsidR="00A52D2B" w:rsidRDefault="00A52D2B">
      <w:pPr>
        <w:rPr>
          <w:sz w:val="28"/>
        </w:rPr>
      </w:pPr>
      <w:r>
        <w:rPr>
          <w:sz w:val="28"/>
        </w:rPr>
        <w:br w:type="page"/>
      </w:r>
    </w:p>
    <w:p w:rsidR="00176420" w:rsidRPr="00B53DC8" w:rsidRDefault="00455321">
      <w:pPr>
        <w:jc w:val="center"/>
        <w:rPr>
          <w:b/>
          <w:sz w:val="32"/>
          <w:szCs w:val="32"/>
        </w:rPr>
      </w:pPr>
      <w:r w:rsidRPr="00B53DC8">
        <w:rPr>
          <w:b/>
          <w:sz w:val="32"/>
          <w:szCs w:val="32"/>
        </w:rPr>
        <w:lastRenderedPageBreak/>
        <w:t xml:space="preserve">Table 1 – Demographics of the </w:t>
      </w:r>
      <w:r w:rsidR="005772CD">
        <w:rPr>
          <w:b/>
          <w:sz w:val="32"/>
          <w:szCs w:val="32"/>
        </w:rPr>
        <w:t>SANDAG</w:t>
      </w:r>
      <w:r w:rsidRPr="00B53DC8">
        <w:rPr>
          <w:b/>
          <w:sz w:val="32"/>
          <w:szCs w:val="32"/>
        </w:rPr>
        <w:t xml:space="preserve"> Service Area</w:t>
      </w:r>
    </w:p>
    <w:p w:rsidR="00455321" w:rsidRPr="00B53DC8" w:rsidRDefault="00455321" w:rsidP="00455321">
      <w:pPr>
        <w:jc w:val="center"/>
        <w:rPr>
          <w:b/>
          <w:sz w:val="28"/>
          <w:szCs w:val="28"/>
        </w:rPr>
      </w:pPr>
    </w:p>
    <w:p w:rsidR="00455321" w:rsidRPr="00B53DC8" w:rsidRDefault="00455321" w:rsidP="00455321">
      <w:pPr>
        <w:pStyle w:val="Heading9"/>
        <w:spacing w:line="360" w:lineRule="auto"/>
        <w:rPr>
          <w:bCs/>
          <w:sz w:val="28"/>
          <w:szCs w:val="28"/>
        </w:rPr>
      </w:pPr>
      <w:r w:rsidRPr="00B53DC8">
        <w:rPr>
          <w:bCs/>
          <w:sz w:val="28"/>
          <w:szCs w:val="28"/>
        </w:rPr>
        <w:t>Source: 2000 U.S. Census</w:t>
      </w:r>
    </w:p>
    <w:tbl>
      <w:tblPr>
        <w:tblW w:w="10383" w:type="dxa"/>
        <w:jc w:val="center"/>
        <w:tblInd w:w="-3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004"/>
        <w:gridCol w:w="809"/>
        <w:gridCol w:w="900"/>
        <w:gridCol w:w="810"/>
        <w:gridCol w:w="900"/>
        <w:gridCol w:w="810"/>
        <w:gridCol w:w="1023"/>
        <w:gridCol w:w="810"/>
        <w:gridCol w:w="977"/>
        <w:gridCol w:w="810"/>
      </w:tblGrid>
      <w:tr w:rsidR="005100E7" w:rsidTr="006E6C7C">
        <w:trPr>
          <w:trHeight w:val="540"/>
          <w:jc w:val="center"/>
        </w:trPr>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100E7" w:rsidRDefault="005100E7" w:rsidP="006E6C7C">
            <w:pPr>
              <w:pStyle w:val="ReferenceLine"/>
              <w:spacing w:line="276" w:lineRule="auto"/>
              <w:jc w:val="center"/>
              <w:rPr>
                <w:b/>
                <w:bCs/>
                <w:sz w:val="20"/>
              </w:rPr>
            </w:pPr>
            <w:r>
              <w:rPr>
                <w:b/>
                <w:bCs/>
                <w:sz w:val="20"/>
              </w:rPr>
              <w:t>Racial/ Ethnic Group</w:t>
            </w:r>
          </w:p>
        </w:tc>
        <w:tc>
          <w:tcPr>
            <w:tcW w:w="181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100E7" w:rsidRDefault="005100E7" w:rsidP="006E6C7C">
            <w:pPr>
              <w:pStyle w:val="Heading4"/>
              <w:spacing w:line="276" w:lineRule="auto"/>
              <w:jc w:val="center"/>
              <w:rPr>
                <w:sz w:val="20"/>
              </w:rPr>
            </w:pPr>
            <w:r>
              <w:rPr>
                <w:sz w:val="20"/>
              </w:rPr>
              <w:t>San Diego City</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100E7" w:rsidRDefault="005100E7" w:rsidP="006E6C7C">
            <w:pPr>
              <w:pStyle w:val="Heading4"/>
              <w:spacing w:line="276" w:lineRule="auto"/>
              <w:jc w:val="center"/>
              <w:rPr>
                <w:sz w:val="20"/>
              </w:rPr>
            </w:pPr>
            <w:r>
              <w:rPr>
                <w:sz w:val="20"/>
              </w:rPr>
              <w:t>Chula Vista City</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100E7" w:rsidRDefault="00E34B0C" w:rsidP="006E6C7C">
            <w:pPr>
              <w:pStyle w:val="Heading4"/>
              <w:spacing w:line="276" w:lineRule="auto"/>
              <w:jc w:val="center"/>
              <w:rPr>
                <w:sz w:val="20"/>
              </w:rPr>
            </w:pPr>
            <w:r>
              <w:rPr>
                <w:sz w:val="20"/>
              </w:rPr>
              <w:t>National City</w:t>
            </w:r>
          </w:p>
        </w:tc>
        <w:tc>
          <w:tcPr>
            <w:tcW w:w="18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100E7" w:rsidRDefault="005100E7" w:rsidP="006E6C7C">
            <w:pPr>
              <w:pStyle w:val="Heading4"/>
              <w:spacing w:line="276" w:lineRule="auto"/>
              <w:jc w:val="center"/>
              <w:rPr>
                <w:sz w:val="20"/>
              </w:rPr>
            </w:pPr>
            <w:r>
              <w:rPr>
                <w:sz w:val="20"/>
              </w:rPr>
              <w:t>Rest of San Diego County</w:t>
            </w:r>
          </w:p>
        </w:tc>
        <w:tc>
          <w:tcPr>
            <w:tcW w:w="178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100E7" w:rsidRDefault="005100E7" w:rsidP="006E6C7C">
            <w:pPr>
              <w:pStyle w:val="Heading4"/>
              <w:spacing w:line="276" w:lineRule="auto"/>
              <w:jc w:val="center"/>
              <w:rPr>
                <w:sz w:val="20"/>
              </w:rPr>
            </w:pPr>
            <w:r>
              <w:rPr>
                <w:sz w:val="20"/>
              </w:rPr>
              <w:t>Total San Diego County</w:t>
            </w:r>
          </w:p>
        </w:tc>
      </w:tr>
      <w:tr w:rsidR="005100E7" w:rsidTr="006E6C7C">
        <w:trPr>
          <w:trHeight w:val="145"/>
          <w:jc w:val="center"/>
        </w:trPr>
        <w:tc>
          <w:tcPr>
            <w:tcW w:w="1530" w:type="dxa"/>
            <w:vMerge/>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rPr>
                <w:b/>
                <w:bCs/>
              </w:rPr>
            </w:pPr>
          </w:p>
        </w:tc>
        <w:tc>
          <w:tcPr>
            <w:tcW w:w="1004" w:type="dxa"/>
            <w:tcBorders>
              <w:top w:val="single" w:sz="4" w:space="0" w:color="auto"/>
              <w:left w:val="single" w:sz="4" w:space="0" w:color="auto"/>
              <w:bottom w:val="single" w:sz="4" w:space="0" w:color="auto"/>
              <w:right w:val="single" w:sz="4" w:space="0" w:color="auto"/>
            </w:tcBorders>
            <w:shd w:val="clear" w:color="auto" w:fill="D9D9D9"/>
            <w:hideMark/>
          </w:tcPr>
          <w:p w:rsidR="005100E7" w:rsidRDefault="005100E7" w:rsidP="006E6C7C">
            <w:pPr>
              <w:spacing w:line="276" w:lineRule="auto"/>
              <w:jc w:val="center"/>
              <w:rPr>
                <w:b/>
                <w:sz w:val="18"/>
                <w:szCs w:val="18"/>
              </w:rPr>
            </w:pPr>
            <w:r>
              <w:rPr>
                <w:b/>
                <w:sz w:val="18"/>
                <w:szCs w:val="18"/>
              </w:rPr>
              <w:t>Number</w:t>
            </w:r>
          </w:p>
        </w:tc>
        <w:tc>
          <w:tcPr>
            <w:tcW w:w="809" w:type="dxa"/>
            <w:tcBorders>
              <w:top w:val="single" w:sz="4" w:space="0" w:color="auto"/>
              <w:left w:val="single" w:sz="4" w:space="0" w:color="auto"/>
              <w:bottom w:val="single" w:sz="4" w:space="0" w:color="auto"/>
              <w:right w:val="single" w:sz="4" w:space="0" w:color="auto"/>
            </w:tcBorders>
            <w:shd w:val="clear" w:color="auto" w:fill="D9D9D9"/>
            <w:hideMark/>
          </w:tcPr>
          <w:p w:rsidR="005100E7" w:rsidRDefault="005100E7" w:rsidP="006E6C7C">
            <w:pPr>
              <w:spacing w:line="276" w:lineRule="auto"/>
              <w:jc w:val="center"/>
              <w:rPr>
                <w:b/>
                <w:sz w:val="18"/>
                <w:szCs w:val="18"/>
              </w:rPr>
            </w:pPr>
            <w:r>
              <w:rPr>
                <w:b/>
                <w:sz w:val="18"/>
                <w:szCs w:val="18"/>
              </w:rPr>
              <w:t>Percent</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rsidR="005100E7" w:rsidRDefault="005100E7" w:rsidP="006E6C7C">
            <w:pPr>
              <w:spacing w:line="276" w:lineRule="auto"/>
              <w:jc w:val="center"/>
              <w:rPr>
                <w:b/>
                <w:bCs/>
                <w:sz w:val="18"/>
                <w:szCs w:val="18"/>
              </w:rPr>
            </w:pPr>
            <w:r>
              <w:rPr>
                <w:b/>
                <w:bCs/>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5100E7" w:rsidRDefault="005100E7" w:rsidP="006E6C7C">
            <w:pPr>
              <w:spacing w:line="276" w:lineRule="auto"/>
              <w:jc w:val="center"/>
              <w:rPr>
                <w:b/>
                <w:bCs/>
                <w:sz w:val="18"/>
                <w:szCs w:val="18"/>
              </w:rPr>
            </w:pPr>
            <w:r>
              <w:rPr>
                <w:b/>
                <w:bCs/>
                <w:sz w:val="18"/>
                <w:szCs w:val="18"/>
              </w:rPr>
              <w:t>Percent</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rsidR="005100E7" w:rsidRDefault="005100E7" w:rsidP="006E6C7C">
            <w:pPr>
              <w:spacing w:line="276" w:lineRule="auto"/>
              <w:jc w:val="center"/>
              <w:rPr>
                <w:b/>
                <w:bCs/>
                <w:sz w:val="18"/>
                <w:szCs w:val="18"/>
              </w:rPr>
            </w:pPr>
            <w:r>
              <w:rPr>
                <w:b/>
                <w:bCs/>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5100E7" w:rsidRDefault="005100E7" w:rsidP="006E6C7C">
            <w:pPr>
              <w:spacing w:line="276" w:lineRule="auto"/>
              <w:jc w:val="center"/>
              <w:rPr>
                <w:b/>
                <w:bCs/>
                <w:sz w:val="18"/>
                <w:szCs w:val="18"/>
              </w:rPr>
            </w:pPr>
            <w:r>
              <w:rPr>
                <w:b/>
                <w:bCs/>
                <w:sz w:val="18"/>
                <w:szCs w:val="18"/>
              </w:rPr>
              <w:t>Percent</w:t>
            </w:r>
          </w:p>
        </w:tc>
        <w:tc>
          <w:tcPr>
            <w:tcW w:w="1023" w:type="dxa"/>
            <w:tcBorders>
              <w:top w:val="single" w:sz="4" w:space="0" w:color="auto"/>
              <w:left w:val="single" w:sz="4" w:space="0" w:color="auto"/>
              <w:bottom w:val="single" w:sz="4" w:space="0" w:color="auto"/>
              <w:right w:val="single" w:sz="4" w:space="0" w:color="auto"/>
            </w:tcBorders>
            <w:shd w:val="clear" w:color="auto" w:fill="D9D9D9"/>
            <w:hideMark/>
          </w:tcPr>
          <w:p w:rsidR="005100E7" w:rsidRDefault="005100E7" w:rsidP="006E6C7C">
            <w:pPr>
              <w:spacing w:line="276" w:lineRule="auto"/>
              <w:jc w:val="center"/>
              <w:rPr>
                <w:b/>
                <w:bCs/>
                <w:sz w:val="18"/>
                <w:szCs w:val="18"/>
              </w:rPr>
            </w:pPr>
            <w:r>
              <w:rPr>
                <w:b/>
                <w:bCs/>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5100E7" w:rsidRDefault="005100E7" w:rsidP="006E6C7C">
            <w:pPr>
              <w:spacing w:line="276" w:lineRule="auto"/>
              <w:jc w:val="center"/>
              <w:rPr>
                <w:b/>
                <w:bCs/>
                <w:sz w:val="18"/>
                <w:szCs w:val="18"/>
              </w:rPr>
            </w:pPr>
            <w:r>
              <w:rPr>
                <w:b/>
                <w:bCs/>
                <w:sz w:val="18"/>
                <w:szCs w:val="18"/>
              </w:rPr>
              <w:t>Percent</w:t>
            </w:r>
          </w:p>
        </w:tc>
        <w:tc>
          <w:tcPr>
            <w:tcW w:w="977" w:type="dxa"/>
            <w:tcBorders>
              <w:top w:val="single" w:sz="4" w:space="0" w:color="auto"/>
              <w:left w:val="single" w:sz="4" w:space="0" w:color="auto"/>
              <w:bottom w:val="single" w:sz="4" w:space="0" w:color="auto"/>
              <w:right w:val="single" w:sz="4" w:space="0" w:color="auto"/>
            </w:tcBorders>
            <w:shd w:val="clear" w:color="auto" w:fill="D9D9D9"/>
            <w:hideMark/>
          </w:tcPr>
          <w:p w:rsidR="005100E7" w:rsidRDefault="005100E7" w:rsidP="006E6C7C">
            <w:pPr>
              <w:spacing w:line="276" w:lineRule="auto"/>
              <w:jc w:val="center"/>
              <w:rPr>
                <w:b/>
                <w:bCs/>
                <w:sz w:val="18"/>
                <w:szCs w:val="18"/>
              </w:rPr>
            </w:pPr>
            <w:r>
              <w:rPr>
                <w:b/>
                <w:bCs/>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5100E7" w:rsidRDefault="005100E7" w:rsidP="006E6C7C">
            <w:pPr>
              <w:spacing w:line="276" w:lineRule="auto"/>
              <w:jc w:val="center"/>
              <w:rPr>
                <w:b/>
                <w:bCs/>
                <w:sz w:val="18"/>
                <w:szCs w:val="18"/>
              </w:rPr>
            </w:pPr>
            <w:r>
              <w:rPr>
                <w:b/>
                <w:bCs/>
                <w:sz w:val="18"/>
                <w:szCs w:val="18"/>
              </w:rPr>
              <w:t>Percent</w:t>
            </w:r>
          </w:p>
        </w:tc>
      </w:tr>
      <w:tr w:rsidR="005100E7" w:rsidTr="00400958">
        <w:trPr>
          <w:trHeight w:val="27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pStyle w:val="Heading4"/>
              <w:spacing w:line="276" w:lineRule="auto"/>
              <w:rPr>
                <w:b w:val="0"/>
                <w:sz w:val="18"/>
                <w:szCs w:val="18"/>
              </w:rPr>
            </w:pPr>
            <w:r>
              <w:rPr>
                <w:b w:val="0"/>
                <w:sz w:val="18"/>
                <w:szCs w:val="18"/>
              </w:rPr>
              <w:t>White</w:t>
            </w:r>
          </w:p>
        </w:tc>
        <w:tc>
          <w:tcPr>
            <w:tcW w:w="1004"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736,207</w:t>
            </w:r>
          </w:p>
        </w:tc>
        <w:tc>
          <w:tcPr>
            <w:tcW w:w="809"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60.2</w:t>
            </w:r>
            <w:r w:rsidR="00400958">
              <w:rPr>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95,553</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55.1</w:t>
            </w:r>
            <w:r w:rsidR="00400958">
              <w:rPr>
                <w:bCs/>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19,070</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35.1</w:t>
            </w:r>
            <w:r w:rsidR="00400958">
              <w:rPr>
                <w:bCs/>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1,021,009</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74.9</w:t>
            </w:r>
            <w:r w:rsidR="00400958">
              <w:rPr>
                <w:bCs/>
                <w:sz w:val="18"/>
                <w:szCs w:val="18"/>
              </w:rPr>
              <w:t>%</w:t>
            </w:r>
          </w:p>
        </w:tc>
        <w:tc>
          <w:tcPr>
            <w:tcW w:w="977"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1,871,839</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66.5</w:t>
            </w:r>
            <w:r w:rsidR="00400958">
              <w:rPr>
                <w:bCs/>
                <w:sz w:val="18"/>
                <w:szCs w:val="18"/>
              </w:rPr>
              <w:t>%</w:t>
            </w:r>
          </w:p>
        </w:tc>
      </w:tr>
      <w:tr w:rsidR="005100E7" w:rsidTr="00400958">
        <w:trPr>
          <w:trHeight w:val="26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pStyle w:val="Heading4"/>
              <w:spacing w:line="276" w:lineRule="auto"/>
              <w:rPr>
                <w:b w:val="0"/>
                <w:sz w:val="18"/>
                <w:szCs w:val="18"/>
              </w:rPr>
            </w:pPr>
            <w:r>
              <w:rPr>
                <w:b w:val="0"/>
                <w:sz w:val="18"/>
                <w:szCs w:val="18"/>
              </w:rPr>
              <w:t>Black</w:t>
            </w:r>
          </w:p>
        </w:tc>
        <w:tc>
          <w:tcPr>
            <w:tcW w:w="1004"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96,216</w:t>
            </w:r>
          </w:p>
        </w:tc>
        <w:tc>
          <w:tcPr>
            <w:tcW w:w="809"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7.9</w:t>
            </w:r>
            <w:r w:rsidR="00400958">
              <w:rPr>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8,022</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4.6</w:t>
            </w:r>
            <w:r w:rsidR="00400958">
              <w:rPr>
                <w:bCs/>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3,026</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5.6</w:t>
            </w:r>
            <w:r w:rsidR="00400958">
              <w:rPr>
                <w:bCs/>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54,216</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4.0</w:t>
            </w:r>
            <w:r w:rsidR="00400958">
              <w:rPr>
                <w:bCs/>
                <w:sz w:val="18"/>
                <w:szCs w:val="18"/>
              </w:rPr>
              <w:t>%</w:t>
            </w:r>
          </w:p>
        </w:tc>
        <w:tc>
          <w:tcPr>
            <w:tcW w:w="977"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161,480</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5.7</w:t>
            </w:r>
            <w:r w:rsidR="00400958">
              <w:rPr>
                <w:bCs/>
                <w:sz w:val="18"/>
                <w:szCs w:val="18"/>
              </w:rPr>
              <w:t>%</w:t>
            </w:r>
          </w:p>
        </w:tc>
      </w:tr>
      <w:tr w:rsidR="005100E7" w:rsidTr="00400958">
        <w:trPr>
          <w:trHeight w:val="557"/>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pStyle w:val="Heading4"/>
              <w:spacing w:line="276" w:lineRule="auto"/>
              <w:rPr>
                <w:b w:val="0"/>
                <w:sz w:val="18"/>
                <w:szCs w:val="18"/>
              </w:rPr>
            </w:pPr>
            <w:r>
              <w:rPr>
                <w:b w:val="0"/>
                <w:sz w:val="18"/>
                <w:szCs w:val="18"/>
              </w:rPr>
              <w:t>American Indian and Alaska Native</w:t>
            </w:r>
          </w:p>
        </w:tc>
        <w:tc>
          <w:tcPr>
            <w:tcW w:w="1004"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7,543</w:t>
            </w:r>
          </w:p>
        </w:tc>
        <w:tc>
          <w:tcPr>
            <w:tcW w:w="809"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0.6</w:t>
            </w:r>
            <w:r w:rsidR="00400958">
              <w:rPr>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1,352</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0.8</w:t>
            </w:r>
            <w:r w:rsidR="00400958">
              <w:rPr>
                <w:bCs/>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513</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0.9</w:t>
            </w:r>
            <w:r w:rsidR="00400958">
              <w:rPr>
                <w:bCs/>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14,929</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1.1</w:t>
            </w:r>
            <w:r w:rsidR="00400958">
              <w:rPr>
                <w:bCs/>
                <w:sz w:val="18"/>
                <w:szCs w:val="18"/>
              </w:rPr>
              <w:t>%</w:t>
            </w:r>
          </w:p>
        </w:tc>
        <w:tc>
          <w:tcPr>
            <w:tcW w:w="977"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24,337</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bCs/>
                <w:sz w:val="18"/>
                <w:szCs w:val="18"/>
              </w:rPr>
            </w:pPr>
            <w:r>
              <w:rPr>
                <w:bCs/>
                <w:sz w:val="18"/>
                <w:szCs w:val="18"/>
              </w:rPr>
              <w:t>0.9</w:t>
            </w:r>
            <w:r w:rsidR="00400958">
              <w:rPr>
                <w:bCs/>
                <w:sz w:val="18"/>
                <w:szCs w:val="18"/>
              </w:rPr>
              <w:t>%</w:t>
            </w:r>
          </w:p>
        </w:tc>
      </w:tr>
      <w:tr w:rsidR="005100E7" w:rsidTr="00400958">
        <w:trPr>
          <w:trHeight w:val="287"/>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pStyle w:val="Heading4"/>
              <w:spacing w:line="276" w:lineRule="auto"/>
              <w:rPr>
                <w:b w:val="0"/>
                <w:sz w:val="18"/>
                <w:szCs w:val="18"/>
              </w:rPr>
            </w:pPr>
            <w:r>
              <w:rPr>
                <w:b w:val="0"/>
                <w:sz w:val="18"/>
                <w:szCs w:val="18"/>
              </w:rPr>
              <w:t>Asian</w:t>
            </w:r>
          </w:p>
        </w:tc>
        <w:tc>
          <w:tcPr>
            <w:tcW w:w="1004"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pStyle w:val="ReferenceLine"/>
              <w:spacing w:line="276" w:lineRule="auto"/>
              <w:jc w:val="center"/>
              <w:rPr>
                <w:sz w:val="18"/>
                <w:szCs w:val="18"/>
              </w:rPr>
            </w:pPr>
            <w:r>
              <w:rPr>
                <w:sz w:val="18"/>
                <w:szCs w:val="18"/>
              </w:rPr>
              <w:t>166,968</w:t>
            </w:r>
          </w:p>
        </w:tc>
        <w:tc>
          <w:tcPr>
            <w:tcW w:w="809"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pStyle w:val="ReferenceLine"/>
              <w:spacing w:line="276" w:lineRule="auto"/>
              <w:jc w:val="center"/>
              <w:rPr>
                <w:sz w:val="18"/>
                <w:szCs w:val="18"/>
              </w:rPr>
            </w:pPr>
            <w:r>
              <w:rPr>
                <w:sz w:val="18"/>
                <w:szCs w:val="18"/>
              </w:rPr>
              <w:t>13.6</w:t>
            </w:r>
            <w:r w:rsidR="00400958">
              <w:rPr>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pStyle w:val="ReferenceLine"/>
              <w:spacing w:line="276" w:lineRule="auto"/>
              <w:jc w:val="center"/>
              <w:rPr>
                <w:sz w:val="18"/>
                <w:szCs w:val="18"/>
              </w:rPr>
            </w:pPr>
            <w:r>
              <w:rPr>
                <w:sz w:val="18"/>
                <w:szCs w:val="18"/>
              </w:rPr>
              <w:t>19,063</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pStyle w:val="ReferenceLine"/>
              <w:spacing w:line="276" w:lineRule="auto"/>
              <w:jc w:val="center"/>
              <w:rPr>
                <w:sz w:val="18"/>
                <w:szCs w:val="18"/>
              </w:rPr>
            </w:pPr>
            <w:r>
              <w:rPr>
                <w:sz w:val="18"/>
                <w:szCs w:val="18"/>
              </w:rPr>
              <w:t>11.0</w:t>
            </w:r>
            <w:r w:rsidR="00400958">
              <w:rPr>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pStyle w:val="ReferenceLine"/>
              <w:spacing w:line="276" w:lineRule="auto"/>
              <w:jc w:val="center"/>
              <w:rPr>
                <w:sz w:val="18"/>
                <w:szCs w:val="18"/>
              </w:rPr>
            </w:pPr>
            <w:r>
              <w:rPr>
                <w:sz w:val="18"/>
                <w:szCs w:val="18"/>
              </w:rPr>
              <w:t>10,077</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pStyle w:val="ReferenceLine"/>
              <w:spacing w:line="276" w:lineRule="auto"/>
              <w:jc w:val="center"/>
              <w:rPr>
                <w:sz w:val="18"/>
                <w:szCs w:val="18"/>
              </w:rPr>
            </w:pPr>
            <w:r>
              <w:rPr>
                <w:sz w:val="18"/>
                <w:szCs w:val="18"/>
              </w:rPr>
              <w:t>18.6</w:t>
            </w:r>
            <w:r w:rsidR="00400958">
              <w:rPr>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pStyle w:val="ReferenceLine"/>
              <w:spacing w:line="276" w:lineRule="auto"/>
              <w:jc w:val="center"/>
              <w:rPr>
                <w:sz w:val="18"/>
                <w:szCs w:val="18"/>
              </w:rPr>
            </w:pPr>
            <w:r>
              <w:rPr>
                <w:sz w:val="18"/>
                <w:szCs w:val="18"/>
              </w:rPr>
              <w:t>53,694</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pStyle w:val="ReferenceLine"/>
              <w:spacing w:line="276" w:lineRule="auto"/>
              <w:jc w:val="center"/>
              <w:rPr>
                <w:sz w:val="18"/>
                <w:szCs w:val="18"/>
              </w:rPr>
            </w:pPr>
            <w:r>
              <w:rPr>
                <w:sz w:val="18"/>
                <w:szCs w:val="18"/>
              </w:rPr>
              <w:t>3.9</w:t>
            </w:r>
            <w:r w:rsidR="00400958">
              <w:rPr>
                <w:sz w:val="18"/>
                <w:szCs w:val="18"/>
              </w:rPr>
              <w:t>%</w:t>
            </w:r>
          </w:p>
        </w:tc>
        <w:tc>
          <w:tcPr>
            <w:tcW w:w="977"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pStyle w:val="ReferenceLine"/>
              <w:spacing w:line="276" w:lineRule="auto"/>
              <w:jc w:val="center"/>
              <w:rPr>
                <w:sz w:val="18"/>
                <w:szCs w:val="18"/>
              </w:rPr>
            </w:pPr>
            <w:r>
              <w:rPr>
                <w:sz w:val="18"/>
                <w:szCs w:val="18"/>
              </w:rPr>
              <w:t>249,802</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pStyle w:val="ReferenceLine"/>
              <w:spacing w:line="276" w:lineRule="auto"/>
              <w:jc w:val="center"/>
              <w:rPr>
                <w:sz w:val="18"/>
                <w:szCs w:val="18"/>
              </w:rPr>
            </w:pPr>
            <w:r>
              <w:rPr>
                <w:sz w:val="18"/>
                <w:szCs w:val="18"/>
              </w:rPr>
              <w:t>8.9</w:t>
            </w:r>
            <w:r w:rsidR="00400958">
              <w:rPr>
                <w:sz w:val="18"/>
                <w:szCs w:val="18"/>
              </w:rPr>
              <w:t>%</w:t>
            </w:r>
          </w:p>
        </w:tc>
      </w:tr>
      <w:tr w:rsidR="005100E7" w:rsidTr="00400958">
        <w:trPr>
          <w:trHeight w:val="557"/>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pStyle w:val="Heading4"/>
              <w:spacing w:line="276" w:lineRule="auto"/>
              <w:rPr>
                <w:b w:val="0"/>
                <w:sz w:val="18"/>
                <w:szCs w:val="18"/>
              </w:rPr>
            </w:pPr>
            <w:r>
              <w:rPr>
                <w:b w:val="0"/>
                <w:sz w:val="18"/>
                <w:szCs w:val="18"/>
              </w:rPr>
              <w:t>Hawaiian/Pacific Islander</w:t>
            </w:r>
          </w:p>
        </w:tc>
        <w:tc>
          <w:tcPr>
            <w:tcW w:w="1004"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5,853</w:t>
            </w:r>
          </w:p>
        </w:tc>
        <w:tc>
          <w:tcPr>
            <w:tcW w:w="809"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0.5</w:t>
            </w:r>
            <w:r w:rsidR="00400958">
              <w:rPr>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1,013</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0.6</w:t>
            </w:r>
            <w:r w:rsidR="00400958">
              <w:rPr>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478</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0.9</w:t>
            </w:r>
            <w:r w:rsidR="00400958">
              <w:rPr>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6,217</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0.5</w:t>
            </w:r>
            <w:r w:rsidR="00400958">
              <w:rPr>
                <w:sz w:val="18"/>
                <w:szCs w:val="18"/>
              </w:rPr>
              <w:t>%</w:t>
            </w:r>
          </w:p>
        </w:tc>
        <w:tc>
          <w:tcPr>
            <w:tcW w:w="977"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13,561</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0.5</w:t>
            </w:r>
            <w:r w:rsidR="00400958">
              <w:rPr>
                <w:sz w:val="18"/>
                <w:szCs w:val="18"/>
              </w:rPr>
              <w:t>%</w:t>
            </w:r>
          </w:p>
        </w:tc>
      </w:tr>
      <w:tr w:rsidR="005100E7" w:rsidTr="00400958">
        <w:trPr>
          <w:trHeight w:val="27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pStyle w:val="Heading4"/>
              <w:spacing w:line="276" w:lineRule="auto"/>
              <w:rPr>
                <w:b w:val="0"/>
                <w:sz w:val="18"/>
                <w:szCs w:val="18"/>
              </w:rPr>
            </w:pPr>
            <w:r>
              <w:rPr>
                <w:b w:val="0"/>
                <w:sz w:val="18"/>
                <w:szCs w:val="18"/>
              </w:rPr>
              <w:t>Other Race</w:t>
            </w:r>
          </w:p>
        </w:tc>
        <w:tc>
          <w:tcPr>
            <w:tcW w:w="1004"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151,532</w:t>
            </w:r>
          </w:p>
        </w:tc>
        <w:tc>
          <w:tcPr>
            <w:tcW w:w="809"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12.4</w:t>
            </w:r>
            <w:r w:rsidR="00400958">
              <w:rPr>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38,404</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22.1</w:t>
            </w:r>
            <w:r w:rsidR="00400958">
              <w:rPr>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18,181</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33.5</w:t>
            </w:r>
            <w:r w:rsidR="00400958">
              <w:rPr>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152,730</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11.2</w:t>
            </w:r>
            <w:r w:rsidR="00400958">
              <w:rPr>
                <w:sz w:val="18"/>
                <w:szCs w:val="18"/>
              </w:rPr>
              <w:t>%</w:t>
            </w:r>
          </w:p>
        </w:tc>
        <w:tc>
          <w:tcPr>
            <w:tcW w:w="977"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360,847</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12.8</w:t>
            </w:r>
            <w:r w:rsidR="00400958">
              <w:rPr>
                <w:sz w:val="18"/>
                <w:szCs w:val="18"/>
              </w:rPr>
              <w:t>%</w:t>
            </w:r>
          </w:p>
        </w:tc>
      </w:tr>
      <w:tr w:rsidR="005100E7" w:rsidTr="00400958">
        <w:trPr>
          <w:trHeight w:val="298"/>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pStyle w:val="Heading4"/>
              <w:spacing w:line="276" w:lineRule="auto"/>
              <w:rPr>
                <w:b w:val="0"/>
                <w:sz w:val="18"/>
                <w:szCs w:val="18"/>
              </w:rPr>
            </w:pPr>
            <w:r>
              <w:rPr>
                <w:b w:val="0"/>
                <w:sz w:val="18"/>
                <w:szCs w:val="18"/>
              </w:rPr>
              <w:t>Two or More</w:t>
            </w:r>
          </w:p>
        </w:tc>
        <w:tc>
          <w:tcPr>
            <w:tcW w:w="1004"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59,081</w:t>
            </w:r>
          </w:p>
        </w:tc>
        <w:tc>
          <w:tcPr>
            <w:tcW w:w="809"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4.8</w:t>
            </w:r>
            <w:r w:rsidR="00400958">
              <w:rPr>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10,149</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5.8</w:t>
            </w:r>
            <w:r w:rsidR="00400958">
              <w:rPr>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2,915</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5.4</w:t>
            </w:r>
            <w:r w:rsidR="00400958">
              <w:rPr>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59,822</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4.4</w:t>
            </w:r>
            <w:r w:rsidR="00400958">
              <w:rPr>
                <w:sz w:val="18"/>
                <w:szCs w:val="18"/>
              </w:rPr>
              <w:t>%</w:t>
            </w:r>
          </w:p>
        </w:tc>
        <w:tc>
          <w:tcPr>
            <w:tcW w:w="977"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131,967</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4.7</w:t>
            </w:r>
            <w:r w:rsidR="00400958">
              <w:rPr>
                <w:sz w:val="18"/>
                <w:szCs w:val="18"/>
              </w:rPr>
              <w:t>%</w:t>
            </w:r>
          </w:p>
        </w:tc>
      </w:tr>
      <w:tr w:rsidR="005100E7" w:rsidTr="00400958">
        <w:trPr>
          <w:trHeight w:val="298"/>
          <w:jc w:val="center"/>
        </w:trPr>
        <w:tc>
          <w:tcPr>
            <w:tcW w:w="1530" w:type="dxa"/>
            <w:tcBorders>
              <w:top w:val="single" w:sz="4" w:space="0" w:color="auto"/>
              <w:left w:val="single" w:sz="4" w:space="0" w:color="auto"/>
              <w:bottom w:val="double" w:sz="4" w:space="0" w:color="auto"/>
              <w:right w:val="single" w:sz="4" w:space="0" w:color="auto"/>
            </w:tcBorders>
            <w:vAlign w:val="center"/>
            <w:hideMark/>
          </w:tcPr>
          <w:p w:rsidR="005100E7" w:rsidRDefault="005100E7" w:rsidP="006E6C7C">
            <w:pPr>
              <w:pStyle w:val="Heading4"/>
              <w:spacing w:line="276" w:lineRule="auto"/>
              <w:rPr>
                <w:b w:val="0"/>
                <w:sz w:val="18"/>
                <w:szCs w:val="18"/>
              </w:rPr>
            </w:pPr>
            <w:r>
              <w:rPr>
                <w:b w:val="0"/>
                <w:sz w:val="18"/>
                <w:szCs w:val="18"/>
              </w:rPr>
              <w:t>Hispanic Origin</w:t>
            </w:r>
            <w:r>
              <w:rPr>
                <w:rStyle w:val="FootnoteReference"/>
                <w:b w:val="0"/>
                <w:sz w:val="18"/>
                <w:szCs w:val="18"/>
              </w:rPr>
              <w:footnoteReference w:id="1"/>
            </w:r>
          </w:p>
        </w:tc>
        <w:tc>
          <w:tcPr>
            <w:tcW w:w="1004" w:type="dxa"/>
            <w:tcBorders>
              <w:top w:val="single" w:sz="4" w:space="0" w:color="auto"/>
              <w:left w:val="single" w:sz="4" w:space="0" w:color="auto"/>
              <w:bottom w:val="doub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310,752</w:t>
            </w:r>
          </w:p>
        </w:tc>
        <w:tc>
          <w:tcPr>
            <w:tcW w:w="809" w:type="dxa"/>
            <w:tcBorders>
              <w:top w:val="single" w:sz="4" w:space="0" w:color="auto"/>
              <w:left w:val="single" w:sz="4" w:space="0" w:color="auto"/>
              <w:bottom w:val="doub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25.4</w:t>
            </w:r>
            <w:r w:rsidR="00400958">
              <w:rPr>
                <w:sz w:val="18"/>
                <w:szCs w:val="18"/>
              </w:rPr>
              <w:t>%</w:t>
            </w:r>
          </w:p>
        </w:tc>
        <w:tc>
          <w:tcPr>
            <w:tcW w:w="900" w:type="dxa"/>
            <w:tcBorders>
              <w:top w:val="single" w:sz="4" w:space="0" w:color="auto"/>
              <w:left w:val="single" w:sz="4" w:space="0" w:color="auto"/>
              <w:bottom w:val="doub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86,073</w:t>
            </w:r>
          </w:p>
        </w:tc>
        <w:tc>
          <w:tcPr>
            <w:tcW w:w="810" w:type="dxa"/>
            <w:tcBorders>
              <w:top w:val="single" w:sz="4" w:space="0" w:color="auto"/>
              <w:left w:val="single" w:sz="4" w:space="0" w:color="auto"/>
              <w:bottom w:val="doub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49.6</w:t>
            </w:r>
            <w:r w:rsidR="00400958">
              <w:rPr>
                <w:sz w:val="18"/>
                <w:szCs w:val="18"/>
              </w:rPr>
              <w:t>%</w:t>
            </w:r>
          </w:p>
        </w:tc>
        <w:tc>
          <w:tcPr>
            <w:tcW w:w="900" w:type="dxa"/>
            <w:tcBorders>
              <w:top w:val="single" w:sz="4" w:space="0" w:color="auto"/>
              <w:left w:val="single" w:sz="4" w:space="0" w:color="auto"/>
              <w:bottom w:val="doub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32,053</w:t>
            </w:r>
          </w:p>
        </w:tc>
        <w:tc>
          <w:tcPr>
            <w:tcW w:w="810" w:type="dxa"/>
            <w:tcBorders>
              <w:top w:val="single" w:sz="4" w:space="0" w:color="auto"/>
              <w:left w:val="single" w:sz="4" w:space="0" w:color="auto"/>
              <w:bottom w:val="doub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59.1</w:t>
            </w:r>
            <w:r w:rsidR="00400958">
              <w:rPr>
                <w:sz w:val="18"/>
                <w:szCs w:val="18"/>
              </w:rPr>
              <w:t>%</w:t>
            </w:r>
          </w:p>
        </w:tc>
        <w:tc>
          <w:tcPr>
            <w:tcW w:w="1023" w:type="dxa"/>
            <w:tcBorders>
              <w:top w:val="single" w:sz="4" w:space="0" w:color="auto"/>
              <w:left w:val="single" w:sz="4" w:space="0" w:color="auto"/>
              <w:bottom w:val="doub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322,087</w:t>
            </w:r>
          </w:p>
        </w:tc>
        <w:tc>
          <w:tcPr>
            <w:tcW w:w="810" w:type="dxa"/>
            <w:tcBorders>
              <w:top w:val="single" w:sz="4" w:space="0" w:color="auto"/>
              <w:left w:val="single" w:sz="4" w:space="0" w:color="auto"/>
              <w:bottom w:val="doub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23.</w:t>
            </w:r>
            <w:r w:rsidR="00400958">
              <w:rPr>
                <w:sz w:val="18"/>
                <w:szCs w:val="18"/>
              </w:rPr>
              <w:t>%</w:t>
            </w:r>
            <w:r>
              <w:rPr>
                <w:sz w:val="18"/>
                <w:szCs w:val="18"/>
              </w:rPr>
              <w:t>6</w:t>
            </w:r>
          </w:p>
        </w:tc>
        <w:tc>
          <w:tcPr>
            <w:tcW w:w="977" w:type="dxa"/>
            <w:tcBorders>
              <w:top w:val="single" w:sz="4" w:space="0" w:color="auto"/>
              <w:left w:val="single" w:sz="4" w:space="0" w:color="auto"/>
              <w:bottom w:val="doub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750,965</w:t>
            </w:r>
          </w:p>
        </w:tc>
        <w:tc>
          <w:tcPr>
            <w:tcW w:w="810" w:type="dxa"/>
            <w:tcBorders>
              <w:top w:val="single" w:sz="4" w:space="0" w:color="auto"/>
              <w:left w:val="single" w:sz="4" w:space="0" w:color="auto"/>
              <w:bottom w:val="double" w:sz="4" w:space="0" w:color="auto"/>
              <w:right w:val="single" w:sz="4" w:space="0" w:color="auto"/>
            </w:tcBorders>
            <w:vAlign w:val="center"/>
            <w:hideMark/>
          </w:tcPr>
          <w:p w:rsidR="005100E7" w:rsidRDefault="005100E7" w:rsidP="00400958">
            <w:pPr>
              <w:spacing w:line="276" w:lineRule="auto"/>
              <w:jc w:val="center"/>
              <w:rPr>
                <w:sz w:val="18"/>
                <w:szCs w:val="18"/>
              </w:rPr>
            </w:pPr>
            <w:r>
              <w:rPr>
                <w:sz w:val="18"/>
                <w:szCs w:val="18"/>
              </w:rPr>
              <w:t>26.7</w:t>
            </w:r>
            <w:r w:rsidR="00400958">
              <w:rPr>
                <w:sz w:val="18"/>
                <w:szCs w:val="18"/>
              </w:rPr>
              <w:t>%</w:t>
            </w:r>
          </w:p>
        </w:tc>
      </w:tr>
      <w:tr w:rsidR="005100E7" w:rsidTr="00400958">
        <w:trPr>
          <w:trHeight w:val="339"/>
          <w:jc w:val="center"/>
        </w:trPr>
        <w:tc>
          <w:tcPr>
            <w:tcW w:w="1530" w:type="dxa"/>
            <w:tcBorders>
              <w:top w:val="double" w:sz="4" w:space="0" w:color="auto"/>
              <w:left w:val="double" w:sz="4" w:space="0" w:color="auto"/>
              <w:bottom w:val="double" w:sz="4" w:space="0" w:color="auto"/>
              <w:right w:val="single" w:sz="4" w:space="0" w:color="auto"/>
            </w:tcBorders>
            <w:vAlign w:val="center"/>
            <w:hideMark/>
          </w:tcPr>
          <w:p w:rsidR="005100E7" w:rsidRDefault="005100E7" w:rsidP="006E6C7C">
            <w:pPr>
              <w:pStyle w:val="Heading4"/>
              <w:spacing w:line="276" w:lineRule="auto"/>
              <w:rPr>
                <w:sz w:val="18"/>
                <w:szCs w:val="18"/>
                <w:u w:val="single"/>
              </w:rPr>
            </w:pPr>
            <w:r>
              <w:rPr>
                <w:sz w:val="18"/>
                <w:szCs w:val="18"/>
                <w:u w:val="single"/>
              </w:rPr>
              <w:t>Total Population</w:t>
            </w:r>
          </w:p>
        </w:tc>
        <w:tc>
          <w:tcPr>
            <w:tcW w:w="1004" w:type="dxa"/>
            <w:tcBorders>
              <w:top w:val="double" w:sz="4" w:space="0" w:color="auto"/>
              <w:left w:val="single" w:sz="4" w:space="0" w:color="auto"/>
              <w:bottom w:val="double" w:sz="4" w:space="0" w:color="auto"/>
              <w:right w:val="single" w:sz="4" w:space="0" w:color="auto"/>
            </w:tcBorders>
            <w:vAlign w:val="center"/>
            <w:hideMark/>
          </w:tcPr>
          <w:p w:rsidR="005100E7" w:rsidRDefault="005100E7" w:rsidP="00400958">
            <w:pPr>
              <w:spacing w:line="276" w:lineRule="auto"/>
              <w:jc w:val="center"/>
              <w:rPr>
                <w:b/>
                <w:bCs/>
                <w:sz w:val="18"/>
                <w:szCs w:val="18"/>
                <w:u w:val="single"/>
              </w:rPr>
            </w:pPr>
            <w:r>
              <w:rPr>
                <w:b/>
                <w:bCs/>
                <w:sz w:val="18"/>
                <w:szCs w:val="18"/>
                <w:u w:val="single"/>
              </w:rPr>
              <w:t>1,223,400</w:t>
            </w:r>
          </w:p>
        </w:tc>
        <w:tc>
          <w:tcPr>
            <w:tcW w:w="809" w:type="dxa"/>
            <w:tcBorders>
              <w:top w:val="double" w:sz="4" w:space="0" w:color="auto"/>
              <w:left w:val="single" w:sz="4" w:space="0" w:color="auto"/>
              <w:bottom w:val="double" w:sz="4" w:space="0" w:color="auto"/>
              <w:right w:val="double" w:sz="4" w:space="0" w:color="auto"/>
            </w:tcBorders>
            <w:shd w:val="solid" w:color="FFFFFF" w:fill="auto"/>
            <w:vAlign w:val="center"/>
            <w:hideMark/>
          </w:tcPr>
          <w:p w:rsidR="005100E7" w:rsidRDefault="005100E7" w:rsidP="00400958">
            <w:pPr>
              <w:spacing w:line="276" w:lineRule="auto"/>
              <w:jc w:val="center"/>
              <w:rPr>
                <w:b/>
                <w:bCs/>
                <w:sz w:val="18"/>
                <w:szCs w:val="18"/>
                <w:u w:val="single"/>
              </w:rPr>
            </w:pPr>
            <w:r>
              <w:rPr>
                <w:b/>
                <w:bCs/>
                <w:sz w:val="18"/>
                <w:szCs w:val="18"/>
                <w:u w:val="single"/>
              </w:rPr>
              <w:t>100%</w:t>
            </w:r>
          </w:p>
        </w:tc>
        <w:tc>
          <w:tcPr>
            <w:tcW w:w="900" w:type="dxa"/>
            <w:tcBorders>
              <w:top w:val="double" w:sz="4" w:space="0" w:color="auto"/>
              <w:left w:val="single" w:sz="4" w:space="0" w:color="auto"/>
              <w:bottom w:val="double" w:sz="4" w:space="0" w:color="auto"/>
              <w:right w:val="double" w:sz="4" w:space="0" w:color="auto"/>
            </w:tcBorders>
            <w:vAlign w:val="center"/>
            <w:hideMark/>
          </w:tcPr>
          <w:p w:rsidR="005100E7" w:rsidRDefault="005100E7" w:rsidP="00400958">
            <w:pPr>
              <w:spacing w:line="276" w:lineRule="auto"/>
              <w:jc w:val="center"/>
              <w:rPr>
                <w:b/>
                <w:bCs/>
                <w:sz w:val="18"/>
                <w:szCs w:val="18"/>
                <w:u w:val="single"/>
              </w:rPr>
            </w:pPr>
            <w:r>
              <w:rPr>
                <w:b/>
                <w:bCs/>
                <w:sz w:val="18"/>
                <w:szCs w:val="18"/>
                <w:u w:val="single"/>
              </w:rPr>
              <w:t>173,556</w:t>
            </w:r>
          </w:p>
        </w:tc>
        <w:tc>
          <w:tcPr>
            <w:tcW w:w="810" w:type="dxa"/>
            <w:tcBorders>
              <w:top w:val="double" w:sz="4" w:space="0" w:color="auto"/>
              <w:left w:val="single" w:sz="4" w:space="0" w:color="auto"/>
              <w:bottom w:val="double" w:sz="4" w:space="0" w:color="auto"/>
              <w:right w:val="single" w:sz="4" w:space="0" w:color="auto"/>
            </w:tcBorders>
            <w:vAlign w:val="center"/>
            <w:hideMark/>
          </w:tcPr>
          <w:p w:rsidR="005100E7" w:rsidRDefault="005100E7" w:rsidP="00400958">
            <w:pPr>
              <w:spacing w:line="276" w:lineRule="auto"/>
              <w:jc w:val="center"/>
              <w:rPr>
                <w:b/>
                <w:bCs/>
                <w:sz w:val="18"/>
                <w:szCs w:val="18"/>
                <w:u w:val="single"/>
              </w:rPr>
            </w:pPr>
            <w:r>
              <w:rPr>
                <w:b/>
                <w:bCs/>
                <w:sz w:val="18"/>
                <w:szCs w:val="18"/>
                <w:u w:val="single"/>
              </w:rPr>
              <w:t>100%</w:t>
            </w:r>
          </w:p>
        </w:tc>
        <w:tc>
          <w:tcPr>
            <w:tcW w:w="900" w:type="dxa"/>
            <w:tcBorders>
              <w:top w:val="double" w:sz="4" w:space="0" w:color="auto"/>
              <w:left w:val="single" w:sz="4" w:space="0" w:color="auto"/>
              <w:bottom w:val="double" w:sz="4" w:space="0" w:color="auto"/>
              <w:right w:val="double" w:sz="4" w:space="0" w:color="auto"/>
            </w:tcBorders>
            <w:vAlign w:val="center"/>
            <w:hideMark/>
          </w:tcPr>
          <w:p w:rsidR="005100E7" w:rsidRDefault="005100E7" w:rsidP="00400958">
            <w:pPr>
              <w:spacing w:line="276" w:lineRule="auto"/>
              <w:jc w:val="center"/>
              <w:rPr>
                <w:b/>
                <w:bCs/>
                <w:sz w:val="18"/>
                <w:szCs w:val="18"/>
                <w:u w:val="single"/>
              </w:rPr>
            </w:pPr>
            <w:r>
              <w:rPr>
                <w:b/>
                <w:bCs/>
                <w:sz w:val="18"/>
                <w:szCs w:val="18"/>
                <w:u w:val="single"/>
              </w:rPr>
              <w:t>54,260</w:t>
            </w:r>
          </w:p>
        </w:tc>
        <w:tc>
          <w:tcPr>
            <w:tcW w:w="810" w:type="dxa"/>
            <w:tcBorders>
              <w:top w:val="double" w:sz="4" w:space="0" w:color="auto"/>
              <w:left w:val="single" w:sz="4" w:space="0" w:color="auto"/>
              <w:bottom w:val="double" w:sz="4" w:space="0" w:color="auto"/>
              <w:right w:val="double" w:sz="4" w:space="0" w:color="auto"/>
            </w:tcBorders>
            <w:vAlign w:val="center"/>
            <w:hideMark/>
          </w:tcPr>
          <w:p w:rsidR="005100E7" w:rsidRDefault="005100E7" w:rsidP="00400958">
            <w:pPr>
              <w:spacing w:line="276" w:lineRule="auto"/>
              <w:jc w:val="center"/>
              <w:rPr>
                <w:b/>
                <w:bCs/>
                <w:sz w:val="18"/>
                <w:szCs w:val="18"/>
                <w:u w:val="single"/>
              </w:rPr>
            </w:pPr>
            <w:r>
              <w:rPr>
                <w:b/>
                <w:bCs/>
                <w:sz w:val="18"/>
                <w:szCs w:val="18"/>
                <w:u w:val="single"/>
              </w:rPr>
              <w:t>100%</w:t>
            </w:r>
          </w:p>
        </w:tc>
        <w:tc>
          <w:tcPr>
            <w:tcW w:w="1023" w:type="dxa"/>
            <w:tcBorders>
              <w:top w:val="double" w:sz="4" w:space="0" w:color="auto"/>
              <w:left w:val="single" w:sz="4" w:space="0" w:color="auto"/>
              <w:bottom w:val="double" w:sz="4" w:space="0" w:color="auto"/>
              <w:right w:val="double" w:sz="4" w:space="0" w:color="auto"/>
            </w:tcBorders>
            <w:vAlign w:val="center"/>
            <w:hideMark/>
          </w:tcPr>
          <w:p w:rsidR="005100E7" w:rsidRDefault="005100E7" w:rsidP="00400958">
            <w:pPr>
              <w:spacing w:line="276" w:lineRule="auto"/>
              <w:jc w:val="center"/>
              <w:rPr>
                <w:b/>
                <w:bCs/>
                <w:sz w:val="18"/>
                <w:szCs w:val="18"/>
                <w:u w:val="single"/>
              </w:rPr>
            </w:pPr>
            <w:r>
              <w:rPr>
                <w:b/>
                <w:bCs/>
                <w:sz w:val="18"/>
                <w:szCs w:val="18"/>
                <w:u w:val="single"/>
              </w:rPr>
              <w:t>1,362,617</w:t>
            </w:r>
          </w:p>
        </w:tc>
        <w:tc>
          <w:tcPr>
            <w:tcW w:w="810" w:type="dxa"/>
            <w:tcBorders>
              <w:top w:val="double" w:sz="4" w:space="0" w:color="auto"/>
              <w:left w:val="single" w:sz="4" w:space="0" w:color="auto"/>
              <w:bottom w:val="double" w:sz="4" w:space="0" w:color="auto"/>
              <w:right w:val="double" w:sz="4" w:space="0" w:color="auto"/>
            </w:tcBorders>
            <w:vAlign w:val="center"/>
            <w:hideMark/>
          </w:tcPr>
          <w:p w:rsidR="005100E7" w:rsidRDefault="005100E7" w:rsidP="00400958">
            <w:pPr>
              <w:spacing w:line="276" w:lineRule="auto"/>
              <w:jc w:val="center"/>
              <w:rPr>
                <w:b/>
                <w:bCs/>
                <w:sz w:val="18"/>
                <w:szCs w:val="18"/>
                <w:u w:val="single"/>
              </w:rPr>
            </w:pPr>
            <w:r>
              <w:rPr>
                <w:b/>
                <w:bCs/>
                <w:sz w:val="18"/>
                <w:szCs w:val="18"/>
                <w:u w:val="single"/>
              </w:rPr>
              <w:t>100%</w:t>
            </w:r>
          </w:p>
        </w:tc>
        <w:tc>
          <w:tcPr>
            <w:tcW w:w="977" w:type="dxa"/>
            <w:tcBorders>
              <w:top w:val="double" w:sz="4" w:space="0" w:color="auto"/>
              <w:left w:val="single" w:sz="4" w:space="0" w:color="auto"/>
              <w:bottom w:val="double" w:sz="4" w:space="0" w:color="auto"/>
              <w:right w:val="double" w:sz="4" w:space="0" w:color="auto"/>
            </w:tcBorders>
            <w:vAlign w:val="center"/>
            <w:hideMark/>
          </w:tcPr>
          <w:p w:rsidR="005100E7" w:rsidRDefault="005100E7" w:rsidP="00400958">
            <w:pPr>
              <w:spacing w:line="276" w:lineRule="auto"/>
              <w:jc w:val="center"/>
              <w:rPr>
                <w:b/>
                <w:bCs/>
                <w:sz w:val="18"/>
                <w:szCs w:val="18"/>
                <w:u w:val="single"/>
              </w:rPr>
            </w:pPr>
            <w:r>
              <w:rPr>
                <w:b/>
                <w:bCs/>
                <w:sz w:val="18"/>
                <w:szCs w:val="18"/>
                <w:u w:val="single"/>
              </w:rPr>
              <w:t>2,813,833</w:t>
            </w:r>
          </w:p>
        </w:tc>
        <w:tc>
          <w:tcPr>
            <w:tcW w:w="810" w:type="dxa"/>
            <w:tcBorders>
              <w:top w:val="double" w:sz="4" w:space="0" w:color="auto"/>
              <w:left w:val="single" w:sz="4" w:space="0" w:color="auto"/>
              <w:bottom w:val="double" w:sz="4" w:space="0" w:color="auto"/>
              <w:right w:val="double" w:sz="4" w:space="0" w:color="auto"/>
            </w:tcBorders>
            <w:vAlign w:val="center"/>
            <w:hideMark/>
          </w:tcPr>
          <w:p w:rsidR="005100E7" w:rsidRDefault="005100E7" w:rsidP="00400958">
            <w:pPr>
              <w:spacing w:line="276" w:lineRule="auto"/>
              <w:jc w:val="center"/>
              <w:rPr>
                <w:b/>
                <w:bCs/>
                <w:sz w:val="18"/>
                <w:szCs w:val="18"/>
                <w:u w:val="single"/>
              </w:rPr>
            </w:pPr>
            <w:r>
              <w:rPr>
                <w:b/>
                <w:bCs/>
                <w:sz w:val="18"/>
                <w:szCs w:val="18"/>
                <w:u w:val="single"/>
              </w:rPr>
              <w:t>100%</w:t>
            </w:r>
          </w:p>
        </w:tc>
      </w:tr>
      <w:tr w:rsidR="005100E7" w:rsidTr="006E6C7C">
        <w:trPr>
          <w:trHeight w:val="339"/>
          <w:jc w:val="center"/>
        </w:trPr>
        <w:tc>
          <w:tcPr>
            <w:tcW w:w="1530" w:type="dxa"/>
            <w:tcBorders>
              <w:top w:val="double" w:sz="4" w:space="0" w:color="auto"/>
              <w:left w:val="nil"/>
              <w:bottom w:val="single" w:sz="4" w:space="0" w:color="auto"/>
              <w:right w:val="nil"/>
            </w:tcBorders>
            <w:vAlign w:val="center"/>
          </w:tcPr>
          <w:p w:rsidR="005100E7" w:rsidRDefault="005100E7" w:rsidP="006E6C7C">
            <w:pPr>
              <w:pStyle w:val="Heading4"/>
              <w:spacing w:line="276" w:lineRule="auto"/>
              <w:rPr>
                <w:sz w:val="18"/>
                <w:szCs w:val="18"/>
                <w:u w:val="single"/>
              </w:rPr>
            </w:pPr>
          </w:p>
        </w:tc>
        <w:tc>
          <w:tcPr>
            <w:tcW w:w="1004" w:type="dxa"/>
            <w:tcBorders>
              <w:top w:val="double" w:sz="4" w:space="0" w:color="auto"/>
              <w:left w:val="nil"/>
              <w:bottom w:val="single" w:sz="4" w:space="0" w:color="auto"/>
              <w:right w:val="nil"/>
            </w:tcBorders>
            <w:vAlign w:val="center"/>
          </w:tcPr>
          <w:p w:rsidR="005100E7" w:rsidRDefault="005100E7" w:rsidP="006E6C7C">
            <w:pPr>
              <w:spacing w:line="276" w:lineRule="auto"/>
              <w:jc w:val="center"/>
              <w:rPr>
                <w:b/>
                <w:bCs/>
                <w:sz w:val="18"/>
                <w:szCs w:val="18"/>
                <w:u w:val="single"/>
              </w:rPr>
            </w:pPr>
          </w:p>
        </w:tc>
        <w:tc>
          <w:tcPr>
            <w:tcW w:w="809" w:type="dxa"/>
            <w:tcBorders>
              <w:top w:val="double" w:sz="4" w:space="0" w:color="auto"/>
              <w:left w:val="nil"/>
              <w:bottom w:val="single" w:sz="4" w:space="0" w:color="auto"/>
              <w:right w:val="nil"/>
            </w:tcBorders>
            <w:shd w:val="solid" w:color="FFFFFF" w:fill="auto"/>
            <w:vAlign w:val="center"/>
          </w:tcPr>
          <w:p w:rsidR="005100E7" w:rsidRDefault="005100E7" w:rsidP="006E6C7C">
            <w:pPr>
              <w:spacing w:line="276" w:lineRule="auto"/>
              <w:jc w:val="center"/>
              <w:rPr>
                <w:b/>
                <w:bCs/>
                <w:sz w:val="18"/>
                <w:szCs w:val="18"/>
                <w:u w:val="single"/>
              </w:rPr>
            </w:pPr>
          </w:p>
        </w:tc>
        <w:tc>
          <w:tcPr>
            <w:tcW w:w="900" w:type="dxa"/>
            <w:tcBorders>
              <w:top w:val="double" w:sz="4" w:space="0" w:color="auto"/>
              <w:left w:val="nil"/>
              <w:bottom w:val="single" w:sz="4" w:space="0" w:color="auto"/>
              <w:right w:val="nil"/>
            </w:tcBorders>
            <w:vAlign w:val="center"/>
          </w:tcPr>
          <w:p w:rsidR="005100E7" w:rsidRDefault="005100E7" w:rsidP="006E6C7C">
            <w:pPr>
              <w:spacing w:line="276" w:lineRule="auto"/>
              <w:jc w:val="center"/>
              <w:rPr>
                <w:b/>
                <w:bCs/>
                <w:sz w:val="18"/>
                <w:szCs w:val="18"/>
                <w:u w:val="single"/>
              </w:rPr>
            </w:pPr>
          </w:p>
        </w:tc>
        <w:tc>
          <w:tcPr>
            <w:tcW w:w="810" w:type="dxa"/>
            <w:tcBorders>
              <w:top w:val="double" w:sz="4" w:space="0" w:color="auto"/>
              <w:left w:val="nil"/>
              <w:bottom w:val="single" w:sz="4" w:space="0" w:color="auto"/>
              <w:right w:val="nil"/>
            </w:tcBorders>
            <w:vAlign w:val="center"/>
          </w:tcPr>
          <w:p w:rsidR="005100E7" w:rsidRDefault="005100E7" w:rsidP="006E6C7C">
            <w:pPr>
              <w:spacing w:line="276" w:lineRule="auto"/>
              <w:jc w:val="center"/>
              <w:rPr>
                <w:b/>
                <w:bCs/>
                <w:sz w:val="18"/>
                <w:szCs w:val="18"/>
                <w:u w:val="single"/>
              </w:rPr>
            </w:pPr>
          </w:p>
        </w:tc>
        <w:tc>
          <w:tcPr>
            <w:tcW w:w="900" w:type="dxa"/>
            <w:tcBorders>
              <w:top w:val="double" w:sz="4" w:space="0" w:color="auto"/>
              <w:left w:val="nil"/>
              <w:bottom w:val="single" w:sz="4" w:space="0" w:color="auto"/>
              <w:right w:val="nil"/>
            </w:tcBorders>
            <w:vAlign w:val="center"/>
          </w:tcPr>
          <w:p w:rsidR="005100E7" w:rsidRDefault="005100E7" w:rsidP="006E6C7C">
            <w:pPr>
              <w:spacing w:line="276" w:lineRule="auto"/>
              <w:jc w:val="center"/>
              <w:rPr>
                <w:b/>
                <w:bCs/>
                <w:sz w:val="18"/>
                <w:szCs w:val="18"/>
                <w:u w:val="single"/>
              </w:rPr>
            </w:pPr>
          </w:p>
        </w:tc>
        <w:tc>
          <w:tcPr>
            <w:tcW w:w="810" w:type="dxa"/>
            <w:tcBorders>
              <w:top w:val="double" w:sz="4" w:space="0" w:color="auto"/>
              <w:left w:val="nil"/>
              <w:bottom w:val="single" w:sz="4" w:space="0" w:color="auto"/>
              <w:right w:val="nil"/>
            </w:tcBorders>
            <w:vAlign w:val="center"/>
          </w:tcPr>
          <w:p w:rsidR="005100E7" w:rsidRDefault="005100E7" w:rsidP="006E6C7C">
            <w:pPr>
              <w:spacing w:line="276" w:lineRule="auto"/>
              <w:jc w:val="center"/>
              <w:rPr>
                <w:b/>
                <w:bCs/>
                <w:sz w:val="18"/>
                <w:szCs w:val="18"/>
                <w:u w:val="single"/>
              </w:rPr>
            </w:pPr>
          </w:p>
        </w:tc>
        <w:tc>
          <w:tcPr>
            <w:tcW w:w="1023" w:type="dxa"/>
            <w:tcBorders>
              <w:top w:val="double" w:sz="4" w:space="0" w:color="auto"/>
              <w:left w:val="nil"/>
              <w:bottom w:val="single" w:sz="4" w:space="0" w:color="auto"/>
              <w:right w:val="nil"/>
            </w:tcBorders>
            <w:vAlign w:val="center"/>
          </w:tcPr>
          <w:p w:rsidR="005100E7" w:rsidRDefault="005100E7" w:rsidP="006E6C7C">
            <w:pPr>
              <w:spacing w:line="276" w:lineRule="auto"/>
              <w:jc w:val="center"/>
              <w:rPr>
                <w:b/>
                <w:bCs/>
                <w:sz w:val="18"/>
                <w:szCs w:val="18"/>
                <w:u w:val="single"/>
              </w:rPr>
            </w:pPr>
          </w:p>
        </w:tc>
        <w:tc>
          <w:tcPr>
            <w:tcW w:w="810" w:type="dxa"/>
            <w:tcBorders>
              <w:top w:val="double" w:sz="4" w:space="0" w:color="auto"/>
              <w:left w:val="nil"/>
              <w:bottom w:val="single" w:sz="4" w:space="0" w:color="auto"/>
              <w:right w:val="nil"/>
            </w:tcBorders>
            <w:vAlign w:val="center"/>
          </w:tcPr>
          <w:p w:rsidR="005100E7" w:rsidRDefault="005100E7" w:rsidP="006E6C7C">
            <w:pPr>
              <w:spacing w:line="276" w:lineRule="auto"/>
              <w:jc w:val="center"/>
              <w:rPr>
                <w:b/>
                <w:bCs/>
                <w:sz w:val="18"/>
                <w:szCs w:val="18"/>
                <w:u w:val="single"/>
              </w:rPr>
            </w:pPr>
          </w:p>
        </w:tc>
        <w:tc>
          <w:tcPr>
            <w:tcW w:w="977" w:type="dxa"/>
            <w:tcBorders>
              <w:top w:val="double" w:sz="4" w:space="0" w:color="auto"/>
              <w:left w:val="nil"/>
              <w:bottom w:val="single" w:sz="4" w:space="0" w:color="auto"/>
              <w:right w:val="nil"/>
            </w:tcBorders>
            <w:vAlign w:val="center"/>
          </w:tcPr>
          <w:p w:rsidR="005100E7" w:rsidRDefault="005100E7" w:rsidP="006E6C7C">
            <w:pPr>
              <w:spacing w:line="276" w:lineRule="auto"/>
              <w:jc w:val="center"/>
              <w:rPr>
                <w:b/>
                <w:bCs/>
                <w:sz w:val="18"/>
                <w:szCs w:val="18"/>
                <w:u w:val="single"/>
              </w:rPr>
            </w:pPr>
          </w:p>
        </w:tc>
        <w:tc>
          <w:tcPr>
            <w:tcW w:w="810" w:type="dxa"/>
            <w:tcBorders>
              <w:top w:val="double" w:sz="4" w:space="0" w:color="auto"/>
              <w:left w:val="nil"/>
              <w:bottom w:val="single" w:sz="4" w:space="0" w:color="auto"/>
              <w:right w:val="nil"/>
            </w:tcBorders>
            <w:vAlign w:val="center"/>
          </w:tcPr>
          <w:p w:rsidR="005100E7" w:rsidRDefault="005100E7" w:rsidP="006E6C7C">
            <w:pPr>
              <w:spacing w:line="276" w:lineRule="auto"/>
              <w:jc w:val="center"/>
              <w:rPr>
                <w:b/>
                <w:bCs/>
                <w:sz w:val="18"/>
                <w:szCs w:val="18"/>
                <w:u w:val="single"/>
              </w:rPr>
            </w:pPr>
          </w:p>
        </w:tc>
      </w:tr>
      <w:tr w:rsidR="005100E7" w:rsidTr="006E6C7C">
        <w:trPr>
          <w:trHeight w:val="339"/>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pStyle w:val="Heading4"/>
              <w:spacing w:line="276" w:lineRule="auto"/>
              <w:rPr>
                <w:b w:val="0"/>
                <w:sz w:val="18"/>
                <w:szCs w:val="18"/>
              </w:rPr>
            </w:pPr>
            <w:r>
              <w:rPr>
                <w:b w:val="0"/>
                <w:sz w:val="18"/>
                <w:szCs w:val="18"/>
              </w:rPr>
              <w:t>Limited English Proficiency</w:t>
            </w:r>
          </w:p>
        </w:tc>
        <w:tc>
          <w:tcPr>
            <w:tcW w:w="1004"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172,527</w:t>
            </w:r>
          </w:p>
        </w:tc>
        <w:tc>
          <w:tcPr>
            <w:tcW w:w="809"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5100E7" w:rsidRDefault="005100E7" w:rsidP="006E6C7C">
            <w:pPr>
              <w:spacing w:line="276" w:lineRule="auto"/>
              <w:jc w:val="center"/>
              <w:rPr>
                <w:bCs/>
                <w:sz w:val="18"/>
                <w:szCs w:val="18"/>
              </w:rPr>
            </w:pPr>
            <w:r>
              <w:rPr>
                <w:bCs/>
                <w:sz w:val="18"/>
                <w:szCs w:val="18"/>
              </w:rPr>
              <w:t>14.6</w:t>
            </w:r>
            <w:r w:rsidR="00400958">
              <w:rPr>
                <w:bCs/>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18,357</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10.6</w:t>
            </w:r>
            <w:r w:rsidR="00400958">
              <w:rPr>
                <w:bCs/>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11,233</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22.0</w:t>
            </w:r>
            <w:r w:rsidR="00400958">
              <w:rPr>
                <w:bCs/>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136,282</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10.0</w:t>
            </w:r>
            <w:r w:rsidR="00400958">
              <w:rPr>
                <w:bCs/>
                <w:sz w:val="18"/>
                <w:szCs w:val="18"/>
              </w:rPr>
              <w:t>%</w:t>
            </w:r>
          </w:p>
        </w:tc>
        <w:tc>
          <w:tcPr>
            <w:tcW w:w="977"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338,399</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12.4</w:t>
            </w:r>
            <w:r w:rsidR="00400958">
              <w:rPr>
                <w:bCs/>
                <w:sz w:val="18"/>
                <w:szCs w:val="18"/>
              </w:rPr>
              <w:t>%</w:t>
            </w:r>
          </w:p>
        </w:tc>
      </w:tr>
      <w:tr w:rsidR="005100E7" w:rsidTr="006E6C7C">
        <w:trPr>
          <w:trHeight w:val="339"/>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pStyle w:val="Heading4"/>
              <w:spacing w:line="276" w:lineRule="auto"/>
              <w:rPr>
                <w:b w:val="0"/>
                <w:sz w:val="18"/>
                <w:szCs w:val="18"/>
              </w:rPr>
            </w:pPr>
            <w:r>
              <w:rPr>
                <w:b w:val="0"/>
                <w:sz w:val="18"/>
                <w:szCs w:val="18"/>
              </w:rPr>
              <w:t>Low-Income</w:t>
            </w:r>
          </w:p>
        </w:tc>
        <w:tc>
          <w:tcPr>
            <w:tcW w:w="1004"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314,227</w:t>
            </w:r>
          </w:p>
        </w:tc>
        <w:tc>
          <w:tcPr>
            <w:tcW w:w="809"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5100E7" w:rsidRDefault="005100E7" w:rsidP="006E6C7C">
            <w:pPr>
              <w:spacing w:line="276" w:lineRule="auto"/>
              <w:jc w:val="center"/>
              <w:rPr>
                <w:bCs/>
                <w:sz w:val="18"/>
                <w:szCs w:val="18"/>
              </w:rPr>
            </w:pPr>
            <w:r>
              <w:rPr>
                <w:bCs/>
                <w:sz w:val="18"/>
                <w:szCs w:val="18"/>
              </w:rPr>
              <w:t>25.7</w:t>
            </w:r>
            <w:r w:rsidR="00400958">
              <w:rPr>
                <w:bCs/>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49,842</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28.7</w:t>
            </w:r>
            <w:r w:rsidR="00400958">
              <w:rPr>
                <w:bCs/>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22,487</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41.3</w:t>
            </w:r>
            <w:r w:rsidR="00400958">
              <w:rPr>
                <w:bCs/>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219,698</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16.1</w:t>
            </w:r>
            <w:r w:rsidR="00400958">
              <w:rPr>
                <w:bCs/>
                <w:sz w:val="18"/>
                <w:szCs w:val="18"/>
              </w:rPr>
              <w:t>%</w:t>
            </w:r>
          </w:p>
        </w:tc>
        <w:tc>
          <w:tcPr>
            <w:tcW w:w="977"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606,254</w:t>
            </w:r>
          </w:p>
        </w:tc>
        <w:tc>
          <w:tcPr>
            <w:tcW w:w="810" w:type="dxa"/>
            <w:tcBorders>
              <w:top w:val="single" w:sz="4" w:space="0" w:color="auto"/>
              <w:left w:val="single" w:sz="4" w:space="0" w:color="auto"/>
              <w:bottom w:val="single" w:sz="4" w:space="0" w:color="auto"/>
              <w:right w:val="single" w:sz="4" w:space="0" w:color="auto"/>
            </w:tcBorders>
            <w:vAlign w:val="center"/>
            <w:hideMark/>
          </w:tcPr>
          <w:p w:rsidR="005100E7" w:rsidRDefault="005100E7" w:rsidP="006E6C7C">
            <w:pPr>
              <w:spacing w:line="276" w:lineRule="auto"/>
              <w:jc w:val="center"/>
              <w:rPr>
                <w:bCs/>
                <w:sz w:val="18"/>
                <w:szCs w:val="18"/>
              </w:rPr>
            </w:pPr>
            <w:r>
              <w:rPr>
                <w:bCs/>
                <w:sz w:val="18"/>
                <w:szCs w:val="18"/>
              </w:rPr>
              <w:t>21.5</w:t>
            </w:r>
            <w:r w:rsidR="00400958">
              <w:rPr>
                <w:bCs/>
                <w:sz w:val="18"/>
                <w:szCs w:val="18"/>
              </w:rPr>
              <w:t>%</w:t>
            </w:r>
          </w:p>
        </w:tc>
      </w:tr>
    </w:tbl>
    <w:p w:rsidR="005100E7" w:rsidRDefault="005100E7">
      <w:pPr>
        <w:rPr>
          <w:b/>
          <w:sz w:val="28"/>
          <w:szCs w:val="28"/>
        </w:rPr>
      </w:pPr>
    </w:p>
    <w:p w:rsidR="009D33CE" w:rsidRDefault="009D33CE">
      <w:pPr>
        <w:rPr>
          <w:b/>
          <w:sz w:val="28"/>
          <w:szCs w:val="28"/>
        </w:rPr>
      </w:pPr>
      <w:r>
        <w:rPr>
          <w:b/>
          <w:sz w:val="28"/>
          <w:szCs w:val="28"/>
        </w:rPr>
        <w:br w:type="page"/>
      </w:r>
    </w:p>
    <w:p w:rsidR="009D33CE" w:rsidRPr="00B53DC8" w:rsidRDefault="009D33CE" w:rsidP="009D33CE">
      <w:pPr>
        <w:pStyle w:val="Heading9"/>
        <w:spacing w:line="360" w:lineRule="auto"/>
        <w:rPr>
          <w:bCs/>
          <w:sz w:val="28"/>
          <w:szCs w:val="28"/>
        </w:rPr>
      </w:pPr>
      <w:r>
        <w:rPr>
          <w:bCs/>
          <w:sz w:val="28"/>
          <w:szCs w:val="28"/>
        </w:rPr>
        <w:lastRenderedPageBreak/>
        <w:t>Source: 201</w:t>
      </w:r>
      <w:r w:rsidRPr="00B53DC8">
        <w:rPr>
          <w:bCs/>
          <w:sz w:val="28"/>
          <w:szCs w:val="28"/>
        </w:rPr>
        <w:t>0 U.S. Census</w:t>
      </w:r>
    </w:p>
    <w:p w:rsidR="009D33CE" w:rsidRDefault="009D33CE">
      <w:pPr>
        <w:rPr>
          <w:b/>
          <w:sz w:val="28"/>
          <w:szCs w:val="28"/>
        </w:rPr>
      </w:pPr>
    </w:p>
    <w:tbl>
      <w:tblPr>
        <w:tblW w:w="10383" w:type="dxa"/>
        <w:jc w:val="center"/>
        <w:tblInd w:w="-3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004"/>
        <w:gridCol w:w="809"/>
        <w:gridCol w:w="900"/>
        <w:gridCol w:w="810"/>
        <w:gridCol w:w="900"/>
        <w:gridCol w:w="810"/>
        <w:gridCol w:w="1023"/>
        <w:gridCol w:w="810"/>
        <w:gridCol w:w="977"/>
        <w:gridCol w:w="810"/>
      </w:tblGrid>
      <w:tr w:rsidR="009D33CE" w:rsidTr="009D33CE">
        <w:trPr>
          <w:trHeight w:val="540"/>
          <w:jc w:val="center"/>
        </w:trPr>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D33CE" w:rsidRDefault="009D33CE" w:rsidP="009D33CE">
            <w:pPr>
              <w:pStyle w:val="ReferenceLine"/>
              <w:spacing w:line="276" w:lineRule="auto"/>
              <w:jc w:val="center"/>
              <w:rPr>
                <w:b/>
                <w:bCs/>
                <w:sz w:val="20"/>
              </w:rPr>
            </w:pPr>
            <w:r>
              <w:rPr>
                <w:b/>
                <w:bCs/>
                <w:sz w:val="20"/>
              </w:rPr>
              <w:t>Racial/ Ethnic Group</w:t>
            </w:r>
          </w:p>
        </w:tc>
        <w:tc>
          <w:tcPr>
            <w:tcW w:w="181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33CE" w:rsidRDefault="009D33CE" w:rsidP="009D33CE">
            <w:pPr>
              <w:pStyle w:val="Heading4"/>
              <w:spacing w:line="276" w:lineRule="auto"/>
              <w:jc w:val="center"/>
              <w:rPr>
                <w:sz w:val="20"/>
              </w:rPr>
            </w:pPr>
            <w:r>
              <w:rPr>
                <w:sz w:val="20"/>
              </w:rPr>
              <w:t>San Diego City</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33CE" w:rsidRDefault="009D33CE" w:rsidP="009D33CE">
            <w:pPr>
              <w:pStyle w:val="Heading4"/>
              <w:spacing w:line="276" w:lineRule="auto"/>
              <w:jc w:val="center"/>
              <w:rPr>
                <w:sz w:val="20"/>
              </w:rPr>
            </w:pPr>
            <w:r>
              <w:rPr>
                <w:sz w:val="20"/>
              </w:rPr>
              <w:t>Chula Vista City</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33CE" w:rsidRDefault="009D33CE" w:rsidP="009D33CE">
            <w:pPr>
              <w:pStyle w:val="Heading4"/>
              <w:spacing w:line="276" w:lineRule="auto"/>
              <w:jc w:val="center"/>
              <w:rPr>
                <w:sz w:val="20"/>
              </w:rPr>
            </w:pPr>
            <w:r>
              <w:rPr>
                <w:sz w:val="20"/>
              </w:rPr>
              <w:t>National City</w:t>
            </w:r>
          </w:p>
        </w:tc>
        <w:tc>
          <w:tcPr>
            <w:tcW w:w="18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33CE" w:rsidRDefault="009D33CE" w:rsidP="009D33CE">
            <w:pPr>
              <w:pStyle w:val="Heading4"/>
              <w:spacing w:line="276" w:lineRule="auto"/>
              <w:jc w:val="center"/>
              <w:rPr>
                <w:sz w:val="20"/>
              </w:rPr>
            </w:pPr>
            <w:r>
              <w:rPr>
                <w:sz w:val="20"/>
              </w:rPr>
              <w:t>Rest of San Diego County</w:t>
            </w:r>
          </w:p>
        </w:tc>
        <w:tc>
          <w:tcPr>
            <w:tcW w:w="178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33CE" w:rsidRDefault="009D33CE" w:rsidP="009D33CE">
            <w:pPr>
              <w:pStyle w:val="Heading4"/>
              <w:spacing w:line="276" w:lineRule="auto"/>
              <w:jc w:val="center"/>
              <w:rPr>
                <w:sz w:val="20"/>
              </w:rPr>
            </w:pPr>
            <w:r>
              <w:rPr>
                <w:sz w:val="20"/>
              </w:rPr>
              <w:t>Total San Diego County</w:t>
            </w:r>
          </w:p>
        </w:tc>
      </w:tr>
      <w:tr w:rsidR="009D33CE" w:rsidTr="009D33CE">
        <w:trPr>
          <w:trHeight w:val="145"/>
          <w:jc w:val="center"/>
        </w:trPr>
        <w:tc>
          <w:tcPr>
            <w:tcW w:w="1530" w:type="dxa"/>
            <w:vMerge/>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rPr>
                <w:b/>
                <w:bCs/>
              </w:rPr>
            </w:pPr>
          </w:p>
        </w:tc>
        <w:tc>
          <w:tcPr>
            <w:tcW w:w="1004" w:type="dxa"/>
            <w:tcBorders>
              <w:top w:val="single" w:sz="4" w:space="0" w:color="auto"/>
              <w:left w:val="single" w:sz="4" w:space="0" w:color="auto"/>
              <w:bottom w:val="single" w:sz="4" w:space="0" w:color="auto"/>
              <w:right w:val="single" w:sz="4" w:space="0" w:color="auto"/>
            </w:tcBorders>
            <w:shd w:val="clear" w:color="auto" w:fill="D9D9D9"/>
            <w:hideMark/>
          </w:tcPr>
          <w:p w:rsidR="009D33CE" w:rsidRDefault="009D33CE" w:rsidP="009D33CE">
            <w:pPr>
              <w:spacing w:line="276" w:lineRule="auto"/>
              <w:jc w:val="center"/>
              <w:rPr>
                <w:b/>
                <w:sz w:val="18"/>
                <w:szCs w:val="18"/>
              </w:rPr>
            </w:pPr>
            <w:r>
              <w:rPr>
                <w:b/>
                <w:sz w:val="18"/>
                <w:szCs w:val="18"/>
              </w:rPr>
              <w:t>Number</w:t>
            </w:r>
          </w:p>
        </w:tc>
        <w:tc>
          <w:tcPr>
            <w:tcW w:w="809" w:type="dxa"/>
            <w:tcBorders>
              <w:top w:val="single" w:sz="4" w:space="0" w:color="auto"/>
              <w:left w:val="single" w:sz="4" w:space="0" w:color="auto"/>
              <w:bottom w:val="single" w:sz="4" w:space="0" w:color="auto"/>
              <w:right w:val="single" w:sz="4" w:space="0" w:color="auto"/>
            </w:tcBorders>
            <w:shd w:val="clear" w:color="auto" w:fill="D9D9D9"/>
            <w:hideMark/>
          </w:tcPr>
          <w:p w:rsidR="009D33CE" w:rsidRDefault="009D33CE" w:rsidP="009D33CE">
            <w:pPr>
              <w:spacing w:line="276" w:lineRule="auto"/>
              <w:jc w:val="center"/>
              <w:rPr>
                <w:b/>
                <w:sz w:val="18"/>
                <w:szCs w:val="18"/>
              </w:rPr>
            </w:pPr>
            <w:r>
              <w:rPr>
                <w:b/>
                <w:sz w:val="18"/>
                <w:szCs w:val="18"/>
              </w:rPr>
              <w:t>Percent</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rsidR="009D33CE" w:rsidRDefault="009D33CE" w:rsidP="009D33CE">
            <w:pPr>
              <w:spacing w:line="276" w:lineRule="auto"/>
              <w:jc w:val="center"/>
              <w:rPr>
                <w:b/>
                <w:bCs/>
                <w:sz w:val="18"/>
                <w:szCs w:val="18"/>
              </w:rPr>
            </w:pPr>
            <w:r>
              <w:rPr>
                <w:b/>
                <w:bCs/>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9D33CE" w:rsidRDefault="009D33CE" w:rsidP="009D33CE">
            <w:pPr>
              <w:spacing w:line="276" w:lineRule="auto"/>
              <w:jc w:val="center"/>
              <w:rPr>
                <w:b/>
                <w:bCs/>
                <w:sz w:val="18"/>
                <w:szCs w:val="18"/>
              </w:rPr>
            </w:pPr>
            <w:r>
              <w:rPr>
                <w:b/>
                <w:bCs/>
                <w:sz w:val="18"/>
                <w:szCs w:val="18"/>
              </w:rPr>
              <w:t>Percent</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rsidR="009D33CE" w:rsidRDefault="009D33CE" w:rsidP="009D33CE">
            <w:pPr>
              <w:spacing w:line="276" w:lineRule="auto"/>
              <w:jc w:val="center"/>
              <w:rPr>
                <w:b/>
                <w:bCs/>
                <w:sz w:val="18"/>
                <w:szCs w:val="18"/>
              </w:rPr>
            </w:pPr>
            <w:r>
              <w:rPr>
                <w:b/>
                <w:bCs/>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9D33CE" w:rsidRDefault="009D33CE" w:rsidP="009D33CE">
            <w:pPr>
              <w:spacing w:line="276" w:lineRule="auto"/>
              <w:jc w:val="center"/>
              <w:rPr>
                <w:b/>
                <w:bCs/>
                <w:sz w:val="18"/>
                <w:szCs w:val="18"/>
              </w:rPr>
            </w:pPr>
            <w:r>
              <w:rPr>
                <w:b/>
                <w:bCs/>
                <w:sz w:val="18"/>
                <w:szCs w:val="18"/>
              </w:rPr>
              <w:t>Percent</w:t>
            </w:r>
          </w:p>
        </w:tc>
        <w:tc>
          <w:tcPr>
            <w:tcW w:w="1023" w:type="dxa"/>
            <w:tcBorders>
              <w:top w:val="single" w:sz="4" w:space="0" w:color="auto"/>
              <w:left w:val="single" w:sz="4" w:space="0" w:color="auto"/>
              <w:bottom w:val="single" w:sz="4" w:space="0" w:color="auto"/>
              <w:right w:val="single" w:sz="4" w:space="0" w:color="auto"/>
            </w:tcBorders>
            <w:shd w:val="clear" w:color="auto" w:fill="D9D9D9"/>
            <w:hideMark/>
          </w:tcPr>
          <w:p w:rsidR="009D33CE" w:rsidRDefault="009D33CE" w:rsidP="009D33CE">
            <w:pPr>
              <w:spacing w:line="276" w:lineRule="auto"/>
              <w:jc w:val="center"/>
              <w:rPr>
                <w:b/>
                <w:bCs/>
                <w:sz w:val="18"/>
                <w:szCs w:val="18"/>
              </w:rPr>
            </w:pPr>
            <w:r>
              <w:rPr>
                <w:b/>
                <w:bCs/>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9D33CE" w:rsidRDefault="009D33CE" w:rsidP="009D33CE">
            <w:pPr>
              <w:spacing w:line="276" w:lineRule="auto"/>
              <w:jc w:val="center"/>
              <w:rPr>
                <w:b/>
                <w:bCs/>
                <w:sz w:val="18"/>
                <w:szCs w:val="18"/>
              </w:rPr>
            </w:pPr>
            <w:r>
              <w:rPr>
                <w:b/>
                <w:bCs/>
                <w:sz w:val="18"/>
                <w:szCs w:val="18"/>
              </w:rPr>
              <w:t>Percent</w:t>
            </w:r>
          </w:p>
        </w:tc>
        <w:tc>
          <w:tcPr>
            <w:tcW w:w="977" w:type="dxa"/>
            <w:tcBorders>
              <w:top w:val="single" w:sz="4" w:space="0" w:color="auto"/>
              <w:left w:val="single" w:sz="4" w:space="0" w:color="auto"/>
              <w:bottom w:val="single" w:sz="4" w:space="0" w:color="auto"/>
              <w:right w:val="single" w:sz="4" w:space="0" w:color="auto"/>
            </w:tcBorders>
            <w:shd w:val="clear" w:color="auto" w:fill="D9D9D9"/>
            <w:hideMark/>
          </w:tcPr>
          <w:p w:rsidR="009D33CE" w:rsidRDefault="009D33CE" w:rsidP="009D33CE">
            <w:pPr>
              <w:spacing w:line="276" w:lineRule="auto"/>
              <w:jc w:val="center"/>
              <w:rPr>
                <w:b/>
                <w:bCs/>
                <w:sz w:val="18"/>
                <w:szCs w:val="18"/>
              </w:rPr>
            </w:pPr>
            <w:r>
              <w:rPr>
                <w:b/>
                <w:bCs/>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9D33CE" w:rsidRDefault="009D33CE" w:rsidP="009D33CE">
            <w:pPr>
              <w:spacing w:line="276" w:lineRule="auto"/>
              <w:jc w:val="center"/>
              <w:rPr>
                <w:b/>
                <w:bCs/>
                <w:sz w:val="18"/>
                <w:szCs w:val="18"/>
              </w:rPr>
            </w:pPr>
            <w:r>
              <w:rPr>
                <w:b/>
                <w:bCs/>
                <w:sz w:val="18"/>
                <w:szCs w:val="18"/>
              </w:rPr>
              <w:t>Percent</w:t>
            </w:r>
          </w:p>
        </w:tc>
      </w:tr>
      <w:tr w:rsidR="009D33CE" w:rsidTr="009D33CE">
        <w:trPr>
          <w:trHeight w:val="27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Heading4"/>
              <w:spacing w:line="276" w:lineRule="auto"/>
              <w:rPr>
                <w:b w:val="0"/>
                <w:sz w:val="18"/>
                <w:szCs w:val="18"/>
              </w:rPr>
            </w:pPr>
            <w:r>
              <w:rPr>
                <w:b w:val="0"/>
                <w:sz w:val="18"/>
                <w:szCs w:val="18"/>
              </w:rPr>
              <w:t>White</w:t>
            </w:r>
          </w:p>
        </w:tc>
        <w:tc>
          <w:tcPr>
            <w:tcW w:w="1004"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sz w:val="18"/>
                <w:szCs w:val="18"/>
              </w:rPr>
            </w:pPr>
            <w:r>
              <w:rPr>
                <w:sz w:val="18"/>
                <w:szCs w:val="18"/>
              </w:rPr>
              <w:t>769,971</w:t>
            </w:r>
          </w:p>
        </w:tc>
        <w:tc>
          <w:tcPr>
            <w:tcW w:w="809"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sz w:val="18"/>
                <w:szCs w:val="18"/>
              </w:rPr>
            </w:pPr>
            <w:r>
              <w:rPr>
                <w:sz w:val="18"/>
                <w:szCs w:val="18"/>
              </w:rPr>
              <w:t>58.9%</w:t>
            </w:r>
          </w:p>
        </w:tc>
        <w:tc>
          <w:tcPr>
            <w:tcW w:w="90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130,991</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53.7%</w:t>
            </w:r>
          </w:p>
        </w:tc>
        <w:tc>
          <w:tcPr>
            <w:tcW w:w="90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24,725</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42.2%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1,055,755</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71.1%</w:t>
            </w:r>
          </w:p>
        </w:tc>
        <w:tc>
          <w:tcPr>
            <w:tcW w:w="977"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1,981,442</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64.0%</w:t>
            </w:r>
          </w:p>
        </w:tc>
      </w:tr>
      <w:tr w:rsidR="009D33CE" w:rsidTr="009D33CE">
        <w:trPr>
          <w:trHeight w:val="26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Heading4"/>
              <w:spacing w:line="276" w:lineRule="auto"/>
              <w:rPr>
                <w:b w:val="0"/>
                <w:sz w:val="18"/>
                <w:szCs w:val="18"/>
              </w:rPr>
            </w:pPr>
            <w:r>
              <w:rPr>
                <w:b w:val="0"/>
                <w:sz w:val="18"/>
                <w:szCs w:val="18"/>
              </w:rPr>
              <w:t>Black</w:t>
            </w:r>
          </w:p>
        </w:tc>
        <w:tc>
          <w:tcPr>
            <w:tcW w:w="1004"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sz w:val="18"/>
                <w:szCs w:val="18"/>
              </w:rPr>
            </w:pPr>
            <w:r>
              <w:rPr>
                <w:sz w:val="18"/>
                <w:szCs w:val="18"/>
              </w:rPr>
              <w:t>87,949</w:t>
            </w:r>
          </w:p>
        </w:tc>
        <w:tc>
          <w:tcPr>
            <w:tcW w:w="809"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sz w:val="18"/>
                <w:szCs w:val="18"/>
              </w:rPr>
            </w:pPr>
            <w:r>
              <w:rPr>
                <w:sz w:val="18"/>
                <w:szCs w:val="18"/>
              </w:rPr>
              <w:t>6.7%</w:t>
            </w:r>
          </w:p>
        </w:tc>
        <w:tc>
          <w:tcPr>
            <w:tcW w:w="90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11,219</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4.6%</w:t>
            </w:r>
          </w:p>
        </w:tc>
        <w:tc>
          <w:tcPr>
            <w:tcW w:w="90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3,054</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5.2%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55,991</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3.8%</w:t>
            </w:r>
          </w:p>
        </w:tc>
        <w:tc>
          <w:tcPr>
            <w:tcW w:w="977"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158,213</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5.1%</w:t>
            </w:r>
          </w:p>
        </w:tc>
      </w:tr>
      <w:tr w:rsidR="009D33CE" w:rsidTr="009D33CE">
        <w:trPr>
          <w:trHeight w:val="557"/>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Heading4"/>
              <w:spacing w:line="276" w:lineRule="auto"/>
              <w:rPr>
                <w:b w:val="0"/>
                <w:sz w:val="18"/>
                <w:szCs w:val="18"/>
              </w:rPr>
            </w:pPr>
            <w:r>
              <w:rPr>
                <w:b w:val="0"/>
                <w:sz w:val="18"/>
                <w:szCs w:val="18"/>
              </w:rPr>
              <w:t>American Indian and Alaska Native</w:t>
            </w:r>
          </w:p>
        </w:tc>
        <w:tc>
          <w:tcPr>
            <w:tcW w:w="1004"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sz w:val="18"/>
                <w:szCs w:val="18"/>
              </w:rPr>
            </w:pPr>
            <w:r>
              <w:rPr>
                <w:sz w:val="18"/>
                <w:szCs w:val="18"/>
              </w:rPr>
              <w:t>7,696</w:t>
            </w:r>
          </w:p>
        </w:tc>
        <w:tc>
          <w:tcPr>
            <w:tcW w:w="809"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sz w:val="18"/>
                <w:szCs w:val="18"/>
              </w:rPr>
            </w:pPr>
            <w:r>
              <w:rPr>
                <w:sz w:val="18"/>
                <w:szCs w:val="18"/>
              </w:rPr>
              <w:t>0.6%</w:t>
            </w:r>
          </w:p>
        </w:tc>
        <w:tc>
          <w:tcPr>
            <w:tcW w:w="90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1,880</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0.8%</w:t>
            </w:r>
          </w:p>
        </w:tc>
        <w:tc>
          <w:tcPr>
            <w:tcW w:w="90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618</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1.1%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16,146</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1.1%</w:t>
            </w:r>
          </w:p>
        </w:tc>
        <w:tc>
          <w:tcPr>
            <w:tcW w:w="977"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26,340</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bCs/>
                <w:sz w:val="18"/>
                <w:szCs w:val="18"/>
              </w:rPr>
            </w:pPr>
            <w:r>
              <w:rPr>
                <w:bCs/>
                <w:sz w:val="18"/>
                <w:szCs w:val="18"/>
              </w:rPr>
              <w:t>0.9%</w:t>
            </w:r>
          </w:p>
        </w:tc>
      </w:tr>
      <w:tr w:rsidR="009D33CE" w:rsidTr="009D33CE">
        <w:trPr>
          <w:trHeight w:val="287"/>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Heading4"/>
              <w:spacing w:line="276" w:lineRule="auto"/>
              <w:rPr>
                <w:b w:val="0"/>
                <w:sz w:val="18"/>
                <w:szCs w:val="18"/>
              </w:rPr>
            </w:pPr>
            <w:r>
              <w:rPr>
                <w:b w:val="0"/>
                <w:sz w:val="18"/>
                <w:szCs w:val="18"/>
              </w:rPr>
              <w:t>Asian</w:t>
            </w:r>
          </w:p>
        </w:tc>
        <w:tc>
          <w:tcPr>
            <w:tcW w:w="1004"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ReferenceLine"/>
              <w:spacing w:line="276" w:lineRule="auto"/>
              <w:jc w:val="center"/>
              <w:rPr>
                <w:sz w:val="18"/>
                <w:szCs w:val="18"/>
              </w:rPr>
            </w:pPr>
            <w:r>
              <w:rPr>
                <w:sz w:val="18"/>
                <w:szCs w:val="18"/>
              </w:rPr>
              <w:t>207,944</w:t>
            </w:r>
          </w:p>
        </w:tc>
        <w:tc>
          <w:tcPr>
            <w:tcW w:w="809"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ReferenceLine"/>
              <w:spacing w:line="276" w:lineRule="auto"/>
              <w:jc w:val="center"/>
              <w:rPr>
                <w:sz w:val="18"/>
                <w:szCs w:val="18"/>
              </w:rPr>
            </w:pPr>
            <w:r>
              <w:rPr>
                <w:sz w:val="18"/>
                <w:szCs w:val="18"/>
              </w:rPr>
              <w:t>15.9%</w:t>
            </w:r>
          </w:p>
        </w:tc>
        <w:tc>
          <w:tcPr>
            <w:tcW w:w="90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ReferenceLine"/>
              <w:spacing w:line="276" w:lineRule="auto"/>
              <w:jc w:val="center"/>
              <w:rPr>
                <w:sz w:val="18"/>
                <w:szCs w:val="18"/>
              </w:rPr>
            </w:pPr>
            <w:r>
              <w:rPr>
                <w:sz w:val="18"/>
                <w:szCs w:val="18"/>
              </w:rPr>
              <w:t>35,042</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ReferenceLine"/>
              <w:spacing w:line="276" w:lineRule="auto"/>
              <w:jc w:val="center"/>
              <w:rPr>
                <w:sz w:val="18"/>
                <w:szCs w:val="18"/>
              </w:rPr>
            </w:pPr>
            <w:r>
              <w:rPr>
                <w:sz w:val="18"/>
                <w:szCs w:val="18"/>
              </w:rPr>
              <w:t>14.4%</w:t>
            </w:r>
          </w:p>
        </w:tc>
        <w:tc>
          <w:tcPr>
            <w:tcW w:w="90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ReferenceLine"/>
              <w:spacing w:line="276" w:lineRule="auto"/>
              <w:jc w:val="center"/>
              <w:rPr>
                <w:sz w:val="18"/>
                <w:szCs w:val="18"/>
              </w:rPr>
            </w:pPr>
            <w:r>
              <w:rPr>
                <w:sz w:val="18"/>
                <w:szCs w:val="18"/>
              </w:rPr>
              <w:t>10,699</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ReferenceLine"/>
              <w:spacing w:line="276" w:lineRule="auto"/>
              <w:jc w:val="center"/>
              <w:rPr>
                <w:sz w:val="18"/>
                <w:szCs w:val="18"/>
              </w:rPr>
            </w:pPr>
            <w:r>
              <w:rPr>
                <w:sz w:val="18"/>
                <w:szCs w:val="18"/>
              </w:rPr>
              <w:t>18.3%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ReferenceLine"/>
              <w:spacing w:line="276" w:lineRule="auto"/>
              <w:jc w:val="center"/>
              <w:rPr>
                <w:sz w:val="18"/>
                <w:szCs w:val="18"/>
              </w:rPr>
            </w:pPr>
            <w:r>
              <w:rPr>
                <w:sz w:val="18"/>
                <w:szCs w:val="18"/>
              </w:rPr>
              <w:t>82,406</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ReferenceLine"/>
              <w:spacing w:line="276" w:lineRule="auto"/>
              <w:jc w:val="center"/>
              <w:rPr>
                <w:sz w:val="18"/>
                <w:szCs w:val="18"/>
              </w:rPr>
            </w:pPr>
            <w:r>
              <w:rPr>
                <w:sz w:val="18"/>
                <w:szCs w:val="18"/>
              </w:rPr>
              <w:t>5.5%</w:t>
            </w:r>
          </w:p>
        </w:tc>
        <w:tc>
          <w:tcPr>
            <w:tcW w:w="977"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ReferenceLine"/>
              <w:spacing w:line="276" w:lineRule="auto"/>
              <w:jc w:val="center"/>
              <w:rPr>
                <w:sz w:val="18"/>
                <w:szCs w:val="18"/>
              </w:rPr>
            </w:pPr>
            <w:r>
              <w:rPr>
                <w:sz w:val="18"/>
                <w:szCs w:val="18"/>
              </w:rPr>
              <w:t>336,091</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ReferenceLine"/>
              <w:spacing w:line="276" w:lineRule="auto"/>
              <w:jc w:val="center"/>
              <w:rPr>
                <w:sz w:val="18"/>
                <w:szCs w:val="18"/>
              </w:rPr>
            </w:pPr>
            <w:r>
              <w:rPr>
                <w:sz w:val="18"/>
                <w:szCs w:val="18"/>
              </w:rPr>
              <w:t>10.9%</w:t>
            </w:r>
          </w:p>
        </w:tc>
      </w:tr>
      <w:tr w:rsidR="009D33CE" w:rsidTr="009D33CE">
        <w:trPr>
          <w:trHeight w:val="557"/>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Heading4"/>
              <w:spacing w:line="276" w:lineRule="auto"/>
              <w:rPr>
                <w:b w:val="0"/>
                <w:sz w:val="18"/>
                <w:szCs w:val="18"/>
              </w:rPr>
            </w:pPr>
            <w:r>
              <w:rPr>
                <w:b w:val="0"/>
                <w:sz w:val="18"/>
                <w:szCs w:val="18"/>
              </w:rPr>
              <w:t>Hawaiian/Pacific Islander</w:t>
            </w:r>
          </w:p>
        </w:tc>
        <w:tc>
          <w:tcPr>
            <w:tcW w:w="1004"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sz w:val="18"/>
                <w:szCs w:val="18"/>
              </w:rPr>
            </w:pPr>
            <w:r>
              <w:rPr>
                <w:sz w:val="18"/>
                <w:szCs w:val="18"/>
              </w:rPr>
              <w:t>5,908</w:t>
            </w:r>
          </w:p>
        </w:tc>
        <w:tc>
          <w:tcPr>
            <w:tcW w:w="809"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sz w:val="18"/>
                <w:szCs w:val="18"/>
              </w:rPr>
            </w:pPr>
            <w:r>
              <w:rPr>
                <w:sz w:val="18"/>
                <w:szCs w:val="18"/>
              </w:rPr>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sz w:val="18"/>
                <w:szCs w:val="18"/>
              </w:rPr>
            </w:pPr>
            <w:r>
              <w:rPr>
                <w:sz w:val="18"/>
                <w:szCs w:val="18"/>
              </w:rPr>
              <w:t>1,351</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spacing w:line="276" w:lineRule="auto"/>
              <w:jc w:val="center"/>
              <w:rPr>
                <w:sz w:val="18"/>
                <w:szCs w:val="18"/>
              </w:rPr>
            </w:pPr>
            <w:r>
              <w:rPr>
                <w:sz w:val="18"/>
                <w:szCs w:val="18"/>
              </w:rPr>
              <w:t>0.6%</w:t>
            </w:r>
          </w:p>
        </w:tc>
        <w:tc>
          <w:tcPr>
            <w:tcW w:w="900"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482</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0.8%</w:t>
            </w:r>
          </w:p>
        </w:tc>
        <w:tc>
          <w:tcPr>
            <w:tcW w:w="1023"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7,596</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0.5%</w:t>
            </w:r>
          </w:p>
        </w:tc>
        <w:tc>
          <w:tcPr>
            <w:tcW w:w="977"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15,337</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0.5%</w:t>
            </w:r>
          </w:p>
        </w:tc>
      </w:tr>
      <w:tr w:rsidR="009D33CE" w:rsidTr="009D33CE">
        <w:trPr>
          <w:trHeight w:val="27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Heading4"/>
              <w:spacing w:line="276" w:lineRule="auto"/>
              <w:rPr>
                <w:b w:val="0"/>
                <w:sz w:val="18"/>
                <w:szCs w:val="18"/>
              </w:rPr>
            </w:pPr>
            <w:r>
              <w:rPr>
                <w:b w:val="0"/>
                <w:sz w:val="18"/>
                <w:szCs w:val="18"/>
              </w:rPr>
              <w:t>Other Race</w:t>
            </w:r>
          </w:p>
        </w:tc>
        <w:tc>
          <w:tcPr>
            <w:tcW w:w="1004"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161,246</w:t>
            </w:r>
          </w:p>
        </w:tc>
        <w:tc>
          <w:tcPr>
            <w:tcW w:w="809"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12.3%</w:t>
            </w:r>
          </w:p>
        </w:tc>
        <w:tc>
          <w:tcPr>
            <w:tcW w:w="900"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49,171</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20.2%</w:t>
            </w:r>
          </w:p>
        </w:tc>
        <w:tc>
          <w:tcPr>
            <w:tcW w:w="900"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16,175</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27.6%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192,873</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13.0%</w:t>
            </w:r>
          </w:p>
        </w:tc>
        <w:tc>
          <w:tcPr>
            <w:tcW w:w="977"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419,465</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13.6%</w:t>
            </w:r>
          </w:p>
        </w:tc>
      </w:tr>
      <w:tr w:rsidR="009D33CE" w:rsidTr="009D33CE">
        <w:trPr>
          <w:trHeight w:val="298"/>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9D33CE" w:rsidRDefault="009D33CE" w:rsidP="009D33CE">
            <w:pPr>
              <w:pStyle w:val="Heading4"/>
              <w:spacing w:line="276" w:lineRule="auto"/>
              <w:rPr>
                <w:b w:val="0"/>
                <w:sz w:val="18"/>
                <w:szCs w:val="18"/>
              </w:rPr>
            </w:pPr>
            <w:r>
              <w:rPr>
                <w:b w:val="0"/>
                <w:sz w:val="18"/>
                <w:szCs w:val="18"/>
              </w:rPr>
              <w:t>Two or More</w:t>
            </w:r>
          </w:p>
        </w:tc>
        <w:tc>
          <w:tcPr>
            <w:tcW w:w="1004"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66,688</w:t>
            </w:r>
          </w:p>
        </w:tc>
        <w:tc>
          <w:tcPr>
            <w:tcW w:w="809"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5.1</w:t>
            </w:r>
          </w:p>
        </w:tc>
        <w:tc>
          <w:tcPr>
            <w:tcW w:w="900"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14,262</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5.8%</w:t>
            </w:r>
          </w:p>
        </w:tc>
        <w:tc>
          <w:tcPr>
            <w:tcW w:w="900"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2,829</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4.8%</w:t>
            </w:r>
          </w:p>
        </w:tc>
        <w:tc>
          <w:tcPr>
            <w:tcW w:w="1023"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74,646</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rPr>
                <w:sz w:val="18"/>
                <w:szCs w:val="18"/>
              </w:rPr>
            </w:pPr>
            <w:r>
              <w:rPr>
                <w:sz w:val="18"/>
                <w:szCs w:val="18"/>
              </w:rPr>
              <w:t>5.0%</w:t>
            </w:r>
          </w:p>
        </w:tc>
        <w:tc>
          <w:tcPr>
            <w:tcW w:w="977"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158,425</w:t>
            </w:r>
          </w:p>
        </w:tc>
        <w:tc>
          <w:tcPr>
            <w:tcW w:w="810" w:type="dxa"/>
            <w:tcBorders>
              <w:top w:val="single" w:sz="4" w:space="0" w:color="auto"/>
              <w:left w:val="single" w:sz="4" w:space="0" w:color="auto"/>
              <w:bottom w:val="sing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5.1%</w:t>
            </w:r>
          </w:p>
        </w:tc>
      </w:tr>
      <w:tr w:rsidR="009D33CE" w:rsidTr="009D33CE">
        <w:trPr>
          <w:trHeight w:val="298"/>
          <w:jc w:val="center"/>
        </w:trPr>
        <w:tc>
          <w:tcPr>
            <w:tcW w:w="1530" w:type="dxa"/>
            <w:tcBorders>
              <w:top w:val="single" w:sz="4" w:space="0" w:color="auto"/>
              <w:left w:val="single" w:sz="4" w:space="0" w:color="auto"/>
              <w:bottom w:val="double" w:sz="4" w:space="0" w:color="auto"/>
              <w:right w:val="single" w:sz="4" w:space="0" w:color="auto"/>
            </w:tcBorders>
            <w:vAlign w:val="center"/>
            <w:hideMark/>
          </w:tcPr>
          <w:p w:rsidR="009D33CE" w:rsidRDefault="009D33CE" w:rsidP="009D33CE">
            <w:pPr>
              <w:pStyle w:val="Heading4"/>
              <w:spacing w:line="276" w:lineRule="auto"/>
              <w:rPr>
                <w:b w:val="0"/>
                <w:sz w:val="18"/>
                <w:szCs w:val="18"/>
              </w:rPr>
            </w:pPr>
            <w:r>
              <w:rPr>
                <w:b w:val="0"/>
                <w:sz w:val="18"/>
                <w:szCs w:val="18"/>
              </w:rPr>
              <w:t>Hispanic Origin</w:t>
            </w:r>
            <w:r>
              <w:rPr>
                <w:rStyle w:val="FootnoteReference"/>
                <w:b w:val="0"/>
                <w:sz w:val="18"/>
                <w:szCs w:val="18"/>
              </w:rPr>
              <w:footnoteReference w:id="2"/>
            </w:r>
          </w:p>
        </w:tc>
        <w:tc>
          <w:tcPr>
            <w:tcW w:w="1004" w:type="dxa"/>
            <w:tcBorders>
              <w:top w:val="single" w:sz="4" w:space="0" w:color="auto"/>
              <w:left w:val="single" w:sz="4" w:space="0" w:color="auto"/>
              <w:bottom w:val="doub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376,020</w:t>
            </w:r>
          </w:p>
        </w:tc>
        <w:tc>
          <w:tcPr>
            <w:tcW w:w="809" w:type="dxa"/>
            <w:tcBorders>
              <w:top w:val="single" w:sz="4" w:space="0" w:color="auto"/>
              <w:left w:val="single" w:sz="4" w:space="0" w:color="auto"/>
              <w:bottom w:val="doub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28.8%</w:t>
            </w:r>
          </w:p>
        </w:tc>
        <w:tc>
          <w:tcPr>
            <w:tcW w:w="900" w:type="dxa"/>
            <w:tcBorders>
              <w:top w:val="single" w:sz="4" w:space="0" w:color="auto"/>
              <w:left w:val="single" w:sz="4" w:space="0" w:color="auto"/>
              <w:bottom w:val="doub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142,066</w:t>
            </w:r>
          </w:p>
        </w:tc>
        <w:tc>
          <w:tcPr>
            <w:tcW w:w="810" w:type="dxa"/>
            <w:tcBorders>
              <w:top w:val="single" w:sz="4" w:space="0" w:color="auto"/>
              <w:left w:val="single" w:sz="4" w:space="0" w:color="auto"/>
              <w:bottom w:val="doub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58.2%</w:t>
            </w:r>
          </w:p>
        </w:tc>
        <w:tc>
          <w:tcPr>
            <w:tcW w:w="900" w:type="dxa"/>
            <w:tcBorders>
              <w:top w:val="single" w:sz="4" w:space="0" w:color="auto"/>
              <w:left w:val="single" w:sz="4" w:space="0" w:color="auto"/>
              <w:bottom w:val="doub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36,911</w:t>
            </w:r>
          </w:p>
        </w:tc>
        <w:tc>
          <w:tcPr>
            <w:tcW w:w="810" w:type="dxa"/>
            <w:tcBorders>
              <w:top w:val="single" w:sz="4" w:space="0" w:color="auto"/>
              <w:left w:val="single" w:sz="4" w:space="0" w:color="auto"/>
              <w:bottom w:val="doub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63.0%</w:t>
            </w:r>
          </w:p>
        </w:tc>
        <w:tc>
          <w:tcPr>
            <w:tcW w:w="1023" w:type="dxa"/>
            <w:tcBorders>
              <w:top w:val="single" w:sz="4" w:space="0" w:color="auto"/>
              <w:left w:val="single" w:sz="4" w:space="0" w:color="auto"/>
              <w:bottom w:val="doub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436,351</w:t>
            </w:r>
          </w:p>
        </w:tc>
        <w:tc>
          <w:tcPr>
            <w:tcW w:w="810" w:type="dxa"/>
            <w:tcBorders>
              <w:top w:val="single" w:sz="4" w:space="0" w:color="auto"/>
              <w:left w:val="single" w:sz="4" w:space="0" w:color="auto"/>
              <w:bottom w:val="doub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29.4%</w:t>
            </w:r>
          </w:p>
        </w:tc>
        <w:tc>
          <w:tcPr>
            <w:tcW w:w="977" w:type="dxa"/>
            <w:tcBorders>
              <w:top w:val="single" w:sz="4" w:space="0" w:color="auto"/>
              <w:left w:val="single" w:sz="4" w:space="0" w:color="auto"/>
              <w:bottom w:val="doub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991,348</w:t>
            </w:r>
          </w:p>
        </w:tc>
        <w:tc>
          <w:tcPr>
            <w:tcW w:w="810" w:type="dxa"/>
            <w:tcBorders>
              <w:top w:val="single" w:sz="4" w:space="0" w:color="auto"/>
              <w:left w:val="single" w:sz="4" w:space="0" w:color="auto"/>
              <w:bottom w:val="double" w:sz="4" w:space="0" w:color="auto"/>
              <w:right w:val="single" w:sz="4" w:space="0" w:color="auto"/>
            </w:tcBorders>
            <w:vAlign w:val="center"/>
            <w:hideMark/>
          </w:tcPr>
          <w:p w:rsidR="009D33CE" w:rsidRDefault="007A3746" w:rsidP="009D33CE">
            <w:pPr>
              <w:spacing w:line="276" w:lineRule="auto"/>
              <w:jc w:val="center"/>
              <w:rPr>
                <w:sz w:val="18"/>
                <w:szCs w:val="18"/>
              </w:rPr>
            </w:pPr>
            <w:r>
              <w:rPr>
                <w:sz w:val="18"/>
                <w:szCs w:val="18"/>
              </w:rPr>
              <w:t>32.0%</w:t>
            </w:r>
          </w:p>
        </w:tc>
      </w:tr>
      <w:tr w:rsidR="009D33CE" w:rsidTr="009D33CE">
        <w:trPr>
          <w:trHeight w:val="339"/>
          <w:jc w:val="center"/>
        </w:trPr>
        <w:tc>
          <w:tcPr>
            <w:tcW w:w="1530" w:type="dxa"/>
            <w:tcBorders>
              <w:top w:val="double" w:sz="4" w:space="0" w:color="auto"/>
              <w:left w:val="double" w:sz="4" w:space="0" w:color="auto"/>
              <w:bottom w:val="double" w:sz="4" w:space="0" w:color="auto"/>
              <w:right w:val="single" w:sz="4" w:space="0" w:color="auto"/>
            </w:tcBorders>
            <w:vAlign w:val="center"/>
            <w:hideMark/>
          </w:tcPr>
          <w:p w:rsidR="009D33CE" w:rsidRDefault="009D33CE" w:rsidP="009D33CE">
            <w:pPr>
              <w:pStyle w:val="Heading4"/>
              <w:spacing w:line="276" w:lineRule="auto"/>
              <w:rPr>
                <w:sz w:val="18"/>
                <w:szCs w:val="18"/>
                <w:u w:val="single"/>
              </w:rPr>
            </w:pPr>
            <w:r>
              <w:rPr>
                <w:sz w:val="18"/>
                <w:szCs w:val="18"/>
                <w:u w:val="single"/>
              </w:rPr>
              <w:t>Total Population</w:t>
            </w:r>
          </w:p>
        </w:tc>
        <w:tc>
          <w:tcPr>
            <w:tcW w:w="1004" w:type="dxa"/>
            <w:tcBorders>
              <w:top w:val="double" w:sz="4" w:space="0" w:color="auto"/>
              <w:left w:val="single" w:sz="4" w:space="0" w:color="auto"/>
              <w:bottom w:val="double" w:sz="4" w:space="0" w:color="auto"/>
              <w:right w:val="single" w:sz="4" w:space="0" w:color="auto"/>
            </w:tcBorders>
            <w:vAlign w:val="center"/>
            <w:hideMark/>
          </w:tcPr>
          <w:p w:rsidR="009D33CE" w:rsidRDefault="007A3746" w:rsidP="009D33CE">
            <w:pPr>
              <w:spacing w:line="276" w:lineRule="auto"/>
              <w:jc w:val="center"/>
              <w:rPr>
                <w:b/>
                <w:bCs/>
                <w:sz w:val="18"/>
                <w:szCs w:val="18"/>
                <w:u w:val="single"/>
              </w:rPr>
            </w:pPr>
            <w:r>
              <w:rPr>
                <w:b/>
                <w:bCs/>
                <w:sz w:val="18"/>
                <w:szCs w:val="18"/>
                <w:u w:val="single"/>
              </w:rPr>
              <w:t>1,307,402</w:t>
            </w:r>
          </w:p>
        </w:tc>
        <w:tc>
          <w:tcPr>
            <w:tcW w:w="809" w:type="dxa"/>
            <w:tcBorders>
              <w:top w:val="double" w:sz="4" w:space="0" w:color="auto"/>
              <w:left w:val="single" w:sz="4" w:space="0" w:color="auto"/>
              <w:bottom w:val="double" w:sz="4" w:space="0" w:color="auto"/>
              <w:right w:val="double" w:sz="4" w:space="0" w:color="auto"/>
            </w:tcBorders>
            <w:shd w:val="solid" w:color="FFFFFF" w:fill="auto"/>
            <w:vAlign w:val="center"/>
            <w:hideMark/>
          </w:tcPr>
          <w:p w:rsidR="009D33CE" w:rsidRDefault="009D33CE" w:rsidP="009D33CE">
            <w:pPr>
              <w:spacing w:line="276" w:lineRule="auto"/>
              <w:jc w:val="center"/>
              <w:rPr>
                <w:b/>
                <w:bCs/>
                <w:sz w:val="18"/>
                <w:szCs w:val="18"/>
                <w:u w:val="single"/>
              </w:rPr>
            </w:pPr>
            <w:r>
              <w:rPr>
                <w:b/>
                <w:bCs/>
                <w:sz w:val="18"/>
                <w:szCs w:val="18"/>
                <w:u w:val="single"/>
              </w:rPr>
              <w:t>100%</w:t>
            </w:r>
          </w:p>
        </w:tc>
        <w:tc>
          <w:tcPr>
            <w:tcW w:w="900" w:type="dxa"/>
            <w:tcBorders>
              <w:top w:val="double" w:sz="4" w:space="0" w:color="auto"/>
              <w:left w:val="single" w:sz="4" w:space="0" w:color="auto"/>
              <w:bottom w:val="double" w:sz="4" w:space="0" w:color="auto"/>
              <w:right w:val="double" w:sz="4" w:space="0" w:color="auto"/>
            </w:tcBorders>
            <w:vAlign w:val="center"/>
            <w:hideMark/>
          </w:tcPr>
          <w:p w:rsidR="009D33CE" w:rsidRDefault="007A3746" w:rsidP="009D33CE">
            <w:pPr>
              <w:spacing w:line="276" w:lineRule="auto"/>
              <w:jc w:val="center"/>
              <w:rPr>
                <w:b/>
                <w:bCs/>
                <w:sz w:val="18"/>
                <w:szCs w:val="18"/>
                <w:u w:val="single"/>
              </w:rPr>
            </w:pPr>
            <w:r>
              <w:rPr>
                <w:b/>
                <w:bCs/>
                <w:sz w:val="18"/>
                <w:szCs w:val="18"/>
                <w:u w:val="single"/>
              </w:rPr>
              <w:t>243,916</w:t>
            </w:r>
          </w:p>
        </w:tc>
        <w:tc>
          <w:tcPr>
            <w:tcW w:w="810" w:type="dxa"/>
            <w:tcBorders>
              <w:top w:val="double" w:sz="4" w:space="0" w:color="auto"/>
              <w:left w:val="single" w:sz="4" w:space="0" w:color="auto"/>
              <w:bottom w:val="double" w:sz="4" w:space="0" w:color="auto"/>
              <w:right w:val="single" w:sz="4" w:space="0" w:color="auto"/>
            </w:tcBorders>
            <w:vAlign w:val="center"/>
            <w:hideMark/>
          </w:tcPr>
          <w:p w:rsidR="009D33CE" w:rsidRDefault="009D33CE" w:rsidP="009D33CE">
            <w:pPr>
              <w:spacing w:line="276" w:lineRule="auto"/>
              <w:jc w:val="center"/>
              <w:rPr>
                <w:b/>
                <w:bCs/>
                <w:sz w:val="18"/>
                <w:szCs w:val="18"/>
                <w:u w:val="single"/>
              </w:rPr>
            </w:pPr>
            <w:r>
              <w:rPr>
                <w:b/>
                <w:bCs/>
                <w:sz w:val="18"/>
                <w:szCs w:val="18"/>
                <w:u w:val="single"/>
              </w:rPr>
              <w:t>100%</w:t>
            </w:r>
          </w:p>
        </w:tc>
        <w:tc>
          <w:tcPr>
            <w:tcW w:w="900" w:type="dxa"/>
            <w:tcBorders>
              <w:top w:val="double" w:sz="4" w:space="0" w:color="auto"/>
              <w:left w:val="single" w:sz="4" w:space="0" w:color="auto"/>
              <w:bottom w:val="double" w:sz="4" w:space="0" w:color="auto"/>
              <w:right w:val="double" w:sz="4" w:space="0" w:color="auto"/>
            </w:tcBorders>
            <w:vAlign w:val="center"/>
            <w:hideMark/>
          </w:tcPr>
          <w:p w:rsidR="009D33CE" w:rsidRDefault="007A3746" w:rsidP="009D33CE">
            <w:pPr>
              <w:spacing w:line="276" w:lineRule="auto"/>
              <w:jc w:val="center"/>
              <w:rPr>
                <w:b/>
                <w:bCs/>
                <w:sz w:val="18"/>
                <w:szCs w:val="18"/>
                <w:u w:val="single"/>
              </w:rPr>
            </w:pPr>
            <w:r>
              <w:rPr>
                <w:b/>
                <w:bCs/>
                <w:sz w:val="18"/>
                <w:szCs w:val="18"/>
                <w:u w:val="single"/>
              </w:rPr>
              <w:t>58,582</w:t>
            </w:r>
          </w:p>
        </w:tc>
        <w:tc>
          <w:tcPr>
            <w:tcW w:w="810" w:type="dxa"/>
            <w:tcBorders>
              <w:top w:val="double" w:sz="4" w:space="0" w:color="auto"/>
              <w:left w:val="single" w:sz="4" w:space="0" w:color="auto"/>
              <w:bottom w:val="double" w:sz="4" w:space="0" w:color="auto"/>
              <w:right w:val="double" w:sz="4" w:space="0" w:color="auto"/>
            </w:tcBorders>
            <w:vAlign w:val="center"/>
            <w:hideMark/>
          </w:tcPr>
          <w:p w:rsidR="009D33CE" w:rsidRDefault="009D33CE" w:rsidP="009D33CE">
            <w:pPr>
              <w:spacing w:line="276" w:lineRule="auto"/>
              <w:jc w:val="center"/>
              <w:rPr>
                <w:b/>
                <w:bCs/>
                <w:sz w:val="18"/>
                <w:szCs w:val="18"/>
                <w:u w:val="single"/>
              </w:rPr>
            </w:pPr>
            <w:r>
              <w:rPr>
                <w:b/>
                <w:bCs/>
                <w:sz w:val="18"/>
                <w:szCs w:val="18"/>
                <w:u w:val="single"/>
              </w:rPr>
              <w:t>100%</w:t>
            </w:r>
          </w:p>
        </w:tc>
        <w:tc>
          <w:tcPr>
            <w:tcW w:w="1023" w:type="dxa"/>
            <w:tcBorders>
              <w:top w:val="double" w:sz="4" w:space="0" w:color="auto"/>
              <w:left w:val="single" w:sz="4" w:space="0" w:color="auto"/>
              <w:bottom w:val="double" w:sz="4" w:space="0" w:color="auto"/>
              <w:right w:val="double" w:sz="4" w:space="0" w:color="auto"/>
            </w:tcBorders>
            <w:vAlign w:val="center"/>
            <w:hideMark/>
          </w:tcPr>
          <w:p w:rsidR="009D33CE" w:rsidRDefault="007A3746" w:rsidP="009D33CE">
            <w:pPr>
              <w:spacing w:line="276" w:lineRule="auto"/>
              <w:jc w:val="center"/>
              <w:rPr>
                <w:b/>
                <w:bCs/>
                <w:sz w:val="18"/>
                <w:szCs w:val="18"/>
                <w:u w:val="single"/>
              </w:rPr>
            </w:pPr>
            <w:r>
              <w:rPr>
                <w:b/>
                <w:bCs/>
                <w:sz w:val="18"/>
                <w:szCs w:val="18"/>
                <w:u w:val="single"/>
              </w:rPr>
              <w:t>1,485,413</w:t>
            </w:r>
          </w:p>
        </w:tc>
        <w:tc>
          <w:tcPr>
            <w:tcW w:w="810" w:type="dxa"/>
            <w:tcBorders>
              <w:top w:val="double" w:sz="4" w:space="0" w:color="auto"/>
              <w:left w:val="single" w:sz="4" w:space="0" w:color="auto"/>
              <w:bottom w:val="double" w:sz="4" w:space="0" w:color="auto"/>
              <w:right w:val="double" w:sz="4" w:space="0" w:color="auto"/>
            </w:tcBorders>
            <w:vAlign w:val="center"/>
            <w:hideMark/>
          </w:tcPr>
          <w:p w:rsidR="009D33CE" w:rsidRDefault="009D33CE" w:rsidP="009D33CE">
            <w:pPr>
              <w:spacing w:line="276" w:lineRule="auto"/>
              <w:jc w:val="center"/>
              <w:rPr>
                <w:b/>
                <w:bCs/>
                <w:sz w:val="18"/>
                <w:szCs w:val="18"/>
                <w:u w:val="single"/>
              </w:rPr>
            </w:pPr>
            <w:r>
              <w:rPr>
                <w:b/>
                <w:bCs/>
                <w:sz w:val="18"/>
                <w:szCs w:val="18"/>
                <w:u w:val="single"/>
              </w:rPr>
              <w:t>100%</w:t>
            </w:r>
          </w:p>
        </w:tc>
        <w:tc>
          <w:tcPr>
            <w:tcW w:w="977" w:type="dxa"/>
            <w:tcBorders>
              <w:top w:val="double" w:sz="4" w:space="0" w:color="auto"/>
              <w:left w:val="single" w:sz="4" w:space="0" w:color="auto"/>
              <w:bottom w:val="double" w:sz="4" w:space="0" w:color="auto"/>
              <w:right w:val="double" w:sz="4" w:space="0" w:color="auto"/>
            </w:tcBorders>
            <w:vAlign w:val="center"/>
            <w:hideMark/>
          </w:tcPr>
          <w:p w:rsidR="009D33CE" w:rsidRDefault="007A3746" w:rsidP="009D33CE">
            <w:pPr>
              <w:spacing w:line="276" w:lineRule="auto"/>
              <w:jc w:val="center"/>
              <w:rPr>
                <w:b/>
                <w:bCs/>
                <w:sz w:val="18"/>
                <w:szCs w:val="18"/>
                <w:u w:val="single"/>
              </w:rPr>
            </w:pPr>
            <w:r>
              <w:rPr>
                <w:b/>
                <w:bCs/>
                <w:sz w:val="18"/>
                <w:szCs w:val="18"/>
                <w:u w:val="single"/>
              </w:rPr>
              <w:t>3,095,313</w:t>
            </w:r>
          </w:p>
        </w:tc>
        <w:tc>
          <w:tcPr>
            <w:tcW w:w="810" w:type="dxa"/>
            <w:tcBorders>
              <w:top w:val="double" w:sz="4" w:space="0" w:color="auto"/>
              <w:left w:val="single" w:sz="4" w:space="0" w:color="auto"/>
              <w:bottom w:val="double" w:sz="4" w:space="0" w:color="auto"/>
              <w:right w:val="double" w:sz="4" w:space="0" w:color="auto"/>
            </w:tcBorders>
            <w:vAlign w:val="center"/>
            <w:hideMark/>
          </w:tcPr>
          <w:p w:rsidR="009D33CE" w:rsidRDefault="009D33CE" w:rsidP="009D33CE">
            <w:pPr>
              <w:spacing w:line="276" w:lineRule="auto"/>
              <w:jc w:val="center"/>
              <w:rPr>
                <w:b/>
                <w:bCs/>
                <w:sz w:val="18"/>
                <w:szCs w:val="18"/>
                <w:u w:val="single"/>
              </w:rPr>
            </w:pPr>
            <w:r>
              <w:rPr>
                <w:b/>
                <w:bCs/>
                <w:sz w:val="18"/>
                <w:szCs w:val="18"/>
                <w:u w:val="single"/>
              </w:rPr>
              <w:t>100%</w:t>
            </w:r>
          </w:p>
        </w:tc>
      </w:tr>
    </w:tbl>
    <w:p w:rsidR="003B1D4C" w:rsidRDefault="003B1D4C">
      <w:pPr>
        <w:rPr>
          <w:b/>
          <w:sz w:val="28"/>
          <w:szCs w:val="28"/>
        </w:rPr>
      </w:pPr>
    </w:p>
    <w:p w:rsidR="003B1D4C" w:rsidRDefault="003B1D4C">
      <w:pPr>
        <w:rPr>
          <w:b/>
          <w:sz w:val="28"/>
          <w:szCs w:val="28"/>
        </w:rPr>
      </w:pPr>
      <w:r>
        <w:rPr>
          <w:b/>
          <w:sz w:val="28"/>
          <w:szCs w:val="28"/>
        </w:rPr>
        <w:br w:type="page"/>
      </w:r>
    </w:p>
    <w:p w:rsidR="003B1D4C" w:rsidRDefault="003B1D4C">
      <w:pPr>
        <w:rPr>
          <w:b/>
          <w:sz w:val="28"/>
          <w:szCs w:val="28"/>
        </w:rPr>
      </w:pPr>
    </w:p>
    <w:p w:rsidR="00176420" w:rsidRPr="00786FE8" w:rsidRDefault="009734DD" w:rsidP="00786FE8">
      <w:pPr>
        <w:pStyle w:val="BHLevel1"/>
        <w:rPr>
          <w:sz w:val="28"/>
          <w:szCs w:val="28"/>
          <w:u w:val="none"/>
        </w:rPr>
      </w:pPr>
      <w:bookmarkStart w:id="8" w:name="_Toc315152503"/>
      <w:r w:rsidRPr="00786FE8">
        <w:rPr>
          <w:sz w:val="28"/>
          <w:szCs w:val="28"/>
        </w:rPr>
        <w:t>SCOPE AND METHODOLOGY</w:t>
      </w:r>
      <w:bookmarkEnd w:id="6"/>
      <w:bookmarkEnd w:id="8"/>
    </w:p>
    <w:p w:rsidR="00DB53E7" w:rsidRDefault="00DB53E7">
      <w:pPr>
        <w:pStyle w:val="Heading4"/>
        <w:spacing w:line="360" w:lineRule="auto"/>
        <w:rPr>
          <w:sz w:val="28"/>
          <w:szCs w:val="28"/>
        </w:rPr>
      </w:pPr>
    </w:p>
    <w:p w:rsidR="00F80A8D" w:rsidRDefault="00F80A8D">
      <w:pPr>
        <w:pStyle w:val="Heading4"/>
        <w:spacing w:line="360" w:lineRule="auto"/>
        <w:rPr>
          <w:sz w:val="28"/>
          <w:szCs w:val="28"/>
        </w:rPr>
      </w:pPr>
      <w:r>
        <w:rPr>
          <w:sz w:val="28"/>
          <w:szCs w:val="28"/>
        </w:rPr>
        <w:t>Scope</w:t>
      </w:r>
    </w:p>
    <w:p w:rsidR="00F80A8D" w:rsidRDefault="00F80A8D">
      <w:pPr>
        <w:spacing w:line="360" w:lineRule="auto"/>
        <w:rPr>
          <w:sz w:val="28"/>
          <w:szCs w:val="28"/>
        </w:rPr>
      </w:pPr>
      <w:r>
        <w:rPr>
          <w:sz w:val="28"/>
          <w:szCs w:val="28"/>
        </w:rPr>
        <w:t xml:space="preserve">The Title VI Compliance Review of </w:t>
      </w:r>
      <w:r w:rsidR="005772CD">
        <w:rPr>
          <w:sz w:val="28"/>
          <w:szCs w:val="28"/>
        </w:rPr>
        <w:t>SANDAG</w:t>
      </w:r>
      <w:r>
        <w:rPr>
          <w:sz w:val="28"/>
          <w:szCs w:val="28"/>
        </w:rPr>
        <w:t xml:space="preserve"> examined the following requirements as specified in FTA Circular 4702.1A: </w:t>
      </w:r>
    </w:p>
    <w:p w:rsidR="00F80A8D" w:rsidRDefault="00F80A8D">
      <w:pPr>
        <w:spacing w:line="360" w:lineRule="auto"/>
        <w:rPr>
          <w:sz w:val="28"/>
          <w:szCs w:val="28"/>
        </w:rPr>
      </w:pPr>
    </w:p>
    <w:p w:rsidR="00F80A8D" w:rsidRDefault="00F80A8D">
      <w:pPr>
        <w:numPr>
          <w:ilvl w:val="0"/>
          <w:numId w:val="4"/>
        </w:numPr>
        <w:spacing w:line="360" w:lineRule="auto"/>
        <w:rPr>
          <w:sz w:val="28"/>
          <w:szCs w:val="28"/>
        </w:rPr>
      </w:pPr>
      <w:r>
        <w:rPr>
          <w:sz w:val="28"/>
          <w:szCs w:val="28"/>
          <w:u w:val="single"/>
        </w:rPr>
        <w:t>General Reporting Requirements</w:t>
      </w:r>
      <w:r w:rsidR="000A65D4">
        <w:rPr>
          <w:sz w:val="28"/>
          <w:szCs w:val="28"/>
          <w:u w:val="single"/>
        </w:rPr>
        <w:t xml:space="preserve"> and Guidelines</w:t>
      </w:r>
      <w:r>
        <w:rPr>
          <w:sz w:val="28"/>
          <w:szCs w:val="28"/>
        </w:rPr>
        <w:t xml:space="preserve"> </w:t>
      </w:r>
      <w:r w:rsidR="00DB53E7">
        <w:rPr>
          <w:sz w:val="28"/>
          <w:szCs w:val="28"/>
        </w:rPr>
        <w:t>–</w:t>
      </w:r>
      <w:r>
        <w:rPr>
          <w:sz w:val="28"/>
          <w:szCs w:val="28"/>
        </w:rPr>
        <w:t xml:space="preserve"> </w:t>
      </w:r>
      <w:r w:rsidR="005B1F1E">
        <w:rPr>
          <w:sz w:val="28"/>
          <w:szCs w:val="28"/>
        </w:rPr>
        <w:t>A</w:t>
      </w:r>
      <w:r>
        <w:rPr>
          <w:sz w:val="28"/>
          <w:szCs w:val="28"/>
        </w:rPr>
        <w:t>ll</w:t>
      </w:r>
      <w:r w:rsidR="00DB53E7">
        <w:rPr>
          <w:sz w:val="28"/>
          <w:szCs w:val="28"/>
        </w:rPr>
        <w:t xml:space="preserve"> </w:t>
      </w:r>
      <w:r>
        <w:rPr>
          <w:sz w:val="28"/>
          <w:szCs w:val="28"/>
        </w:rPr>
        <w:t>applicants, recipients</w:t>
      </w:r>
      <w:r w:rsidR="00B26E51">
        <w:rPr>
          <w:sz w:val="28"/>
          <w:szCs w:val="28"/>
        </w:rPr>
        <w:t>,</w:t>
      </w:r>
      <w:r>
        <w:rPr>
          <w:sz w:val="28"/>
          <w:szCs w:val="28"/>
        </w:rPr>
        <w:t xml:space="preserve"> and subrecipients shall maintain and submit the following:  </w:t>
      </w:r>
    </w:p>
    <w:p w:rsidR="00F80A8D" w:rsidRDefault="00F80A8D">
      <w:pPr>
        <w:rPr>
          <w:sz w:val="28"/>
          <w:szCs w:val="28"/>
        </w:rPr>
      </w:pPr>
    </w:p>
    <w:p w:rsidR="00F80A8D" w:rsidRDefault="00F80A8D">
      <w:pPr>
        <w:numPr>
          <w:ilvl w:val="0"/>
          <w:numId w:val="5"/>
        </w:numPr>
        <w:tabs>
          <w:tab w:val="clear" w:pos="360"/>
          <w:tab w:val="num" w:pos="1440"/>
        </w:tabs>
        <w:spacing w:line="360" w:lineRule="auto"/>
        <w:ind w:left="1440"/>
        <w:rPr>
          <w:sz w:val="28"/>
          <w:szCs w:val="28"/>
        </w:rPr>
      </w:pPr>
      <w:r>
        <w:rPr>
          <w:sz w:val="28"/>
          <w:szCs w:val="28"/>
        </w:rPr>
        <w:t>Annual Title VI Certification and Assurance;</w:t>
      </w:r>
    </w:p>
    <w:p w:rsidR="00F80A8D" w:rsidRDefault="00F80A8D">
      <w:pPr>
        <w:numPr>
          <w:ilvl w:val="0"/>
          <w:numId w:val="5"/>
        </w:numPr>
        <w:tabs>
          <w:tab w:val="clear" w:pos="360"/>
          <w:tab w:val="num" w:pos="1440"/>
        </w:tabs>
        <w:spacing w:line="360" w:lineRule="auto"/>
        <w:ind w:left="1440"/>
        <w:rPr>
          <w:sz w:val="28"/>
          <w:szCs w:val="28"/>
        </w:rPr>
      </w:pPr>
      <w:r>
        <w:rPr>
          <w:sz w:val="28"/>
          <w:szCs w:val="28"/>
        </w:rPr>
        <w:t>Title VI Complaint Procedures;</w:t>
      </w:r>
    </w:p>
    <w:p w:rsidR="00F80A8D" w:rsidRDefault="00F80A8D">
      <w:pPr>
        <w:numPr>
          <w:ilvl w:val="0"/>
          <w:numId w:val="5"/>
        </w:numPr>
        <w:tabs>
          <w:tab w:val="clear" w:pos="360"/>
          <w:tab w:val="num" w:pos="1440"/>
        </w:tabs>
        <w:spacing w:line="360" w:lineRule="auto"/>
        <w:ind w:left="1440"/>
        <w:rPr>
          <w:sz w:val="28"/>
          <w:szCs w:val="28"/>
        </w:rPr>
      </w:pPr>
      <w:r>
        <w:rPr>
          <w:sz w:val="28"/>
          <w:szCs w:val="28"/>
        </w:rPr>
        <w:t>Record of Title VI Investigations, Complaints, and Lawsuits;</w:t>
      </w:r>
    </w:p>
    <w:p w:rsidR="00F80A8D" w:rsidRDefault="00F80A8D">
      <w:pPr>
        <w:numPr>
          <w:ilvl w:val="0"/>
          <w:numId w:val="5"/>
        </w:numPr>
        <w:tabs>
          <w:tab w:val="clear" w:pos="360"/>
          <w:tab w:val="num" w:pos="1440"/>
        </w:tabs>
        <w:spacing w:line="360" w:lineRule="auto"/>
        <w:ind w:left="1440"/>
        <w:rPr>
          <w:sz w:val="28"/>
          <w:szCs w:val="28"/>
        </w:rPr>
      </w:pPr>
      <w:r>
        <w:rPr>
          <w:sz w:val="28"/>
          <w:szCs w:val="28"/>
        </w:rPr>
        <w:t>Language Access to LEP Persons;</w:t>
      </w:r>
    </w:p>
    <w:p w:rsidR="00F80A8D" w:rsidRDefault="00F80A8D">
      <w:pPr>
        <w:numPr>
          <w:ilvl w:val="0"/>
          <w:numId w:val="5"/>
        </w:numPr>
        <w:tabs>
          <w:tab w:val="clear" w:pos="360"/>
          <w:tab w:val="num" w:pos="1440"/>
        </w:tabs>
        <w:spacing w:line="360" w:lineRule="auto"/>
        <w:ind w:left="1440"/>
        <w:rPr>
          <w:sz w:val="28"/>
          <w:szCs w:val="28"/>
        </w:rPr>
      </w:pPr>
      <w:r>
        <w:rPr>
          <w:sz w:val="28"/>
          <w:szCs w:val="28"/>
        </w:rPr>
        <w:t>Notice to Beneficiaries of Protection under Title VI;</w:t>
      </w:r>
    </w:p>
    <w:p w:rsidR="00F80A8D" w:rsidRDefault="00F80A8D">
      <w:pPr>
        <w:numPr>
          <w:ilvl w:val="0"/>
          <w:numId w:val="5"/>
        </w:numPr>
        <w:tabs>
          <w:tab w:val="clear" w:pos="360"/>
          <w:tab w:val="num" w:pos="1440"/>
        </w:tabs>
        <w:spacing w:line="360" w:lineRule="auto"/>
        <w:ind w:left="1440"/>
        <w:rPr>
          <w:sz w:val="28"/>
          <w:szCs w:val="28"/>
        </w:rPr>
      </w:pPr>
      <w:r>
        <w:rPr>
          <w:sz w:val="28"/>
          <w:szCs w:val="28"/>
        </w:rPr>
        <w:t>Submit Title VI Program;</w:t>
      </w:r>
    </w:p>
    <w:p w:rsidR="00F80A8D" w:rsidRDefault="00F80A8D">
      <w:pPr>
        <w:numPr>
          <w:ilvl w:val="0"/>
          <w:numId w:val="5"/>
        </w:numPr>
        <w:tabs>
          <w:tab w:val="clear" w:pos="360"/>
          <w:tab w:val="num" w:pos="1440"/>
        </w:tabs>
        <w:spacing w:line="360" w:lineRule="auto"/>
        <w:ind w:left="1440"/>
        <w:rPr>
          <w:sz w:val="28"/>
          <w:szCs w:val="28"/>
        </w:rPr>
      </w:pPr>
      <w:r>
        <w:rPr>
          <w:sz w:val="28"/>
          <w:szCs w:val="28"/>
        </w:rPr>
        <w:t>Environmental Justice Analysis of Construction Projects; and</w:t>
      </w:r>
    </w:p>
    <w:p w:rsidR="00F80A8D" w:rsidRDefault="00F80A8D">
      <w:pPr>
        <w:numPr>
          <w:ilvl w:val="0"/>
          <w:numId w:val="5"/>
        </w:numPr>
        <w:tabs>
          <w:tab w:val="clear" w:pos="360"/>
          <w:tab w:val="num" w:pos="1440"/>
        </w:tabs>
        <w:spacing w:line="360" w:lineRule="auto"/>
        <w:ind w:left="1440"/>
        <w:rPr>
          <w:sz w:val="28"/>
          <w:szCs w:val="28"/>
        </w:rPr>
      </w:pPr>
      <w:r>
        <w:rPr>
          <w:sz w:val="28"/>
          <w:szCs w:val="28"/>
        </w:rPr>
        <w:t>Inclusive Public Participation.</w:t>
      </w:r>
    </w:p>
    <w:p w:rsidR="00F80A8D" w:rsidRDefault="00F80A8D">
      <w:pPr>
        <w:spacing w:line="360" w:lineRule="auto"/>
        <w:rPr>
          <w:color w:val="0000FF"/>
          <w:sz w:val="28"/>
          <w:szCs w:val="28"/>
        </w:rPr>
      </w:pPr>
    </w:p>
    <w:p w:rsidR="001055A6" w:rsidRPr="002C61EF" w:rsidRDefault="001055A6" w:rsidP="002C61EF">
      <w:pPr>
        <w:numPr>
          <w:ilvl w:val="0"/>
          <w:numId w:val="4"/>
        </w:numPr>
        <w:tabs>
          <w:tab w:val="clear" w:pos="720"/>
          <w:tab w:val="num" w:pos="1080"/>
        </w:tabs>
        <w:spacing w:line="360" w:lineRule="auto"/>
        <w:rPr>
          <w:sz w:val="28"/>
          <w:szCs w:val="28"/>
        </w:rPr>
      </w:pPr>
      <w:r w:rsidRPr="002C61EF">
        <w:rPr>
          <w:sz w:val="28"/>
          <w:szCs w:val="28"/>
          <w:u w:val="single"/>
        </w:rPr>
        <w:t xml:space="preserve">Program-Specific Requirements </w:t>
      </w:r>
      <w:r w:rsidR="00302FEA">
        <w:rPr>
          <w:sz w:val="28"/>
          <w:szCs w:val="28"/>
          <w:u w:val="single"/>
        </w:rPr>
        <w:t xml:space="preserve">and Guidelines </w:t>
      </w:r>
      <w:r w:rsidRPr="002C61EF">
        <w:rPr>
          <w:sz w:val="28"/>
          <w:szCs w:val="28"/>
          <w:u w:val="single"/>
        </w:rPr>
        <w:t>for Large Urban</w:t>
      </w:r>
      <w:r w:rsidR="00302FEA">
        <w:rPr>
          <w:sz w:val="28"/>
          <w:szCs w:val="28"/>
          <w:u w:val="single"/>
        </w:rPr>
        <w:t>ized</w:t>
      </w:r>
      <w:r w:rsidRPr="002C61EF">
        <w:rPr>
          <w:sz w:val="28"/>
          <w:szCs w:val="28"/>
          <w:u w:val="single"/>
        </w:rPr>
        <w:t xml:space="preserve"> Areas</w:t>
      </w:r>
      <w:r w:rsidRPr="002C61EF">
        <w:rPr>
          <w:sz w:val="28"/>
          <w:szCs w:val="28"/>
        </w:rPr>
        <w:t xml:space="preserve"> </w:t>
      </w:r>
      <w:r w:rsidR="00DB53E7">
        <w:rPr>
          <w:sz w:val="28"/>
          <w:szCs w:val="28"/>
        </w:rPr>
        <w:t>–</w:t>
      </w:r>
      <w:r w:rsidRPr="002C61EF">
        <w:rPr>
          <w:sz w:val="28"/>
          <w:szCs w:val="28"/>
        </w:rPr>
        <w:t xml:space="preserve"> </w:t>
      </w:r>
      <w:r w:rsidR="005B1F1E">
        <w:rPr>
          <w:sz w:val="28"/>
          <w:szCs w:val="28"/>
        </w:rPr>
        <w:t>A</w:t>
      </w:r>
      <w:r w:rsidRPr="002C61EF">
        <w:rPr>
          <w:sz w:val="28"/>
          <w:szCs w:val="28"/>
        </w:rPr>
        <w:t>ll</w:t>
      </w:r>
      <w:r w:rsidR="00DB53E7">
        <w:rPr>
          <w:sz w:val="28"/>
          <w:szCs w:val="28"/>
        </w:rPr>
        <w:t xml:space="preserve"> </w:t>
      </w:r>
      <w:r w:rsidRPr="002C61EF">
        <w:rPr>
          <w:sz w:val="28"/>
          <w:szCs w:val="28"/>
        </w:rPr>
        <w:t xml:space="preserve">applicants, recipients and subrecipients that provide public mass transit service in areas with populations over 200,000 shall also submit </w:t>
      </w:r>
      <w:r w:rsidR="002C61EF" w:rsidRPr="002C61EF">
        <w:rPr>
          <w:sz w:val="28"/>
          <w:szCs w:val="28"/>
        </w:rPr>
        <w:t xml:space="preserve">a Title VI </w:t>
      </w:r>
      <w:r w:rsidR="002C61EF">
        <w:rPr>
          <w:sz w:val="28"/>
          <w:szCs w:val="28"/>
        </w:rPr>
        <w:t>Evaluation of Service and Fare Changes.</w:t>
      </w:r>
    </w:p>
    <w:p w:rsidR="002C61EF" w:rsidRPr="002C61EF" w:rsidRDefault="002C61EF" w:rsidP="002C61EF">
      <w:pPr>
        <w:pStyle w:val="ListParagraph"/>
        <w:spacing w:line="360" w:lineRule="auto"/>
        <w:ind w:left="1440"/>
        <w:rPr>
          <w:sz w:val="28"/>
          <w:szCs w:val="28"/>
        </w:rPr>
      </w:pPr>
    </w:p>
    <w:p w:rsidR="001055A6" w:rsidRDefault="001055A6" w:rsidP="001055A6">
      <w:pPr>
        <w:numPr>
          <w:ilvl w:val="0"/>
          <w:numId w:val="4"/>
        </w:numPr>
        <w:spacing w:line="360" w:lineRule="auto"/>
        <w:rPr>
          <w:sz w:val="28"/>
          <w:szCs w:val="28"/>
        </w:rPr>
      </w:pPr>
      <w:r>
        <w:rPr>
          <w:sz w:val="28"/>
          <w:szCs w:val="28"/>
          <w:u w:val="single"/>
        </w:rPr>
        <w:lastRenderedPageBreak/>
        <w:t>Program-Specific Guidance for Metropolitan Transportation Planning Organizations</w:t>
      </w:r>
      <w:r>
        <w:rPr>
          <w:sz w:val="28"/>
          <w:szCs w:val="28"/>
        </w:rPr>
        <w:t xml:space="preserve"> </w:t>
      </w:r>
      <w:r w:rsidR="00295271">
        <w:rPr>
          <w:sz w:val="28"/>
          <w:szCs w:val="28"/>
        </w:rPr>
        <w:t>–</w:t>
      </w:r>
      <w:r>
        <w:rPr>
          <w:sz w:val="28"/>
          <w:szCs w:val="28"/>
        </w:rPr>
        <w:t xml:space="preserve"> </w:t>
      </w:r>
      <w:r w:rsidR="00295271">
        <w:rPr>
          <w:sz w:val="28"/>
          <w:szCs w:val="28"/>
        </w:rPr>
        <w:t>MPOs should have an analytical basis in place for certifying their compliance with the Title VI.  Examples of this analysis can include</w:t>
      </w:r>
      <w:r>
        <w:rPr>
          <w:sz w:val="28"/>
          <w:szCs w:val="28"/>
        </w:rPr>
        <w:t xml:space="preserve">: </w:t>
      </w:r>
    </w:p>
    <w:p w:rsidR="001055A6" w:rsidRDefault="001055A6" w:rsidP="001055A6">
      <w:pPr>
        <w:spacing w:line="360" w:lineRule="auto"/>
        <w:ind w:left="360"/>
        <w:rPr>
          <w:sz w:val="28"/>
          <w:szCs w:val="28"/>
        </w:rPr>
      </w:pPr>
    </w:p>
    <w:p w:rsidR="001055A6" w:rsidRDefault="001055A6" w:rsidP="00E3540D">
      <w:pPr>
        <w:pStyle w:val="ListParagraph"/>
        <w:numPr>
          <w:ilvl w:val="0"/>
          <w:numId w:val="22"/>
        </w:numPr>
        <w:spacing w:line="360" w:lineRule="auto"/>
        <w:rPr>
          <w:sz w:val="28"/>
          <w:szCs w:val="28"/>
        </w:rPr>
      </w:pPr>
      <w:r>
        <w:rPr>
          <w:sz w:val="28"/>
          <w:szCs w:val="28"/>
        </w:rPr>
        <w:t>Demographic Profile</w:t>
      </w:r>
    </w:p>
    <w:p w:rsidR="001055A6" w:rsidRDefault="001055A6" w:rsidP="00E3540D">
      <w:pPr>
        <w:pStyle w:val="ListParagraph"/>
        <w:numPr>
          <w:ilvl w:val="0"/>
          <w:numId w:val="22"/>
        </w:numPr>
        <w:spacing w:line="360" w:lineRule="auto"/>
        <w:rPr>
          <w:sz w:val="28"/>
          <w:szCs w:val="28"/>
        </w:rPr>
      </w:pPr>
      <w:r>
        <w:rPr>
          <w:sz w:val="28"/>
          <w:szCs w:val="28"/>
        </w:rPr>
        <w:t>Metropolitan Planning Process</w:t>
      </w:r>
    </w:p>
    <w:p w:rsidR="001055A6" w:rsidRDefault="001055A6" w:rsidP="00E3540D">
      <w:pPr>
        <w:pStyle w:val="ListParagraph"/>
        <w:numPr>
          <w:ilvl w:val="0"/>
          <w:numId w:val="22"/>
        </w:numPr>
        <w:spacing w:line="360" w:lineRule="auto"/>
        <w:rPr>
          <w:sz w:val="28"/>
          <w:szCs w:val="28"/>
        </w:rPr>
      </w:pPr>
      <w:r>
        <w:rPr>
          <w:sz w:val="28"/>
          <w:szCs w:val="28"/>
        </w:rPr>
        <w:t>Analytical Process for Identifying Impacts</w:t>
      </w:r>
    </w:p>
    <w:p w:rsidR="001055A6" w:rsidRPr="001055A6" w:rsidRDefault="001055A6" w:rsidP="001055A6">
      <w:pPr>
        <w:spacing w:line="360" w:lineRule="auto"/>
        <w:rPr>
          <w:sz w:val="28"/>
          <w:szCs w:val="28"/>
        </w:rPr>
      </w:pPr>
    </w:p>
    <w:p w:rsidR="00F80A8D" w:rsidRDefault="00F80A8D">
      <w:pPr>
        <w:pStyle w:val="Heading4"/>
        <w:spacing w:line="360" w:lineRule="auto"/>
        <w:rPr>
          <w:sz w:val="28"/>
          <w:szCs w:val="28"/>
        </w:rPr>
      </w:pPr>
      <w:r>
        <w:rPr>
          <w:sz w:val="28"/>
          <w:szCs w:val="28"/>
        </w:rPr>
        <w:t>Methodology</w:t>
      </w:r>
    </w:p>
    <w:p w:rsidR="00F80A8D" w:rsidRDefault="00F80A8D">
      <w:pPr>
        <w:spacing w:line="360" w:lineRule="auto"/>
        <w:rPr>
          <w:sz w:val="28"/>
          <w:szCs w:val="28"/>
        </w:rPr>
      </w:pPr>
      <w:r>
        <w:rPr>
          <w:sz w:val="28"/>
          <w:szCs w:val="28"/>
        </w:rPr>
        <w:t xml:space="preserve">Initial interviews were conducted with the FTA Headquarters Civil Rights staff and the FTA </w:t>
      </w:r>
      <w:r w:rsidR="00CA1585">
        <w:rPr>
          <w:sz w:val="28"/>
          <w:szCs w:val="28"/>
        </w:rPr>
        <w:t xml:space="preserve">Region </w:t>
      </w:r>
      <w:r w:rsidR="000A65D4">
        <w:rPr>
          <w:sz w:val="28"/>
          <w:szCs w:val="28"/>
        </w:rPr>
        <w:t>IX</w:t>
      </w:r>
      <w:r>
        <w:rPr>
          <w:sz w:val="28"/>
          <w:szCs w:val="28"/>
        </w:rPr>
        <w:t xml:space="preserve"> Civil Rights Officer to discuss specific Title VI issues and concerns regarding </w:t>
      </w:r>
      <w:r w:rsidR="005772CD">
        <w:rPr>
          <w:sz w:val="28"/>
          <w:szCs w:val="28"/>
        </w:rPr>
        <w:t>SANDAG</w:t>
      </w:r>
      <w:r>
        <w:rPr>
          <w:sz w:val="28"/>
          <w:szCs w:val="28"/>
        </w:rPr>
        <w:t>.</w:t>
      </w:r>
      <w:r>
        <w:rPr>
          <w:color w:val="33CCCC"/>
          <w:sz w:val="28"/>
          <w:szCs w:val="28"/>
        </w:rPr>
        <w:t xml:space="preserve">  </w:t>
      </w:r>
      <w:r>
        <w:rPr>
          <w:sz w:val="28"/>
          <w:szCs w:val="28"/>
        </w:rPr>
        <w:t xml:space="preserve">An agenda letter covering the Review was sent to </w:t>
      </w:r>
      <w:r w:rsidR="005772CD">
        <w:rPr>
          <w:sz w:val="28"/>
          <w:szCs w:val="28"/>
        </w:rPr>
        <w:t>SANDAG</w:t>
      </w:r>
      <w:r>
        <w:rPr>
          <w:sz w:val="28"/>
          <w:szCs w:val="28"/>
        </w:rPr>
        <w:t xml:space="preserve"> advising it of the site visit and indicating additional information that would be needed and issues that would be discussed.  The Title VI Review team focused on the compliance areas that are contained in FTA Title VI Circular 4702.1A that became effective on May 13, 2007.  These compliance areas are: (1) General Reporting Requirements</w:t>
      </w:r>
      <w:r w:rsidR="003C68B7">
        <w:rPr>
          <w:sz w:val="28"/>
          <w:szCs w:val="28"/>
        </w:rPr>
        <w:t xml:space="preserve"> and Guidelines</w:t>
      </w:r>
      <w:r>
        <w:rPr>
          <w:sz w:val="28"/>
          <w:szCs w:val="28"/>
        </w:rPr>
        <w:t>; (2) Program-Specific Requirements</w:t>
      </w:r>
      <w:r w:rsidR="003C68B7">
        <w:rPr>
          <w:sz w:val="28"/>
          <w:szCs w:val="28"/>
        </w:rPr>
        <w:t xml:space="preserve"> and Guidelines</w:t>
      </w:r>
      <w:r>
        <w:rPr>
          <w:sz w:val="28"/>
          <w:szCs w:val="28"/>
        </w:rPr>
        <w:t xml:space="preserve"> for </w:t>
      </w:r>
      <w:r w:rsidR="00295271">
        <w:rPr>
          <w:sz w:val="28"/>
          <w:szCs w:val="28"/>
        </w:rPr>
        <w:t xml:space="preserve">Recipients Serving Large Urbanized Areas; and </w:t>
      </w:r>
      <w:r w:rsidR="00725A45">
        <w:rPr>
          <w:sz w:val="28"/>
          <w:szCs w:val="28"/>
        </w:rPr>
        <w:t xml:space="preserve">(3) </w:t>
      </w:r>
      <w:r w:rsidR="00295271">
        <w:rPr>
          <w:sz w:val="28"/>
          <w:szCs w:val="28"/>
        </w:rPr>
        <w:t>Program-Specific Guidance for Metropolitan Transportation Planning Organizations</w:t>
      </w:r>
      <w:r>
        <w:rPr>
          <w:sz w:val="28"/>
          <w:szCs w:val="28"/>
        </w:rPr>
        <w:t xml:space="preserve">.  The General Reporting Requirements </w:t>
      </w:r>
      <w:r w:rsidR="003C68B7">
        <w:rPr>
          <w:sz w:val="28"/>
          <w:szCs w:val="28"/>
        </w:rPr>
        <w:t xml:space="preserve">and Guidelines </w:t>
      </w:r>
      <w:r>
        <w:rPr>
          <w:sz w:val="28"/>
          <w:szCs w:val="28"/>
        </w:rPr>
        <w:t xml:space="preserve">now include implementation of the Environmental Justice (EJ) and Limited English Proficiency (LEP) Executive Orders.  </w:t>
      </w:r>
    </w:p>
    <w:p w:rsidR="00F80A8D" w:rsidRDefault="00F80A8D">
      <w:pPr>
        <w:spacing w:line="360" w:lineRule="auto"/>
        <w:rPr>
          <w:sz w:val="28"/>
          <w:szCs w:val="28"/>
        </w:rPr>
      </w:pPr>
    </w:p>
    <w:p w:rsidR="00CC47CA" w:rsidRDefault="005772CD">
      <w:pPr>
        <w:spacing w:line="360" w:lineRule="auto"/>
        <w:rPr>
          <w:sz w:val="28"/>
          <w:szCs w:val="28"/>
        </w:rPr>
      </w:pPr>
      <w:r>
        <w:rPr>
          <w:sz w:val="28"/>
          <w:szCs w:val="28"/>
        </w:rPr>
        <w:t>SANDAG</w:t>
      </w:r>
      <w:r w:rsidR="00F80A8D">
        <w:rPr>
          <w:sz w:val="28"/>
          <w:szCs w:val="28"/>
        </w:rPr>
        <w:t xml:space="preserve"> was requested to provide the following information regarding the Title VI Requirements </w:t>
      </w:r>
      <w:r w:rsidR="003C68B7">
        <w:rPr>
          <w:sz w:val="28"/>
          <w:szCs w:val="28"/>
        </w:rPr>
        <w:t xml:space="preserve">and Guidelines </w:t>
      </w:r>
      <w:r w:rsidR="00F80A8D">
        <w:rPr>
          <w:sz w:val="28"/>
          <w:szCs w:val="28"/>
        </w:rPr>
        <w:t>of FTA Circular 4702.1A:</w:t>
      </w:r>
    </w:p>
    <w:p w:rsidR="00DB2C25" w:rsidRDefault="00DB2C25">
      <w:pPr>
        <w:spacing w:line="360" w:lineRule="auto"/>
        <w:rPr>
          <w:sz w:val="28"/>
          <w:szCs w:val="28"/>
        </w:rPr>
      </w:pPr>
    </w:p>
    <w:p w:rsidR="00DB2C25" w:rsidRPr="004C4F42" w:rsidRDefault="00DB2C25" w:rsidP="00786FE8">
      <w:pPr>
        <w:pStyle w:val="BodyTextIndent2"/>
        <w:numPr>
          <w:ilvl w:val="0"/>
          <w:numId w:val="26"/>
        </w:numPr>
        <w:tabs>
          <w:tab w:val="clear" w:pos="1080"/>
        </w:tabs>
        <w:ind w:left="720"/>
        <w:rPr>
          <w:sz w:val="28"/>
          <w:szCs w:val="28"/>
        </w:rPr>
      </w:pPr>
      <w:r w:rsidRPr="004C4F42">
        <w:rPr>
          <w:rFonts w:cs="Arial"/>
          <w:sz w:val="28"/>
          <w:szCs w:val="22"/>
        </w:rPr>
        <w:lastRenderedPageBreak/>
        <w:t xml:space="preserve">Description of </w:t>
      </w:r>
      <w:r>
        <w:rPr>
          <w:rFonts w:cs="Arial"/>
          <w:sz w:val="28"/>
          <w:szCs w:val="22"/>
        </w:rPr>
        <w:t>SANDAG</w:t>
      </w:r>
      <w:r w:rsidRPr="004C4F42">
        <w:rPr>
          <w:rFonts w:cs="Arial"/>
          <w:sz w:val="28"/>
          <w:szCs w:val="22"/>
        </w:rPr>
        <w:t>’s service area, including general population and other demographic information using the most recent Census data.</w:t>
      </w:r>
    </w:p>
    <w:p w:rsidR="00DB2C25" w:rsidRPr="004C4F42" w:rsidRDefault="00DB2C25" w:rsidP="00786FE8">
      <w:pPr>
        <w:pStyle w:val="BodyTextIndent2"/>
        <w:ind w:left="720" w:firstLine="0"/>
        <w:rPr>
          <w:sz w:val="28"/>
          <w:szCs w:val="28"/>
        </w:rPr>
      </w:pPr>
    </w:p>
    <w:p w:rsidR="00DB2C25" w:rsidRPr="00DB2C25" w:rsidRDefault="00DB2C25" w:rsidP="00786FE8">
      <w:pPr>
        <w:pStyle w:val="BodyTextIndent2"/>
        <w:numPr>
          <w:ilvl w:val="0"/>
          <w:numId w:val="26"/>
        </w:numPr>
        <w:tabs>
          <w:tab w:val="clear" w:pos="1080"/>
          <w:tab w:val="num" w:pos="720"/>
        </w:tabs>
        <w:ind w:left="720"/>
        <w:rPr>
          <w:sz w:val="28"/>
          <w:szCs w:val="28"/>
        </w:rPr>
      </w:pPr>
      <w:r>
        <w:rPr>
          <w:rFonts w:cs="Arial"/>
          <w:sz w:val="28"/>
          <w:szCs w:val="22"/>
        </w:rPr>
        <w:t>SANDAG</w:t>
      </w:r>
      <w:r w:rsidRPr="004C4F42">
        <w:rPr>
          <w:rFonts w:cs="Arial"/>
          <w:sz w:val="28"/>
          <w:szCs w:val="22"/>
        </w:rPr>
        <w:t xml:space="preserve"> Organization Chart.</w:t>
      </w:r>
    </w:p>
    <w:p w:rsidR="00DB2C25" w:rsidRDefault="00DB2C25" w:rsidP="00786FE8">
      <w:pPr>
        <w:pStyle w:val="ListParagraph"/>
        <w:ind w:left="360"/>
        <w:rPr>
          <w:rFonts w:cs="Arial"/>
          <w:sz w:val="28"/>
          <w:szCs w:val="22"/>
        </w:rPr>
      </w:pPr>
    </w:p>
    <w:p w:rsidR="00DB2C25" w:rsidRPr="004C4F42" w:rsidRDefault="00DB2C25" w:rsidP="00786FE8">
      <w:pPr>
        <w:pStyle w:val="BodyTextIndent2"/>
        <w:numPr>
          <w:ilvl w:val="0"/>
          <w:numId w:val="26"/>
        </w:numPr>
        <w:ind w:left="720"/>
        <w:rPr>
          <w:sz w:val="28"/>
          <w:szCs w:val="28"/>
        </w:rPr>
      </w:pPr>
      <w:r w:rsidRPr="004C4F42">
        <w:rPr>
          <w:rFonts w:cs="Arial"/>
          <w:sz w:val="28"/>
          <w:szCs w:val="22"/>
        </w:rPr>
        <w:t xml:space="preserve">Any studies or surveys conducted by </w:t>
      </w:r>
      <w:r>
        <w:rPr>
          <w:rFonts w:cs="Arial"/>
          <w:sz w:val="28"/>
          <w:szCs w:val="22"/>
        </w:rPr>
        <w:t>SANDAG</w:t>
      </w:r>
      <w:r w:rsidRPr="004C4F42">
        <w:rPr>
          <w:rFonts w:cs="Arial"/>
          <w:sz w:val="28"/>
          <w:szCs w:val="22"/>
        </w:rPr>
        <w:t>, its consultants or other interested parties (colleges or universities, community groups, etc.) regarding ridership, service levels and amenities, passenger satisfaction, passenger demographics or fare issues for its public transit service during the past three years.</w:t>
      </w:r>
    </w:p>
    <w:p w:rsidR="00DB2C25" w:rsidRPr="004C4F42" w:rsidRDefault="00DB2C25" w:rsidP="00786FE8">
      <w:pPr>
        <w:pStyle w:val="BodyTextIndent2"/>
        <w:ind w:left="360" w:firstLine="0"/>
        <w:rPr>
          <w:sz w:val="28"/>
          <w:szCs w:val="28"/>
        </w:rPr>
      </w:pPr>
    </w:p>
    <w:p w:rsidR="00DB2C25" w:rsidRPr="004C4F42" w:rsidRDefault="00DB2C25" w:rsidP="00786FE8">
      <w:pPr>
        <w:pStyle w:val="BodyTextIndent2"/>
        <w:numPr>
          <w:ilvl w:val="0"/>
          <w:numId w:val="26"/>
        </w:numPr>
        <w:ind w:left="720"/>
        <w:rPr>
          <w:sz w:val="28"/>
          <w:szCs w:val="28"/>
        </w:rPr>
      </w:pPr>
      <w:r w:rsidRPr="004C4F42">
        <w:rPr>
          <w:rFonts w:cs="Arial"/>
          <w:sz w:val="28"/>
          <w:szCs w:val="22"/>
        </w:rPr>
        <w:t xml:space="preserve">Summary of </w:t>
      </w:r>
      <w:r>
        <w:rPr>
          <w:rFonts w:cs="Arial"/>
          <w:sz w:val="28"/>
          <w:szCs w:val="22"/>
        </w:rPr>
        <w:t>SANDAG</w:t>
      </w:r>
      <w:r w:rsidRPr="004C4F42">
        <w:rPr>
          <w:rFonts w:cs="Arial"/>
          <w:sz w:val="28"/>
          <w:szCs w:val="22"/>
        </w:rPr>
        <w:t>’s current efforts to seek out and consider the viewpoints of minority, low-income, and LEP populations in the course of conducting public outreach and involvement activities.</w:t>
      </w:r>
    </w:p>
    <w:p w:rsidR="00DB2C25" w:rsidRPr="004C4F42" w:rsidRDefault="00DB2C25" w:rsidP="00786FE8">
      <w:pPr>
        <w:pStyle w:val="BodyTextIndent2"/>
        <w:ind w:left="360" w:firstLine="0"/>
        <w:rPr>
          <w:sz w:val="28"/>
          <w:szCs w:val="28"/>
        </w:rPr>
      </w:pPr>
    </w:p>
    <w:p w:rsidR="00DB2C25" w:rsidRPr="004C4F42" w:rsidRDefault="00DB2C25" w:rsidP="00786FE8">
      <w:pPr>
        <w:pStyle w:val="BodyTextIndent2"/>
        <w:numPr>
          <w:ilvl w:val="0"/>
          <w:numId w:val="26"/>
        </w:numPr>
        <w:ind w:left="720"/>
        <w:rPr>
          <w:sz w:val="28"/>
          <w:szCs w:val="28"/>
        </w:rPr>
      </w:pPr>
      <w:r w:rsidRPr="004C4F42">
        <w:rPr>
          <w:rFonts w:cs="Arial"/>
          <w:sz w:val="28"/>
          <w:szCs w:val="22"/>
        </w:rPr>
        <w:t xml:space="preserve">A copy of </w:t>
      </w:r>
      <w:r>
        <w:rPr>
          <w:rFonts w:cs="Arial"/>
          <w:sz w:val="28"/>
          <w:szCs w:val="22"/>
        </w:rPr>
        <w:t>SANDAG</w:t>
      </w:r>
      <w:r w:rsidRPr="004C4F42">
        <w:rPr>
          <w:rFonts w:cs="Arial"/>
          <w:sz w:val="28"/>
          <w:szCs w:val="22"/>
        </w:rPr>
        <w:t xml:space="preserve">’s </w:t>
      </w:r>
      <w:r w:rsidR="0060012B">
        <w:rPr>
          <w:rFonts w:cs="Arial"/>
          <w:sz w:val="28"/>
          <w:szCs w:val="22"/>
        </w:rPr>
        <w:t>four-factor</w:t>
      </w:r>
      <w:r w:rsidRPr="004C4F42">
        <w:rPr>
          <w:rFonts w:cs="Arial"/>
          <w:sz w:val="28"/>
          <w:szCs w:val="22"/>
        </w:rPr>
        <w:t xml:space="preserve"> analysis of the needs of persons with Limited English Proficiency.</w:t>
      </w:r>
    </w:p>
    <w:p w:rsidR="00DB2C25" w:rsidRPr="004C4F42" w:rsidRDefault="00DB2C25" w:rsidP="00786FE8">
      <w:pPr>
        <w:pStyle w:val="BodyTextIndent2"/>
        <w:ind w:left="360" w:firstLine="0"/>
        <w:rPr>
          <w:sz w:val="28"/>
          <w:szCs w:val="28"/>
        </w:rPr>
      </w:pPr>
    </w:p>
    <w:p w:rsidR="00DB2C25" w:rsidRPr="004C4F42" w:rsidRDefault="00DB2C25" w:rsidP="00786FE8">
      <w:pPr>
        <w:pStyle w:val="BodyTextIndent2"/>
        <w:numPr>
          <w:ilvl w:val="0"/>
          <w:numId w:val="26"/>
        </w:numPr>
        <w:ind w:left="720"/>
        <w:rPr>
          <w:sz w:val="28"/>
          <w:szCs w:val="28"/>
        </w:rPr>
      </w:pPr>
      <w:r w:rsidRPr="004C4F42">
        <w:rPr>
          <w:rFonts w:cs="Arial"/>
          <w:sz w:val="28"/>
          <w:szCs w:val="22"/>
        </w:rPr>
        <w:t xml:space="preserve">A copy of </w:t>
      </w:r>
      <w:r>
        <w:rPr>
          <w:rFonts w:cs="Arial"/>
          <w:sz w:val="28"/>
          <w:szCs w:val="22"/>
        </w:rPr>
        <w:t>SANDAG</w:t>
      </w:r>
      <w:r w:rsidRPr="004C4F42">
        <w:rPr>
          <w:rFonts w:cs="Arial"/>
          <w:sz w:val="28"/>
          <w:szCs w:val="22"/>
        </w:rPr>
        <w:t>’s plan for providing language assistance for persons with Limited English Proficiency that is based on the USDOT LEP Guidance</w:t>
      </w:r>
      <w:r>
        <w:rPr>
          <w:rFonts w:cs="Arial"/>
          <w:sz w:val="28"/>
          <w:szCs w:val="22"/>
        </w:rPr>
        <w:t>.</w:t>
      </w:r>
    </w:p>
    <w:p w:rsidR="00DB2C25" w:rsidRPr="004C4F42" w:rsidRDefault="00DB2C25" w:rsidP="00786FE8">
      <w:pPr>
        <w:pStyle w:val="BodyTextIndent2"/>
        <w:ind w:left="360" w:firstLine="0"/>
        <w:rPr>
          <w:sz w:val="28"/>
          <w:szCs w:val="28"/>
        </w:rPr>
      </w:pPr>
    </w:p>
    <w:p w:rsidR="00DB2C25" w:rsidRPr="004C4F42" w:rsidRDefault="00DB2C25" w:rsidP="00786FE8">
      <w:pPr>
        <w:pStyle w:val="BodyTextIndent2"/>
        <w:numPr>
          <w:ilvl w:val="0"/>
          <w:numId w:val="26"/>
        </w:numPr>
        <w:ind w:left="720"/>
        <w:rPr>
          <w:sz w:val="28"/>
          <w:szCs w:val="28"/>
        </w:rPr>
      </w:pPr>
      <w:r>
        <w:rPr>
          <w:rFonts w:cs="Arial"/>
          <w:sz w:val="28"/>
          <w:szCs w:val="22"/>
        </w:rPr>
        <w:t>SANDAG</w:t>
      </w:r>
      <w:r w:rsidRPr="004C4F42">
        <w:rPr>
          <w:rFonts w:cs="Arial"/>
          <w:sz w:val="28"/>
          <w:szCs w:val="22"/>
        </w:rPr>
        <w:t>’s procedures for investigating and tracking Title VI complaints and documentation that the procedures for filing complaints are available to members of the public upon request.</w:t>
      </w:r>
    </w:p>
    <w:p w:rsidR="00DB2C25" w:rsidRPr="004C4F42" w:rsidRDefault="00DB2C25" w:rsidP="00786FE8">
      <w:pPr>
        <w:pStyle w:val="BodyTextIndent2"/>
        <w:ind w:left="360" w:firstLine="0"/>
        <w:rPr>
          <w:sz w:val="28"/>
          <w:szCs w:val="28"/>
        </w:rPr>
      </w:pPr>
    </w:p>
    <w:p w:rsidR="00DB2C25" w:rsidRPr="004C4F42" w:rsidRDefault="00DB2C25" w:rsidP="00786FE8">
      <w:pPr>
        <w:pStyle w:val="BodyTextIndent2"/>
        <w:numPr>
          <w:ilvl w:val="0"/>
          <w:numId w:val="26"/>
        </w:numPr>
        <w:ind w:left="720"/>
        <w:rPr>
          <w:sz w:val="28"/>
          <w:szCs w:val="28"/>
        </w:rPr>
      </w:pPr>
      <w:r w:rsidRPr="004C4F42">
        <w:rPr>
          <w:rFonts w:cs="Arial"/>
          <w:kern w:val="32"/>
          <w:sz w:val="28"/>
          <w:szCs w:val="22"/>
        </w:rPr>
        <w:t xml:space="preserve">A list of any investigations, lawsuits, or complaints naming </w:t>
      </w:r>
      <w:r>
        <w:rPr>
          <w:rFonts w:cs="Arial"/>
          <w:kern w:val="32"/>
          <w:sz w:val="28"/>
          <w:szCs w:val="22"/>
        </w:rPr>
        <w:t>SANDAG</w:t>
      </w:r>
      <w:r w:rsidRPr="004C4F42">
        <w:rPr>
          <w:rFonts w:cs="Arial"/>
          <w:kern w:val="32"/>
          <w:sz w:val="28"/>
          <w:szCs w:val="22"/>
        </w:rPr>
        <w:t xml:space="preserve"> that alleges discrimination on the basis of race, color, or national origin during the past three years.  This list must include:</w:t>
      </w:r>
    </w:p>
    <w:p w:rsidR="00DB2C25" w:rsidRPr="004C4F42" w:rsidRDefault="00DB2C25" w:rsidP="00786FE8">
      <w:pPr>
        <w:numPr>
          <w:ilvl w:val="0"/>
          <w:numId w:val="20"/>
        </w:numPr>
        <w:ind w:left="1440"/>
        <w:contextualSpacing/>
        <w:rPr>
          <w:rFonts w:cs="Arial"/>
          <w:sz w:val="28"/>
          <w:szCs w:val="22"/>
        </w:rPr>
      </w:pPr>
      <w:r w:rsidRPr="004C4F42">
        <w:rPr>
          <w:rFonts w:cs="Arial"/>
          <w:kern w:val="32"/>
          <w:sz w:val="28"/>
          <w:szCs w:val="22"/>
        </w:rPr>
        <w:t xml:space="preserve">the date the investigation, lawsuit, or complaint was filed; </w:t>
      </w:r>
    </w:p>
    <w:p w:rsidR="00DB2C25" w:rsidRPr="004C4F42" w:rsidRDefault="00DB2C25" w:rsidP="00786FE8">
      <w:pPr>
        <w:numPr>
          <w:ilvl w:val="0"/>
          <w:numId w:val="20"/>
        </w:numPr>
        <w:ind w:left="1440"/>
        <w:contextualSpacing/>
        <w:rPr>
          <w:rFonts w:cs="Arial"/>
          <w:sz w:val="28"/>
          <w:szCs w:val="22"/>
        </w:rPr>
      </w:pPr>
      <w:r w:rsidRPr="004C4F42">
        <w:rPr>
          <w:rFonts w:cs="Arial"/>
          <w:kern w:val="32"/>
          <w:sz w:val="28"/>
          <w:szCs w:val="22"/>
        </w:rPr>
        <w:t xml:space="preserve">a summary of the allegation(s); </w:t>
      </w:r>
    </w:p>
    <w:p w:rsidR="00DB2C25" w:rsidRPr="004C4F42" w:rsidRDefault="00DB2C25" w:rsidP="00786FE8">
      <w:pPr>
        <w:numPr>
          <w:ilvl w:val="0"/>
          <w:numId w:val="20"/>
        </w:numPr>
        <w:ind w:left="1440"/>
        <w:contextualSpacing/>
        <w:rPr>
          <w:rFonts w:cs="Arial"/>
          <w:sz w:val="28"/>
          <w:szCs w:val="22"/>
        </w:rPr>
      </w:pPr>
      <w:r w:rsidRPr="004C4F42">
        <w:rPr>
          <w:rFonts w:cs="Arial"/>
          <w:kern w:val="32"/>
          <w:sz w:val="28"/>
          <w:szCs w:val="22"/>
        </w:rPr>
        <w:t xml:space="preserve">the status of the investigation, lawsuit, or complaint; and </w:t>
      </w:r>
    </w:p>
    <w:p w:rsidR="00DB2C25" w:rsidRPr="004C4F42" w:rsidRDefault="00DB2C25" w:rsidP="00786FE8">
      <w:pPr>
        <w:numPr>
          <w:ilvl w:val="0"/>
          <w:numId w:val="20"/>
        </w:numPr>
        <w:ind w:left="1440"/>
        <w:contextualSpacing/>
        <w:rPr>
          <w:rFonts w:cs="Arial"/>
          <w:sz w:val="28"/>
          <w:szCs w:val="22"/>
        </w:rPr>
      </w:pPr>
      <w:proofErr w:type="gramStart"/>
      <w:r w:rsidRPr="004C4F42">
        <w:rPr>
          <w:rFonts w:cs="Arial"/>
          <w:kern w:val="32"/>
          <w:sz w:val="28"/>
          <w:szCs w:val="22"/>
        </w:rPr>
        <w:t>actions</w:t>
      </w:r>
      <w:proofErr w:type="gramEnd"/>
      <w:r w:rsidRPr="004C4F42">
        <w:rPr>
          <w:rFonts w:cs="Arial"/>
          <w:kern w:val="32"/>
          <w:sz w:val="28"/>
          <w:szCs w:val="22"/>
        </w:rPr>
        <w:t xml:space="preserve"> taken by </w:t>
      </w:r>
      <w:r>
        <w:rPr>
          <w:rFonts w:cs="Arial"/>
          <w:kern w:val="32"/>
          <w:sz w:val="28"/>
          <w:szCs w:val="22"/>
        </w:rPr>
        <w:t>SANDAG</w:t>
      </w:r>
      <w:r w:rsidRPr="004C4F42">
        <w:rPr>
          <w:rFonts w:cs="Arial"/>
          <w:kern w:val="32"/>
          <w:sz w:val="28"/>
          <w:szCs w:val="22"/>
        </w:rPr>
        <w:t xml:space="preserve"> in response to the investigation, lawsuit, or complaint.</w:t>
      </w:r>
    </w:p>
    <w:p w:rsidR="00DB2C25" w:rsidRPr="004C4F42" w:rsidRDefault="00DB2C25" w:rsidP="00786FE8">
      <w:pPr>
        <w:ind w:left="1080"/>
        <w:rPr>
          <w:rFonts w:cs="Arial"/>
          <w:sz w:val="28"/>
          <w:szCs w:val="22"/>
        </w:rPr>
      </w:pPr>
    </w:p>
    <w:p w:rsidR="00DB2C25" w:rsidRPr="004C4F42" w:rsidRDefault="00DB2C25" w:rsidP="00786FE8">
      <w:pPr>
        <w:pStyle w:val="BodyTextIndent2"/>
        <w:numPr>
          <w:ilvl w:val="0"/>
          <w:numId w:val="26"/>
        </w:numPr>
        <w:ind w:left="720"/>
        <w:rPr>
          <w:sz w:val="28"/>
          <w:szCs w:val="28"/>
        </w:rPr>
      </w:pPr>
      <w:r w:rsidRPr="004C4F42">
        <w:rPr>
          <w:rFonts w:cs="Arial"/>
          <w:sz w:val="28"/>
          <w:szCs w:val="22"/>
        </w:rPr>
        <w:t xml:space="preserve">Copy of </w:t>
      </w:r>
      <w:r>
        <w:rPr>
          <w:rFonts w:cs="Arial"/>
          <w:sz w:val="28"/>
          <w:szCs w:val="22"/>
        </w:rPr>
        <w:t>SANDAG</w:t>
      </w:r>
      <w:r w:rsidRPr="004C4F42">
        <w:rPr>
          <w:rFonts w:cs="Arial"/>
          <w:sz w:val="28"/>
          <w:szCs w:val="22"/>
        </w:rPr>
        <w:t xml:space="preserve">’s Notice to Beneficiaries of Protection </w:t>
      </w:r>
      <w:proofErr w:type="gramStart"/>
      <w:r w:rsidRPr="004C4F42">
        <w:rPr>
          <w:rFonts w:cs="Arial"/>
          <w:sz w:val="28"/>
          <w:szCs w:val="22"/>
        </w:rPr>
        <w:t>Under</w:t>
      </w:r>
      <w:proofErr w:type="gramEnd"/>
      <w:r w:rsidRPr="004C4F42">
        <w:rPr>
          <w:rFonts w:cs="Arial"/>
          <w:sz w:val="28"/>
          <w:szCs w:val="22"/>
        </w:rPr>
        <w:t xml:space="preserve"> Title VI.</w:t>
      </w:r>
    </w:p>
    <w:p w:rsidR="00DB2C25" w:rsidRPr="004C4F42" w:rsidRDefault="00DB2C25" w:rsidP="00786FE8">
      <w:pPr>
        <w:pStyle w:val="BodyTextIndent2"/>
        <w:ind w:left="720" w:firstLine="0"/>
        <w:rPr>
          <w:sz w:val="28"/>
          <w:szCs w:val="28"/>
        </w:rPr>
      </w:pPr>
    </w:p>
    <w:p w:rsidR="00DB2C25" w:rsidRPr="004C4F42" w:rsidRDefault="00DB2C25" w:rsidP="00786FE8">
      <w:pPr>
        <w:pStyle w:val="BodyTextIndent2"/>
        <w:numPr>
          <w:ilvl w:val="0"/>
          <w:numId w:val="26"/>
        </w:numPr>
        <w:ind w:left="720"/>
        <w:rPr>
          <w:sz w:val="28"/>
          <w:szCs w:val="28"/>
        </w:rPr>
      </w:pPr>
      <w:r w:rsidRPr="004C4F42">
        <w:rPr>
          <w:rFonts w:cs="Arial"/>
          <w:sz w:val="28"/>
          <w:szCs w:val="22"/>
        </w:rPr>
        <w:lastRenderedPageBreak/>
        <w:t xml:space="preserve">Documentation of efforts made by </w:t>
      </w:r>
      <w:r>
        <w:rPr>
          <w:rFonts w:cs="Arial"/>
          <w:sz w:val="28"/>
          <w:szCs w:val="22"/>
        </w:rPr>
        <w:t>SANDAG</w:t>
      </w:r>
      <w:r w:rsidRPr="004C4F42">
        <w:rPr>
          <w:rFonts w:cs="Arial"/>
          <w:sz w:val="28"/>
          <w:szCs w:val="22"/>
        </w:rPr>
        <w:t xml:space="preserve"> to notify members of the public of the protections against discrimination afforded to them by Title VI.</w:t>
      </w:r>
    </w:p>
    <w:p w:rsidR="00DB2C25" w:rsidRPr="004C4F42" w:rsidRDefault="00DB2C25" w:rsidP="00786FE8">
      <w:pPr>
        <w:pStyle w:val="BodyTextIndent2"/>
        <w:ind w:left="360" w:firstLine="0"/>
        <w:rPr>
          <w:sz w:val="28"/>
          <w:szCs w:val="28"/>
        </w:rPr>
      </w:pPr>
    </w:p>
    <w:p w:rsidR="00DB2C25" w:rsidRPr="004C4F42" w:rsidRDefault="00DB2C25" w:rsidP="00786FE8">
      <w:pPr>
        <w:pStyle w:val="BodyTextIndent2"/>
        <w:numPr>
          <w:ilvl w:val="0"/>
          <w:numId w:val="26"/>
        </w:numPr>
        <w:ind w:left="720"/>
        <w:rPr>
          <w:sz w:val="28"/>
          <w:szCs w:val="28"/>
        </w:rPr>
      </w:pPr>
      <w:r w:rsidRPr="004C4F42">
        <w:rPr>
          <w:rFonts w:cs="Arial"/>
          <w:sz w:val="28"/>
          <w:szCs w:val="22"/>
        </w:rPr>
        <w:t>Copies of any environmental justice assessments conducted for construction projects during the past three years and, if needed, a description of the program or other measures used or planned to mitigate any identified adverse impact on the minority or low-income communities.</w:t>
      </w:r>
    </w:p>
    <w:p w:rsidR="00DB2C25" w:rsidRPr="004C4F42" w:rsidRDefault="00DB2C25" w:rsidP="00786FE8">
      <w:pPr>
        <w:pStyle w:val="BodyTextIndent2"/>
        <w:ind w:left="360" w:firstLine="0"/>
        <w:rPr>
          <w:sz w:val="28"/>
          <w:szCs w:val="28"/>
        </w:rPr>
      </w:pPr>
    </w:p>
    <w:p w:rsidR="00DB2C25" w:rsidRPr="00DB2C25" w:rsidRDefault="00DB2C25" w:rsidP="00786FE8">
      <w:pPr>
        <w:pStyle w:val="BodyTextIndent2"/>
        <w:numPr>
          <w:ilvl w:val="0"/>
          <w:numId w:val="26"/>
        </w:numPr>
        <w:ind w:left="720"/>
        <w:rPr>
          <w:sz w:val="28"/>
          <w:szCs w:val="28"/>
        </w:rPr>
      </w:pPr>
      <w:r>
        <w:rPr>
          <w:rFonts w:cs="Arial"/>
          <w:sz w:val="28"/>
          <w:szCs w:val="22"/>
        </w:rPr>
        <w:t>SANDAG</w:t>
      </w:r>
      <w:r w:rsidRPr="004C4F42">
        <w:rPr>
          <w:rFonts w:cs="Arial"/>
          <w:sz w:val="28"/>
          <w:szCs w:val="22"/>
        </w:rPr>
        <w:t>’s most recent Title VI Update that was submitted to FTA.</w:t>
      </w:r>
    </w:p>
    <w:p w:rsidR="00DB2C25" w:rsidRDefault="00DB2C25" w:rsidP="00786FE8">
      <w:pPr>
        <w:pStyle w:val="ListParagraph"/>
        <w:ind w:left="360"/>
        <w:rPr>
          <w:sz w:val="28"/>
          <w:szCs w:val="28"/>
        </w:rPr>
      </w:pPr>
    </w:p>
    <w:p w:rsidR="00DB2C25" w:rsidRPr="00DB2C25" w:rsidRDefault="00DB2C25" w:rsidP="00786FE8">
      <w:pPr>
        <w:pStyle w:val="BodyTextIndent2"/>
        <w:numPr>
          <w:ilvl w:val="0"/>
          <w:numId w:val="26"/>
        </w:numPr>
        <w:ind w:left="720"/>
        <w:rPr>
          <w:sz w:val="28"/>
          <w:szCs w:val="28"/>
        </w:rPr>
      </w:pPr>
      <w:r w:rsidRPr="00DB2C25">
        <w:rPr>
          <w:sz w:val="28"/>
          <w:szCs w:val="28"/>
        </w:rPr>
        <w:t>FTA Title VI Update Approval Letter.</w:t>
      </w:r>
    </w:p>
    <w:p w:rsidR="00DB2C25" w:rsidRPr="004C4F42" w:rsidRDefault="00DB2C25" w:rsidP="00786FE8">
      <w:pPr>
        <w:pStyle w:val="BodyTextIndent2"/>
        <w:ind w:left="360" w:firstLine="0"/>
        <w:rPr>
          <w:sz w:val="28"/>
          <w:szCs w:val="28"/>
        </w:rPr>
      </w:pPr>
    </w:p>
    <w:p w:rsidR="00DB2C25" w:rsidRPr="004C4F42" w:rsidRDefault="00DB2C25" w:rsidP="00786FE8">
      <w:pPr>
        <w:pStyle w:val="BodyTextIndent2"/>
        <w:numPr>
          <w:ilvl w:val="0"/>
          <w:numId w:val="26"/>
        </w:numPr>
        <w:ind w:left="720"/>
        <w:rPr>
          <w:sz w:val="28"/>
          <w:szCs w:val="28"/>
        </w:rPr>
      </w:pPr>
      <w:r w:rsidRPr="004C4F42">
        <w:rPr>
          <w:rFonts w:cs="Arial"/>
          <w:spacing w:val="4"/>
          <w:sz w:val="28"/>
          <w:szCs w:val="22"/>
        </w:rPr>
        <w:t xml:space="preserve">Documentation of </w:t>
      </w:r>
      <w:r>
        <w:rPr>
          <w:rFonts w:cs="Arial"/>
          <w:spacing w:val="4"/>
          <w:sz w:val="28"/>
          <w:szCs w:val="22"/>
        </w:rPr>
        <w:t>SANDAG</w:t>
      </w:r>
      <w:r w:rsidRPr="004C4F42">
        <w:rPr>
          <w:rFonts w:cs="Arial"/>
          <w:spacing w:val="4"/>
          <w:sz w:val="28"/>
          <w:szCs w:val="22"/>
        </w:rPr>
        <w:t xml:space="preserve">’s methodology for evaluating significant system-wide service and fare changes and proposed improvements at the planning and programming stages to determine whether those changes have a discriminatory impact (Note: per Circular 4702.1A Chapter V part 4, this requirement applies to “major service changes” only and </w:t>
      </w:r>
      <w:r>
        <w:rPr>
          <w:rFonts w:cs="Arial"/>
          <w:spacing w:val="4"/>
          <w:sz w:val="28"/>
          <w:szCs w:val="22"/>
        </w:rPr>
        <w:t>SANDAG</w:t>
      </w:r>
      <w:r w:rsidRPr="004C4F42">
        <w:rPr>
          <w:rFonts w:cs="Arial"/>
          <w:spacing w:val="4"/>
          <w:sz w:val="28"/>
          <w:szCs w:val="22"/>
        </w:rPr>
        <w:t xml:space="preserve"> should have established guidelines or thresholds for what it considers a “major” service change to be).   If </w:t>
      </w:r>
      <w:r>
        <w:rPr>
          <w:rFonts w:cs="Arial"/>
          <w:spacing w:val="4"/>
          <w:sz w:val="28"/>
          <w:szCs w:val="22"/>
        </w:rPr>
        <w:t>SANDAG</w:t>
      </w:r>
      <w:r w:rsidRPr="004C4F42">
        <w:rPr>
          <w:rFonts w:cs="Arial"/>
          <w:spacing w:val="4"/>
          <w:sz w:val="28"/>
          <w:szCs w:val="22"/>
        </w:rPr>
        <w:t xml:space="preserve"> has made significant service changes or fare changes in the past three years or is currently planning such changes, provide documentation of </w:t>
      </w:r>
      <w:r>
        <w:rPr>
          <w:rFonts w:cs="Arial"/>
          <w:spacing w:val="4"/>
          <w:sz w:val="28"/>
          <w:szCs w:val="22"/>
        </w:rPr>
        <w:t>SANDAG</w:t>
      </w:r>
      <w:r w:rsidRPr="004C4F42">
        <w:rPr>
          <w:rFonts w:cs="Arial"/>
          <w:spacing w:val="4"/>
          <w:sz w:val="28"/>
          <w:szCs w:val="22"/>
        </w:rPr>
        <w:t>’s Title VI evaluations of the service or fare changes.</w:t>
      </w:r>
    </w:p>
    <w:p w:rsidR="00DB2C25" w:rsidRPr="004C4F42" w:rsidRDefault="00DB2C25" w:rsidP="00786FE8">
      <w:pPr>
        <w:pStyle w:val="BodyTextIndent2"/>
        <w:ind w:left="360" w:firstLine="0"/>
        <w:rPr>
          <w:sz w:val="28"/>
          <w:szCs w:val="28"/>
        </w:rPr>
      </w:pPr>
    </w:p>
    <w:p w:rsidR="00DB2C25" w:rsidRPr="00DB2C25" w:rsidRDefault="00DB2C25" w:rsidP="00786FE8">
      <w:pPr>
        <w:pStyle w:val="BodyTextIndent2"/>
        <w:numPr>
          <w:ilvl w:val="0"/>
          <w:numId w:val="26"/>
        </w:numPr>
        <w:ind w:left="720"/>
        <w:rPr>
          <w:sz w:val="28"/>
          <w:szCs w:val="28"/>
        </w:rPr>
      </w:pPr>
      <w:r w:rsidRPr="00DB2C25">
        <w:rPr>
          <w:sz w:val="28"/>
          <w:szCs w:val="28"/>
        </w:rPr>
        <w:t>A demographic profile of SANDAG’s metropolitan area that includes identification of the locations of socioeconomic groups, including low-income and minority populations.</w:t>
      </w:r>
    </w:p>
    <w:p w:rsidR="00DB2C25" w:rsidRPr="00DB2C25" w:rsidRDefault="00DB2C25" w:rsidP="00786FE8">
      <w:pPr>
        <w:pStyle w:val="ListParagraph"/>
        <w:ind w:left="360"/>
        <w:rPr>
          <w:sz w:val="28"/>
          <w:szCs w:val="28"/>
        </w:rPr>
      </w:pPr>
    </w:p>
    <w:p w:rsidR="00DB2C25" w:rsidRPr="00DB2C25" w:rsidRDefault="00DB2C25" w:rsidP="00786FE8">
      <w:pPr>
        <w:pStyle w:val="BodyTextIndent2"/>
        <w:numPr>
          <w:ilvl w:val="0"/>
          <w:numId w:val="26"/>
        </w:numPr>
        <w:ind w:left="720"/>
        <w:rPr>
          <w:sz w:val="28"/>
          <w:szCs w:val="28"/>
        </w:rPr>
      </w:pPr>
      <w:r w:rsidRPr="00DB2C25">
        <w:rPr>
          <w:sz w:val="28"/>
          <w:szCs w:val="28"/>
        </w:rPr>
        <w:t>SANDAG’s metropolitan transportation planning process that identifies the needs of low-income and minority populations.</w:t>
      </w:r>
    </w:p>
    <w:p w:rsidR="00DB2C25" w:rsidRPr="00DB2C25" w:rsidRDefault="00DB2C25" w:rsidP="00786FE8">
      <w:pPr>
        <w:pStyle w:val="ListParagraph"/>
        <w:ind w:left="360"/>
        <w:rPr>
          <w:sz w:val="28"/>
          <w:szCs w:val="28"/>
        </w:rPr>
      </w:pPr>
    </w:p>
    <w:p w:rsidR="00DB2C25" w:rsidRPr="00DB2C25" w:rsidRDefault="00DB2C25" w:rsidP="00786FE8">
      <w:pPr>
        <w:pStyle w:val="BodyTextIndent2"/>
        <w:numPr>
          <w:ilvl w:val="0"/>
          <w:numId w:val="26"/>
        </w:numPr>
        <w:spacing w:after="240"/>
        <w:ind w:left="720"/>
        <w:rPr>
          <w:sz w:val="28"/>
          <w:szCs w:val="28"/>
        </w:rPr>
      </w:pPr>
      <w:r w:rsidRPr="00DB2C25">
        <w:rPr>
          <w:sz w:val="28"/>
          <w:szCs w:val="28"/>
        </w:rPr>
        <w:t xml:space="preserve">SANDAG’s analytical process for identifying the benefits and burdens of metropolitan transportation system investments for different socioeconomic groups, identifying imbalances and responding to the analyses produced.    </w:t>
      </w:r>
    </w:p>
    <w:p w:rsidR="00C6444F" w:rsidRPr="00786FE8" w:rsidRDefault="00C6444F" w:rsidP="00E34B0C">
      <w:pPr>
        <w:spacing w:line="360" w:lineRule="auto"/>
        <w:contextualSpacing/>
        <w:rPr>
          <w:sz w:val="28"/>
          <w:szCs w:val="28"/>
        </w:rPr>
      </w:pPr>
    </w:p>
    <w:p w:rsidR="00F80A8D" w:rsidRDefault="005772CD">
      <w:pPr>
        <w:pStyle w:val="BodyText2"/>
        <w:spacing w:line="360" w:lineRule="auto"/>
        <w:jc w:val="left"/>
        <w:rPr>
          <w:b w:val="0"/>
          <w:bCs/>
          <w:sz w:val="28"/>
          <w:szCs w:val="28"/>
        </w:rPr>
      </w:pPr>
      <w:r>
        <w:rPr>
          <w:b w:val="0"/>
          <w:bCs/>
          <w:sz w:val="28"/>
          <w:szCs w:val="28"/>
        </w:rPr>
        <w:lastRenderedPageBreak/>
        <w:t>SANDAG</w:t>
      </w:r>
      <w:r w:rsidR="00F80A8D">
        <w:rPr>
          <w:b w:val="0"/>
          <w:bCs/>
          <w:sz w:val="28"/>
          <w:szCs w:val="28"/>
        </w:rPr>
        <w:t xml:space="preserve"> assembled most of the documents prior to the site visit and provided them to the Compliance Review team for advance review. </w:t>
      </w:r>
      <w:r w:rsidR="008F0120">
        <w:rPr>
          <w:b w:val="0"/>
          <w:bCs/>
          <w:sz w:val="28"/>
          <w:szCs w:val="28"/>
        </w:rPr>
        <w:t xml:space="preserve"> </w:t>
      </w:r>
      <w:r w:rsidR="00F80A8D">
        <w:rPr>
          <w:b w:val="0"/>
          <w:bCs/>
          <w:sz w:val="28"/>
          <w:szCs w:val="28"/>
        </w:rPr>
        <w:t xml:space="preserve">A detailed schedule for the </w:t>
      </w:r>
      <w:r w:rsidR="003C68B7">
        <w:rPr>
          <w:b w:val="0"/>
          <w:bCs/>
          <w:sz w:val="28"/>
          <w:szCs w:val="28"/>
        </w:rPr>
        <w:t>three</w:t>
      </w:r>
      <w:r w:rsidR="00F80A8D">
        <w:rPr>
          <w:b w:val="0"/>
          <w:bCs/>
          <w:sz w:val="28"/>
          <w:szCs w:val="28"/>
        </w:rPr>
        <w:t>-day site visit was developed.</w:t>
      </w:r>
    </w:p>
    <w:p w:rsidR="00F80A8D" w:rsidRDefault="00F80A8D">
      <w:pPr>
        <w:pStyle w:val="BodyText2"/>
        <w:spacing w:line="360" w:lineRule="auto"/>
        <w:jc w:val="left"/>
        <w:rPr>
          <w:b w:val="0"/>
          <w:bCs/>
          <w:sz w:val="28"/>
          <w:szCs w:val="28"/>
        </w:rPr>
      </w:pPr>
    </w:p>
    <w:p w:rsidR="00F80A8D" w:rsidRDefault="00F80A8D">
      <w:pPr>
        <w:pStyle w:val="BodyText2"/>
        <w:spacing w:line="360" w:lineRule="auto"/>
        <w:jc w:val="left"/>
        <w:rPr>
          <w:b w:val="0"/>
          <w:sz w:val="28"/>
        </w:rPr>
      </w:pPr>
      <w:r>
        <w:rPr>
          <w:b w:val="0"/>
          <w:bCs/>
          <w:sz w:val="28"/>
          <w:szCs w:val="28"/>
        </w:rPr>
        <w:t xml:space="preserve">The site visit to </w:t>
      </w:r>
      <w:r w:rsidR="005772CD">
        <w:rPr>
          <w:b w:val="0"/>
          <w:bCs/>
          <w:sz w:val="28"/>
          <w:szCs w:val="28"/>
        </w:rPr>
        <w:t>SANDAG</w:t>
      </w:r>
      <w:r>
        <w:rPr>
          <w:b w:val="0"/>
          <w:bCs/>
          <w:sz w:val="28"/>
          <w:szCs w:val="28"/>
        </w:rPr>
        <w:t xml:space="preserve"> occurred </w:t>
      </w:r>
      <w:r w:rsidR="00295271">
        <w:rPr>
          <w:b w:val="0"/>
          <w:bCs/>
          <w:sz w:val="28"/>
          <w:szCs w:val="28"/>
        </w:rPr>
        <w:t>March 8 – 10, 2011</w:t>
      </w:r>
      <w:r>
        <w:rPr>
          <w:b w:val="0"/>
          <w:bCs/>
          <w:sz w:val="28"/>
          <w:szCs w:val="28"/>
        </w:rPr>
        <w:t>.  The individuals participating in the Review are listed in Section VIII of this report.</w:t>
      </w:r>
      <w:r>
        <w:rPr>
          <w:sz w:val="28"/>
          <w:szCs w:val="28"/>
        </w:rPr>
        <w:t xml:space="preserve"> </w:t>
      </w:r>
      <w:r>
        <w:rPr>
          <w:b w:val="0"/>
          <w:sz w:val="28"/>
        </w:rPr>
        <w:t xml:space="preserve"> </w:t>
      </w:r>
      <w:r w:rsidR="00EA0F06">
        <w:rPr>
          <w:b w:val="0"/>
          <w:sz w:val="28"/>
        </w:rPr>
        <w:t>An</w:t>
      </w:r>
      <w:r>
        <w:rPr>
          <w:b w:val="0"/>
          <w:sz w:val="28"/>
        </w:rPr>
        <w:t xml:space="preserve"> Entrance Conference was conducted at the beginning of the Compliance Review with </w:t>
      </w:r>
      <w:r w:rsidR="005772CD">
        <w:rPr>
          <w:b w:val="0"/>
          <w:sz w:val="28"/>
        </w:rPr>
        <w:t>SANDAG</w:t>
      </w:r>
      <w:r w:rsidRPr="00A203F5">
        <w:rPr>
          <w:b w:val="0"/>
          <w:sz w:val="28"/>
        </w:rPr>
        <w:t xml:space="preserve"> senior management staff</w:t>
      </w:r>
      <w:r w:rsidR="00AA59B8">
        <w:rPr>
          <w:b w:val="0"/>
          <w:sz w:val="28"/>
        </w:rPr>
        <w:t xml:space="preserve">, </w:t>
      </w:r>
      <w:r w:rsidR="009734DD" w:rsidRPr="009734DD">
        <w:rPr>
          <w:b w:val="0"/>
          <w:sz w:val="28"/>
        </w:rPr>
        <w:t xml:space="preserve">the FTA </w:t>
      </w:r>
      <w:r w:rsidR="00302FEA">
        <w:rPr>
          <w:b w:val="0"/>
          <w:sz w:val="28"/>
        </w:rPr>
        <w:t>Headquarters Title VI, EEO, and DBE Team Leader</w:t>
      </w:r>
      <w:r w:rsidR="009734DD" w:rsidRPr="009734DD">
        <w:rPr>
          <w:b w:val="0"/>
          <w:sz w:val="28"/>
        </w:rPr>
        <w:t>,</w:t>
      </w:r>
      <w:r w:rsidR="002207BE" w:rsidRPr="00AA59B8">
        <w:rPr>
          <w:b w:val="0"/>
          <w:sz w:val="28"/>
        </w:rPr>
        <w:t xml:space="preserve"> </w:t>
      </w:r>
      <w:r w:rsidR="00295271">
        <w:rPr>
          <w:b w:val="0"/>
          <w:sz w:val="28"/>
        </w:rPr>
        <w:t>and the contractor Review t</w:t>
      </w:r>
      <w:r w:rsidRPr="00A203F5">
        <w:rPr>
          <w:b w:val="0"/>
          <w:sz w:val="28"/>
        </w:rPr>
        <w:t>eam.</w:t>
      </w:r>
      <w:r>
        <w:rPr>
          <w:b w:val="0"/>
          <w:sz w:val="28"/>
        </w:rPr>
        <w:t xml:space="preserve">  The Review team showed the participants a U.S. Justice Department Title VI film during the Entrance Conference.  Also, during the Entrance Conference, the Review team explained the goals of the Review and the needed cooperation of staff members.  </w:t>
      </w:r>
      <w:r>
        <w:rPr>
          <w:b w:val="0"/>
          <w:bCs/>
          <w:sz w:val="28"/>
          <w:szCs w:val="28"/>
        </w:rPr>
        <w:t>A detailed schedule for conducting the on-site visit was discussed.</w:t>
      </w:r>
    </w:p>
    <w:p w:rsidR="00F80A8D" w:rsidRDefault="00F80A8D">
      <w:pPr>
        <w:pStyle w:val="BodyText2"/>
        <w:spacing w:line="360" w:lineRule="auto"/>
        <w:rPr>
          <w:b w:val="0"/>
          <w:sz w:val="28"/>
        </w:rPr>
      </w:pPr>
    </w:p>
    <w:p w:rsidR="00F80A8D" w:rsidRDefault="00F80A8D">
      <w:pPr>
        <w:spacing w:line="360" w:lineRule="auto"/>
        <w:rPr>
          <w:bCs/>
          <w:sz w:val="28"/>
        </w:rPr>
      </w:pPr>
      <w:r>
        <w:rPr>
          <w:bCs/>
          <w:sz w:val="28"/>
        </w:rPr>
        <w:t xml:space="preserve">Following the Entrance Conference, the Title VI Compliance Review team met with </w:t>
      </w:r>
      <w:r w:rsidR="00C6318B">
        <w:rPr>
          <w:bCs/>
          <w:sz w:val="28"/>
        </w:rPr>
        <w:t xml:space="preserve">the </w:t>
      </w:r>
      <w:r w:rsidR="005772CD">
        <w:rPr>
          <w:bCs/>
          <w:sz w:val="28"/>
        </w:rPr>
        <w:t>SANDAG</w:t>
      </w:r>
      <w:r w:rsidR="00C6318B">
        <w:rPr>
          <w:bCs/>
          <w:sz w:val="28"/>
        </w:rPr>
        <w:t xml:space="preserve"> </w:t>
      </w:r>
      <w:r w:rsidR="009F4856">
        <w:rPr>
          <w:bCs/>
          <w:sz w:val="28"/>
        </w:rPr>
        <w:t>General Counsel</w:t>
      </w:r>
      <w:r w:rsidR="00C6318B">
        <w:rPr>
          <w:bCs/>
          <w:sz w:val="28"/>
        </w:rPr>
        <w:t xml:space="preserve"> and other </w:t>
      </w:r>
      <w:r>
        <w:rPr>
          <w:bCs/>
          <w:sz w:val="28"/>
        </w:rPr>
        <w:t>staff responsible for Title VI Compliance.  During this meeting, discussions focused on a detailed examination of documents submitted in advance of the site visit and documents provided at the</w:t>
      </w:r>
      <w:r w:rsidR="00CA1585">
        <w:rPr>
          <w:bCs/>
          <w:sz w:val="28"/>
        </w:rPr>
        <w:t xml:space="preserve"> site visit by</w:t>
      </w:r>
      <w:r>
        <w:rPr>
          <w:bCs/>
          <w:sz w:val="28"/>
        </w:rPr>
        <w:t xml:space="preserve"> </w:t>
      </w:r>
      <w:r w:rsidR="005772CD">
        <w:rPr>
          <w:bCs/>
          <w:sz w:val="28"/>
        </w:rPr>
        <w:t>SANDAG</w:t>
      </w:r>
      <w:r>
        <w:rPr>
          <w:bCs/>
          <w:sz w:val="28"/>
        </w:rPr>
        <w:t>.</w:t>
      </w:r>
      <w:r w:rsidR="003210E2">
        <w:rPr>
          <w:bCs/>
          <w:sz w:val="28"/>
        </w:rPr>
        <w:t xml:space="preserve"> </w:t>
      </w:r>
      <w:r w:rsidR="005B1F1E">
        <w:rPr>
          <w:bCs/>
          <w:sz w:val="28"/>
        </w:rPr>
        <w:t xml:space="preserve"> </w:t>
      </w:r>
      <w:r w:rsidR="003210E2">
        <w:rPr>
          <w:bCs/>
          <w:sz w:val="28"/>
        </w:rPr>
        <w:t>The Review team then met with various staff members from SANDAG to discuss how SANDAG incorporated the FTA Title VI requirements into its transportation program.</w:t>
      </w:r>
    </w:p>
    <w:p w:rsidR="00EA0F06" w:rsidRDefault="00EA0F06">
      <w:pPr>
        <w:spacing w:line="360" w:lineRule="auto"/>
        <w:rPr>
          <w:bCs/>
          <w:sz w:val="28"/>
        </w:rPr>
      </w:pPr>
    </w:p>
    <w:p w:rsidR="00F80A8D" w:rsidRDefault="00F80A8D">
      <w:pPr>
        <w:spacing w:line="360" w:lineRule="auto"/>
        <w:rPr>
          <w:sz w:val="28"/>
        </w:rPr>
      </w:pPr>
      <w:r>
        <w:rPr>
          <w:sz w:val="28"/>
        </w:rPr>
        <w:t xml:space="preserve">At the end of the site visit, an Exit Conference was held with </w:t>
      </w:r>
      <w:r w:rsidR="005772CD">
        <w:rPr>
          <w:sz w:val="28"/>
        </w:rPr>
        <w:t>SANDAG</w:t>
      </w:r>
      <w:r>
        <w:rPr>
          <w:sz w:val="28"/>
        </w:rPr>
        <w:t xml:space="preserve"> </w:t>
      </w:r>
      <w:r w:rsidR="00AA59B8">
        <w:rPr>
          <w:sz w:val="28"/>
        </w:rPr>
        <w:t>staff</w:t>
      </w:r>
      <w:r>
        <w:rPr>
          <w:sz w:val="28"/>
        </w:rPr>
        <w:t xml:space="preserve">, </w:t>
      </w:r>
      <w:r w:rsidR="009F4856" w:rsidRPr="009734DD">
        <w:rPr>
          <w:sz w:val="28"/>
        </w:rPr>
        <w:t xml:space="preserve">the FTA </w:t>
      </w:r>
      <w:r w:rsidR="00302FEA">
        <w:rPr>
          <w:sz w:val="28"/>
        </w:rPr>
        <w:t>Region IX Civil Rights Officer,</w:t>
      </w:r>
      <w:r w:rsidR="009F4856">
        <w:rPr>
          <w:sz w:val="28"/>
        </w:rPr>
        <w:t xml:space="preserve"> </w:t>
      </w:r>
      <w:r>
        <w:rPr>
          <w:sz w:val="28"/>
        </w:rPr>
        <w:t xml:space="preserve">and the contractor Review team.  At the Exit Conference, initial findings and corrective actions were discussed with </w:t>
      </w:r>
      <w:r w:rsidR="005772CD">
        <w:rPr>
          <w:sz w:val="28"/>
        </w:rPr>
        <w:t>SANDAG</w:t>
      </w:r>
      <w:r>
        <w:rPr>
          <w:sz w:val="28"/>
        </w:rPr>
        <w:t>.</w:t>
      </w:r>
    </w:p>
    <w:p w:rsidR="00F80A8D" w:rsidRDefault="00750E12" w:rsidP="00786FE8">
      <w:pPr>
        <w:pStyle w:val="BHLevel1"/>
        <w:numPr>
          <w:ilvl w:val="0"/>
          <w:numId w:val="6"/>
        </w:numPr>
        <w:rPr>
          <w:sz w:val="28"/>
          <w:szCs w:val="28"/>
        </w:rPr>
      </w:pPr>
      <w:bookmarkStart w:id="9" w:name="_Toc106790242"/>
      <w:r>
        <w:rPr>
          <w:u w:val="none"/>
        </w:rPr>
        <w:br w:type="page"/>
      </w:r>
      <w:bookmarkStart w:id="10" w:name="_Toc315152504"/>
      <w:r w:rsidR="00F80A8D" w:rsidRPr="00786FE8">
        <w:rPr>
          <w:sz w:val="28"/>
          <w:szCs w:val="28"/>
        </w:rPr>
        <w:lastRenderedPageBreak/>
        <w:t>FINDINGS AND RECOMMENDATIONS</w:t>
      </w:r>
      <w:bookmarkEnd w:id="9"/>
      <w:bookmarkEnd w:id="10"/>
    </w:p>
    <w:p w:rsidR="005B1F1E" w:rsidRPr="00786FE8" w:rsidRDefault="005B1F1E" w:rsidP="00E34B0C">
      <w:pPr>
        <w:rPr>
          <w:sz w:val="28"/>
          <w:szCs w:val="28"/>
        </w:rPr>
      </w:pPr>
    </w:p>
    <w:p w:rsidR="00F80A8D" w:rsidRPr="003A0B73" w:rsidRDefault="00F80A8D" w:rsidP="00D45A6E">
      <w:pPr>
        <w:spacing w:line="360" w:lineRule="auto"/>
        <w:rPr>
          <w:sz w:val="28"/>
          <w:szCs w:val="28"/>
        </w:rPr>
      </w:pPr>
      <w:r>
        <w:rPr>
          <w:sz w:val="28"/>
          <w:szCs w:val="28"/>
        </w:rPr>
        <w:t xml:space="preserve">The Title VI Compliance Review focused on </w:t>
      </w:r>
      <w:r w:rsidR="005772CD">
        <w:rPr>
          <w:sz w:val="28"/>
          <w:szCs w:val="28"/>
        </w:rPr>
        <w:t>SANDAG</w:t>
      </w:r>
      <w:r>
        <w:rPr>
          <w:sz w:val="28"/>
          <w:szCs w:val="28"/>
        </w:rPr>
        <w:t xml:space="preserve">'s compliance with the General Reporting Requirements </w:t>
      </w:r>
      <w:r w:rsidR="00B14E80">
        <w:rPr>
          <w:sz w:val="28"/>
          <w:szCs w:val="28"/>
        </w:rPr>
        <w:t xml:space="preserve">and Guidelines, </w:t>
      </w:r>
      <w:r w:rsidR="003210E2">
        <w:rPr>
          <w:sz w:val="28"/>
          <w:szCs w:val="28"/>
        </w:rPr>
        <w:t xml:space="preserve">one area of </w:t>
      </w:r>
      <w:r>
        <w:rPr>
          <w:sz w:val="28"/>
          <w:szCs w:val="28"/>
        </w:rPr>
        <w:t>the Program-Specific Requirements</w:t>
      </w:r>
      <w:r w:rsidR="003C68B7">
        <w:rPr>
          <w:sz w:val="28"/>
          <w:szCs w:val="28"/>
        </w:rPr>
        <w:t xml:space="preserve"> and Guidelines for </w:t>
      </w:r>
      <w:r w:rsidR="00B14E80">
        <w:rPr>
          <w:sz w:val="28"/>
          <w:szCs w:val="28"/>
        </w:rPr>
        <w:t>Recipients Serving Large Urbanized Areas, and Program-Specific Guidance for Metropolitan Transportation Planning Organizations</w:t>
      </w:r>
      <w:r>
        <w:rPr>
          <w:sz w:val="28"/>
          <w:szCs w:val="28"/>
        </w:rPr>
        <w:t>.  This section describes the requirements and findings at the time of the Compliance Review site visit</w:t>
      </w:r>
      <w:r w:rsidRPr="005E2DBB">
        <w:rPr>
          <w:sz w:val="28"/>
          <w:szCs w:val="28"/>
        </w:rPr>
        <w:t xml:space="preserve">.  </w:t>
      </w:r>
      <w:bookmarkStart w:id="11" w:name="_GoBack"/>
      <w:bookmarkEnd w:id="11"/>
      <w:r w:rsidRPr="003A0B73">
        <w:rPr>
          <w:sz w:val="28"/>
          <w:szCs w:val="28"/>
        </w:rPr>
        <w:t xml:space="preserve">In summary, </w:t>
      </w:r>
      <w:r w:rsidR="008E06FC" w:rsidRPr="003A0B73">
        <w:rPr>
          <w:sz w:val="28"/>
          <w:szCs w:val="28"/>
        </w:rPr>
        <w:t xml:space="preserve">no deficiencies were identified in </w:t>
      </w:r>
      <w:r w:rsidR="009A2651" w:rsidRPr="003A0B73">
        <w:rPr>
          <w:sz w:val="28"/>
          <w:szCs w:val="28"/>
        </w:rPr>
        <w:t>eight</w:t>
      </w:r>
      <w:r w:rsidR="004B54C0" w:rsidRPr="003A0B73">
        <w:rPr>
          <w:sz w:val="28"/>
          <w:szCs w:val="28"/>
        </w:rPr>
        <w:t xml:space="preserve"> </w:t>
      </w:r>
      <w:r w:rsidR="008E06FC" w:rsidRPr="003A0B73">
        <w:rPr>
          <w:sz w:val="28"/>
          <w:szCs w:val="28"/>
        </w:rPr>
        <w:t>of the</w:t>
      </w:r>
      <w:r w:rsidR="008C59EE" w:rsidRPr="003A0B73">
        <w:rPr>
          <w:sz w:val="28"/>
          <w:szCs w:val="28"/>
        </w:rPr>
        <w:t xml:space="preserve"> twelve</w:t>
      </w:r>
      <w:r w:rsidR="00236583" w:rsidRPr="003A0B73">
        <w:rPr>
          <w:sz w:val="28"/>
          <w:szCs w:val="28"/>
        </w:rPr>
        <w:t xml:space="preserve"> areas reviewed</w:t>
      </w:r>
      <w:r w:rsidR="00CA12B2" w:rsidRPr="003A0B73">
        <w:rPr>
          <w:sz w:val="28"/>
          <w:szCs w:val="28"/>
        </w:rPr>
        <w:t>.</w:t>
      </w:r>
      <w:r w:rsidR="005E2DBB" w:rsidRPr="003A0B73">
        <w:rPr>
          <w:sz w:val="28"/>
          <w:szCs w:val="28"/>
        </w:rPr>
        <w:t xml:space="preserve">  </w:t>
      </w:r>
      <w:r w:rsidR="00CA12B2" w:rsidRPr="003A0B73">
        <w:rPr>
          <w:sz w:val="28"/>
          <w:szCs w:val="28"/>
        </w:rPr>
        <w:t>Advisory comments were issued in</w:t>
      </w:r>
      <w:r w:rsidR="00D45A6E" w:rsidRPr="003A0B73">
        <w:rPr>
          <w:sz w:val="28"/>
          <w:szCs w:val="28"/>
        </w:rPr>
        <w:t xml:space="preserve"> M</w:t>
      </w:r>
      <w:r w:rsidR="00CA12B2" w:rsidRPr="003A0B73">
        <w:rPr>
          <w:i/>
          <w:sz w:val="28"/>
          <w:szCs w:val="28"/>
        </w:rPr>
        <w:t>etropolitan Planning Process</w:t>
      </w:r>
      <w:r w:rsidR="00D45A6E" w:rsidRPr="003A0B73">
        <w:rPr>
          <w:i/>
          <w:sz w:val="28"/>
          <w:szCs w:val="28"/>
        </w:rPr>
        <w:t xml:space="preserve"> </w:t>
      </w:r>
      <w:r w:rsidR="00D45A6E" w:rsidRPr="003A0B73">
        <w:rPr>
          <w:sz w:val="28"/>
          <w:szCs w:val="28"/>
        </w:rPr>
        <w:t>and</w:t>
      </w:r>
      <w:r w:rsidR="00D45A6E" w:rsidRPr="003A0B73">
        <w:rPr>
          <w:i/>
          <w:sz w:val="28"/>
          <w:szCs w:val="28"/>
        </w:rPr>
        <w:t xml:space="preserve"> </w:t>
      </w:r>
      <w:r w:rsidR="00CA12B2" w:rsidRPr="003A0B73">
        <w:rPr>
          <w:i/>
          <w:sz w:val="28"/>
          <w:szCs w:val="28"/>
        </w:rPr>
        <w:t>Analytical Process for Identifying Impacts</w:t>
      </w:r>
      <w:r w:rsidR="00D45A6E" w:rsidRPr="003A0B73">
        <w:rPr>
          <w:sz w:val="28"/>
          <w:szCs w:val="28"/>
        </w:rPr>
        <w:t xml:space="preserve">.  </w:t>
      </w:r>
      <w:r w:rsidR="008E06FC" w:rsidRPr="003A0B73">
        <w:rPr>
          <w:sz w:val="28"/>
          <w:szCs w:val="28"/>
        </w:rPr>
        <w:t>D</w:t>
      </w:r>
      <w:r w:rsidRPr="003A0B73">
        <w:rPr>
          <w:sz w:val="28"/>
          <w:szCs w:val="28"/>
        </w:rPr>
        <w:t xml:space="preserve">eficiencies were identified in </w:t>
      </w:r>
      <w:r w:rsidR="008E06FC" w:rsidRPr="003A0B73">
        <w:rPr>
          <w:sz w:val="28"/>
          <w:szCs w:val="28"/>
        </w:rPr>
        <w:t xml:space="preserve">the following </w:t>
      </w:r>
      <w:r w:rsidR="00D45A6E" w:rsidRPr="003A0B73">
        <w:rPr>
          <w:sz w:val="28"/>
          <w:szCs w:val="28"/>
        </w:rPr>
        <w:t>four</w:t>
      </w:r>
      <w:r w:rsidR="008B4B3C" w:rsidRPr="003A0B73">
        <w:rPr>
          <w:sz w:val="28"/>
          <w:szCs w:val="28"/>
        </w:rPr>
        <w:t xml:space="preserve"> </w:t>
      </w:r>
      <w:r w:rsidR="008E06FC" w:rsidRPr="003A0B73">
        <w:rPr>
          <w:sz w:val="28"/>
          <w:szCs w:val="28"/>
        </w:rPr>
        <w:t xml:space="preserve">Title VI requirement areas: </w:t>
      </w:r>
    </w:p>
    <w:p w:rsidR="00F80A8D" w:rsidRPr="003A0B73" w:rsidRDefault="00E404C2" w:rsidP="00456253">
      <w:pPr>
        <w:numPr>
          <w:ilvl w:val="0"/>
          <w:numId w:val="15"/>
        </w:numPr>
        <w:rPr>
          <w:i/>
          <w:sz w:val="28"/>
          <w:szCs w:val="28"/>
        </w:rPr>
      </w:pPr>
      <w:r w:rsidRPr="003A0B73">
        <w:rPr>
          <w:i/>
          <w:sz w:val="28"/>
          <w:szCs w:val="28"/>
        </w:rPr>
        <w:t>Language Access to LEP Persons</w:t>
      </w:r>
    </w:p>
    <w:p w:rsidR="00A92E80" w:rsidRPr="003A0B73" w:rsidRDefault="00613C0F" w:rsidP="00B14E80">
      <w:pPr>
        <w:numPr>
          <w:ilvl w:val="0"/>
          <w:numId w:val="15"/>
        </w:numPr>
        <w:rPr>
          <w:i/>
          <w:sz w:val="28"/>
          <w:szCs w:val="28"/>
        </w:rPr>
      </w:pPr>
      <w:r w:rsidRPr="003A0B73">
        <w:rPr>
          <w:i/>
          <w:sz w:val="28"/>
          <w:szCs w:val="28"/>
        </w:rPr>
        <w:t>Title VI Complaint Procedures</w:t>
      </w:r>
    </w:p>
    <w:p w:rsidR="00613C0F" w:rsidRPr="003A0B73" w:rsidRDefault="00613C0F" w:rsidP="00B14E80">
      <w:pPr>
        <w:numPr>
          <w:ilvl w:val="0"/>
          <w:numId w:val="15"/>
        </w:numPr>
        <w:rPr>
          <w:i/>
          <w:sz w:val="28"/>
          <w:szCs w:val="28"/>
        </w:rPr>
      </w:pPr>
      <w:r w:rsidRPr="003A0B73">
        <w:rPr>
          <w:i/>
          <w:sz w:val="28"/>
          <w:szCs w:val="28"/>
        </w:rPr>
        <w:t>Notice to Beneficiaries of Protection Under Title VI</w:t>
      </w:r>
    </w:p>
    <w:p w:rsidR="00613C0F" w:rsidRPr="003A0B73" w:rsidRDefault="00613C0F" w:rsidP="00B14E80">
      <w:pPr>
        <w:numPr>
          <w:ilvl w:val="0"/>
          <w:numId w:val="15"/>
        </w:numPr>
        <w:rPr>
          <w:i/>
          <w:sz w:val="28"/>
          <w:szCs w:val="28"/>
        </w:rPr>
      </w:pPr>
      <w:r w:rsidRPr="003A0B73">
        <w:rPr>
          <w:i/>
          <w:sz w:val="28"/>
          <w:szCs w:val="28"/>
        </w:rPr>
        <w:t>Evaluation of Service and Fare Changes</w:t>
      </w:r>
    </w:p>
    <w:p w:rsidR="00D45A6E" w:rsidRPr="003A0B73" w:rsidRDefault="00D45A6E" w:rsidP="00D45A6E">
      <w:pPr>
        <w:rPr>
          <w:sz w:val="28"/>
          <w:szCs w:val="28"/>
        </w:rPr>
      </w:pPr>
    </w:p>
    <w:p w:rsidR="00D45A6E" w:rsidRPr="003A0B73" w:rsidRDefault="00D45A6E" w:rsidP="00D45A6E">
      <w:pPr>
        <w:spacing w:line="360" w:lineRule="auto"/>
        <w:rPr>
          <w:sz w:val="28"/>
          <w:szCs w:val="28"/>
        </w:rPr>
      </w:pPr>
      <w:r w:rsidRPr="003A0B73">
        <w:rPr>
          <w:sz w:val="28"/>
          <w:szCs w:val="28"/>
        </w:rPr>
        <w:t xml:space="preserve">In response to the Draft report in a letter dated September 30, 2011, SANDAG submitted corrective actions to close the deficiencies in </w:t>
      </w:r>
      <w:r w:rsidRPr="003A0B73">
        <w:rPr>
          <w:i/>
          <w:sz w:val="28"/>
          <w:szCs w:val="28"/>
        </w:rPr>
        <w:t xml:space="preserve">Notice to Beneficiaries of Protection </w:t>
      </w:r>
      <w:proofErr w:type="gramStart"/>
      <w:r w:rsidRPr="003A0B73">
        <w:rPr>
          <w:i/>
          <w:sz w:val="28"/>
          <w:szCs w:val="28"/>
        </w:rPr>
        <w:t>Under</w:t>
      </w:r>
      <w:proofErr w:type="gramEnd"/>
      <w:r w:rsidRPr="003A0B73">
        <w:rPr>
          <w:i/>
          <w:sz w:val="28"/>
          <w:szCs w:val="28"/>
        </w:rPr>
        <w:t xml:space="preserve"> Title VI</w:t>
      </w:r>
      <w:r w:rsidRPr="003A0B73">
        <w:rPr>
          <w:sz w:val="28"/>
          <w:szCs w:val="28"/>
        </w:rPr>
        <w:t xml:space="preserve"> and </w:t>
      </w:r>
      <w:r w:rsidRPr="003A0B73">
        <w:rPr>
          <w:i/>
          <w:sz w:val="28"/>
          <w:szCs w:val="28"/>
        </w:rPr>
        <w:t>Evaluation of Service and Fare Changes</w:t>
      </w:r>
      <w:r w:rsidRPr="003A0B73">
        <w:rPr>
          <w:sz w:val="28"/>
          <w:szCs w:val="28"/>
        </w:rPr>
        <w:t xml:space="preserve">.  SANDAG also submitted documentation that sufficiently addressed the advisory comments in </w:t>
      </w:r>
      <w:r w:rsidRPr="003A0B73">
        <w:rPr>
          <w:i/>
          <w:sz w:val="28"/>
          <w:szCs w:val="28"/>
        </w:rPr>
        <w:t>Metropolitan Planning Process</w:t>
      </w:r>
      <w:r w:rsidRPr="003A0B73">
        <w:rPr>
          <w:sz w:val="28"/>
          <w:szCs w:val="28"/>
        </w:rPr>
        <w:t xml:space="preserve"> and </w:t>
      </w:r>
      <w:r w:rsidRPr="003A0B73">
        <w:rPr>
          <w:i/>
          <w:sz w:val="28"/>
          <w:szCs w:val="28"/>
        </w:rPr>
        <w:t>Analytical Process for Identifying Impacts</w:t>
      </w:r>
      <w:r w:rsidRPr="003A0B73">
        <w:rPr>
          <w:sz w:val="28"/>
          <w:szCs w:val="28"/>
        </w:rPr>
        <w:t>.</w:t>
      </w:r>
    </w:p>
    <w:p w:rsidR="00F017C1" w:rsidRPr="003A0B73" w:rsidRDefault="00F017C1" w:rsidP="00D45A6E">
      <w:pPr>
        <w:spacing w:line="360" w:lineRule="auto"/>
        <w:rPr>
          <w:sz w:val="28"/>
          <w:szCs w:val="28"/>
        </w:rPr>
      </w:pPr>
    </w:p>
    <w:p w:rsidR="00F017C1" w:rsidRDefault="00F017C1" w:rsidP="00D45A6E">
      <w:pPr>
        <w:spacing w:line="360" w:lineRule="auto"/>
        <w:rPr>
          <w:sz w:val="28"/>
          <w:szCs w:val="28"/>
        </w:rPr>
      </w:pPr>
      <w:r w:rsidRPr="003A0B73">
        <w:rPr>
          <w:sz w:val="28"/>
          <w:szCs w:val="28"/>
        </w:rPr>
        <w:t xml:space="preserve">At the time of this Final report, SANDAG has two outstanding deficiencies in </w:t>
      </w:r>
      <w:r w:rsidRPr="003A0B73">
        <w:rPr>
          <w:i/>
          <w:sz w:val="28"/>
          <w:szCs w:val="28"/>
        </w:rPr>
        <w:t xml:space="preserve">Language Access to LEP Persons </w:t>
      </w:r>
      <w:r w:rsidRPr="003A0B73">
        <w:rPr>
          <w:sz w:val="28"/>
          <w:szCs w:val="28"/>
        </w:rPr>
        <w:t xml:space="preserve">and </w:t>
      </w:r>
      <w:r w:rsidRPr="003A0B73">
        <w:rPr>
          <w:i/>
          <w:sz w:val="28"/>
          <w:szCs w:val="28"/>
        </w:rPr>
        <w:t>Title VI Complaint Procedures</w:t>
      </w:r>
      <w:r w:rsidRPr="003A0B73">
        <w:rPr>
          <w:sz w:val="28"/>
          <w:szCs w:val="28"/>
        </w:rPr>
        <w:t>.</w:t>
      </w:r>
    </w:p>
    <w:p w:rsidR="00F13B22" w:rsidRDefault="00F13B22">
      <w:pPr>
        <w:rPr>
          <w:b/>
          <w:sz w:val="28"/>
          <w:szCs w:val="28"/>
        </w:rPr>
      </w:pPr>
      <w:r>
        <w:rPr>
          <w:sz w:val="28"/>
          <w:szCs w:val="28"/>
        </w:rPr>
        <w:br w:type="page"/>
      </w:r>
    </w:p>
    <w:p w:rsidR="00F80A8D" w:rsidRDefault="00F80A8D">
      <w:pPr>
        <w:pStyle w:val="Heading4"/>
        <w:rPr>
          <w:sz w:val="28"/>
          <w:szCs w:val="28"/>
        </w:rPr>
      </w:pPr>
      <w:r>
        <w:rPr>
          <w:sz w:val="28"/>
          <w:szCs w:val="28"/>
        </w:rPr>
        <w:lastRenderedPageBreak/>
        <w:t>FINDINGS OF THE GENERAL REPORTING REQUIREMENTS</w:t>
      </w:r>
      <w:r w:rsidR="003C68B7">
        <w:rPr>
          <w:sz w:val="28"/>
          <w:szCs w:val="28"/>
        </w:rPr>
        <w:t xml:space="preserve"> AND GUIDELINES</w:t>
      </w:r>
    </w:p>
    <w:p w:rsidR="00F80A8D" w:rsidRDefault="00F80A8D"/>
    <w:p w:rsidR="00F80A8D" w:rsidRDefault="00F80A8D">
      <w:pPr>
        <w:pStyle w:val="BHLevel2"/>
        <w:rPr>
          <w:sz w:val="28"/>
          <w:szCs w:val="28"/>
        </w:rPr>
      </w:pPr>
      <w:bookmarkStart w:id="12" w:name="_Toc315152505"/>
      <w:r>
        <w:rPr>
          <w:sz w:val="28"/>
          <w:szCs w:val="28"/>
        </w:rPr>
        <w:t>Inclusive Public Participation</w:t>
      </w:r>
      <w:bookmarkEnd w:id="12"/>
    </w:p>
    <w:p w:rsidR="00F80A8D" w:rsidRDefault="00F80A8D">
      <w:pPr>
        <w:pStyle w:val="Outlinea"/>
        <w:tabs>
          <w:tab w:val="clear" w:pos="720"/>
        </w:tabs>
        <w:ind w:left="0" w:firstLine="0"/>
        <w:rPr>
          <w:i/>
          <w:iCs/>
          <w:sz w:val="28"/>
        </w:rPr>
      </w:pPr>
      <w:r>
        <w:rPr>
          <w:b/>
          <w:sz w:val="28"/>
          <w:szCs w:val="28"/>
        </w:rPr>
        <w:t>Guidance:</w:t>
      </w:r>
      <w:r>
        <w:rPr>
          <w:sz w:val="28"/>
          <w:szCs w:val="28"/>
        </w:rPr>
        <w:t xml:space="preserve"> </w:t>
      </w:r>
      <w:r w:rsidR="005B1F1E">
        <w:rPr>
          <w:sz w:val="28"/>
          <w:szCs w:val="28"/>
        </w:rPr>
        <w:t xml:space="preserve"> </w:t>
      </w:r>
      <w:r>
        <w:rPr>
          <w:i/>
          <w:iCs/>
          <w:sz w:val="28"/>
        </w:rPr>
        <w:t>FTA recipients should seek out and consider the viewpoints of minority, low-income, and LEP populations in the course of conducting public outreach and involvement activities.  An agency’s public participation strategy shall offer early and continuous opportunities for the public to be involved in the identification of social, economic, and environmental impacts of proposed transportation decisions.</w:t>
      </w:r>
    </w:p>
    <w:p w:rsidR="00F80A8D" w:rsidRDefault="00F80A8D">
      <w:pPr>
        <w:spacing w:line="360" w:lineRule="auto"/>
        <w:rPr>
          <w:sz w:val="28"/>
          <w:szCs w:val="28"/>
        </w:rPr>
      </w:pPr>
    </w:p>
    <w:p w:rsidR="00524385" w:rsidRDefault="00F80A8D" w:rsidP="00061D44">
      <w:pPr>
        <w:spacing w:line="360" w:lineRule="auto"/>
        <w:rPr>
          <w:sz w:val="28"/>
          <w:szCs w:val="28"/>
        </w:rPr>
      </w:pPr>
      <w:r>
        <w:rPr>
          <w:b/>
          <w:sz w:val="28"/>
          <w:szCs w:val="28"/>
        </w:rPr>
        <w:t>Findings:</w:t>
      </w:r>
      <w:r>
        <w:rPr>
          <w:sz w:val="28"/>
          <w:szCs w:val="28"/>
        </w:rPr>
        <w:t xml:space="preserve"> </w:t>
      </w:r>
      <w:r w:rsidR="005B1F1E">
        <w:rPr>
          <w:sz w:val="28"/>
          <w:szCs w:val="28"/>
        </w:rPr>
        <w:t xml:space="preserve"> </w:t>
      </w:r>
      <w:r>
        <w:rPr>
          <w:sz w:val="28"/>
          <w:szCs w:val="28"/>
        </w:rPr>
        <w:t xml:space="preserve">During this Title VI Compliance Review of </w:t>
      </w:r>
      <w:r w:rsidR="005772CD">
        <w:rPr>
          <w:sz w:val="28"/>
          <w:szCs w:val="28"/>
        </w:rPr>
        <w:t>SANDAG</w:t>
      </w:r>
      <w:r>
        <w:rPr>
          <w:sz w:val="28"/>
          <w:szCs w:val="28"/>
        </w:rPr>
        <w:t xml:space="preserve">, </w:t>
      </w:r>
      <w:r w:rsidR="001D64DC">
        <w:rPr>
          <w:sz w:val="28"/>
          <w:szCs w:val="28"/>
        </w:rPr>
        <w:t xml:space="preserve">no </w:t>
      </w:r>
      <w:r>
        <w:rPr>
          <w:sz w:val="28"/>
          <w:szCs w:val="28"/>
        </w:rPr>
        <w:t xml:space="preserve">deficiencies were found regarding </w:t>
      </w:r>
      <w:r w:rsidR="005772CD">
        <w:rPr>
          <w:sz w:val="28"/>
          <w:szCs w:val="28"/>
        </w:rPr>
        <w:t>SANDAG</w:t>
      </w:r>
      <w:r>
        <w:rPr>
          <w:sz w:val="28"/>
          <w:szCs w:val="28"/>
        </w:rPr>
        <w:t>’s compliance with FTA guidance for Inclusive Public Participatio</w:t>
      </w:r>
      <w:r w:rsidR="008E06FC">
        <w:rPr>
          <w:sz w:val="28"/>
          <w:szCs w:val="28"/>
        </w:rPr>
        <w:t xml:space="preserve">n.  </w:t>
      </w:r>
      <w:r w:rsidR="005209AC">
        <w:rPr>
          <w:sz w:val="28"/>
          <w:szCs w:val="28"/>
        </w:rPr>
        <w:t xml:space="preserve">Prior to the site visit, </w:t>
      </w:r>
      <w:r w:rsidR="00765676">
        <w:rPr>
          <w:sz w:val="28"/>
          <w:szCs w:val="28"/>
        </w:rPr>
        <w:t xml:space="preserve">SANDAG provided its </w:t>
      </w:r>
      <w:r w:rsidR="00765676" w:rsidRPr="00765676">
        <w:rPr>
          <w:i/>
          <w:sz w:val="28"/>
          <w:szCs w:val="28"/>
        </w:rPr>
        <w:t>Public Participation Plan</w:t>
      </w:r>
      <w:r w:rsidR="00765676">
        <w:rPr>
          <w:i/>
          <w:sz w:val="28"/>
          <w:szCs w:val="28"/>
        </w:rPr>
        <w:t xml:space="preserve"> (PPP)</w:t>
      </w:r>
      <w:r w:rsidR="00765676">
        <w:rPr>
          <w:sz w:val="28"/>
          <w:szCs w:val="28"/>
        </w:rPr>
        <w:t xml:space="preserve">, dated December 18, 2009. </w:t>
      </w:r>
      <w:r w:rsidR="00933D67">
        <w:rPr>
          <w:sz w:val="28"/>
          <w:szCs w:val="28"/>
        </w:rPr>
        <w:t xml:space="preserve"> </w:t>
      </w:r>
      <w:r w:rsidR="00524385">
        <w:rPr>
          <w:sz w:val="28"/>
          <w:szCs w:val="28"/>
        </w:rPr>
        <w:t xml:space="preserve">The PPP </w:t>
      </w:r>
      <w:r w:rsidR="003210E2">
        <w:rPr>
          <w:sz w:val="28"/>
          <w:szCs w:val="28"/>
        </w:rPr>
        <w:t>wa</w:t>
      </w:r>
      <w:r w:rsidR="00524385">
        <w:rPr>
          <w:sz w:val="28"/>
          <w:szCs w:val="28"/>
        </w:rPr>
        <w:t xml:space="preserve">s designed to ensure </w:t>
      </w:r>
      <w:r w:rsidR="003210E2">
        <w:rPr>
          <w:sz w:val="28"/>
          <w:szCs w:val="28"/>
        </w:rPr>
        <w:t xml:space="preserve">that </w:t>
      </w:r>
      <w:r w:rsidR="00524385">
        <w:rPr>
          <w:sz w:val="28"/>
          <w:szCs w:val="28"/>
        </w:rPr>
        <w:t>the public ha</w:t>
      </w:r>
      <w:r w:rsidR="003210E2">
        <w:rPr>
          <w:sz w:val="28"/>
          <w:szCs w:val="28"/>
        </w:rPr>
        <w:t>d</w:t>
      </w:r>
      <w:r w:rsidR="00524385">
        <w:rPr>
          <w:sz w:val="28"/>
          <w:szCs w:val="28"/>
        </w:rPr>
        <w:t xml:space="preserve"> the opportunity to provide input so plans c</w:t>
      </w:r>
      <w:r w:rsidR="003210E2">
        <w:rPr>
          <w:sz w:val="28"/>
          <w:szCs w:val="28"/>
        </w:rPr>
        <w:t>ould</w:t>
      </w:r>
      <w:r w:rsidR="00524385">
        <w:rPr>
          <w:sz w:val="28"/>
          <w:szCs w:val="28"/>
        </w:rPr>
        <w:t xml:space="preserve"> reflect the public’s vision.  </w:t>
      </w:r>
      <w:r w:rsidR="00524385" w:rsidRPr="00262D9C">
        <w:rPr>
          <w:sz w:val="28"/>
          <w:szCs w:val="28"/>
        </w:rPr>
        <w:t>SANDAG reference</w:t>
      </w:r>
      <w:r w:rsidR="003210E2">
        <w:rPr>
          <w:sz w:val="28"/>
          <w:szCs w:val="28"/>
        </w:rPr>
        <w:t>d</w:t>
      </w:r>
      <w:r w:rsidR="00524385" w:rsidRPr="00262D9C">
        <w:rPr>
          <w:sz w:val="28"/>
          <w:szCs w:val="28"/>
        </w:rPr>
        <w:t xml:space="preserve"> the principles of social equity</w:t>
      </w:r>
      <w:r w:rsidR="00061D44">
        <w:rPr>
          <w:sz w:val="28"/>
          <w:szCs w:val="28"/>
        </w:rPr>
        <w:t xml:space="preserve"> </w:t>
      </w:r>
      <w:r w:rsidR="00061D44" w:rsidRPr="00262D9C">
        <w:rPr>
          <w:sz w:val="28"/>
          <w:szCs w:val="28"/>
        </w:rPr>
        <w:t>in its PPP</w:t>
      </w:r>
      <w:r w:rsidR="00524385" w:rsidRPr="00262D9C">
        <w:rPr>
          <w:sz w:val="28"/>
          <w:szCs w:val="28"/>
        </w:rPr>
        <w:t xml:space="preserve">.  According to </w:t>
      </w:r>
      <w:r w:rsidR="00524385">
        <w:rPr>
          <w:sz w:val="28"/>
          <w:szCs w:val="28"/>
        </w:rPr>
        <w:t>the PPP</w:t>
      </w:r>
      <w:r w:rsidR="00524385" w:rsidRPr="00262D9C">
        <w:rPr>
          <w:sz w:val="28"/>
          <w:szCs w:val="28"/>
        </w:rPr>
        <w:t>, “social equity means ensuring that all people are treated fairly and are given equal opportunity to participate in the planning and decision-making process.”</w:t>
      </w:r>
      <w:r w:rsidR="00933D67">
        <w:rPr>
          <w:sz w:val="28"/>
          <w:szCs w:val="28"/>
        </w:rPr>
        <w:t xml:space="preserve"> </w:t>
      </w:r>
      <w:r w:rsidR="00524385">
        <w:rPr>
          <w:sz w:val="28"/>
          <w:szCs w:val="28"/>
        </w:rPr>
        <w:t xml:space="preserve"> SANDAG state</w:t>
      </w:r>
      <w:r w:rsidR="003210E2">
        <w:rPr>
          <w:sz w:val="28"/>
          <w:szCs w:val="28"/>
        </w:rPr>
        <w:t>d</w:t>
      </w:r>
      <w:r w:rsidR="00524385">
        <w:rPr>
          <w:sz w:val="28"/>
          <w:szCs w:val="28"/>
        </w:rPr>
        <w:t xml:space="preserve"> that a</w:t>
      </w:r>
      <w:r w:rsidR="00765676" w:rsidRPr="00765676">
        <w:rPr>
          <w:sz w:val="28"/>
          <w:szCs w:val="28"/>
        </w:rPr>
        <w:t xml:space="preserve"> </w:t>
      </w:r>
      <w:r w:rsidR="00524385">
        <w:rPr>
          <w:sz w:val="28"/>
          <w:szCs w:val="28"/>
        </w:rPr>
        <w:t>key component of its</w:t>
      </w:r>
      <w:r w:rsidR="00765676" w:rsidRPr="00765676">
        <w:rPr>
          <w:sz w:val="28"/>
          <w:szCs w:val="28"/>
        </w:rPr>
        <w:t xml:space="preserve"> PPP </w:t>
      </w:r>
      <w:r w:rsidR="003210E2">
        <w:rPr>
          <w:sz w:val="28"/>
          <w:szCs w:val="28"/>
        </w:rPr>
        <w:t>wa</w:t>
      </w:r>
      <w:r w:rsidR="00765676" w:rsidRPr="00765676">
        <w:rPr>
          <w:sz w:val="28"/>
          <w:szCs w:val="28"/>
        </w:rPr>
        <w:t>s to ensure “the meaningful involvement of low income, minority...and other traditionally underrepresented communities.</w:t>
      </w:r>
      <w:r w:rsidR="00765676">
        <w:rPr>
          <w:sz w:val="28"/>
          <w:szCs w:val="28"/>
        </w:rPr>
        <w:t xml:space="preserve">”  </w:t>
      </w:r>
    </w:p>
    <w:p w:rsidR="00524385" w:rsidRDefault="00524385" w:rsidP="00262D9C">
      <w:pPr>
        <w:rPr>
          <w:sz w:val="28"/>
          <w:szCs w:val="28"/>
        </w:rPr>
      </w:pPr>
    </w:p>
    <w:p w:rsidR="006B27C7" w:rsidRDefault="006B27C7" w:rsidP="00061D44">
      <w:pPr>
        <w:spacing w:line="360" w:lineRule="auto"/>
        <w:rPr>
          <w:sz w:val="28"/>
          <w:szCs w:val="28"/>
        </w:rPr>
      </w:pPr>
      <w:r>
        <w:rPr>
          <w:sz w:val="28"/>
          <w:szCs w:val="28"/>
        </w:rPr>
        <w:t>SANDAG’s primary method f</w:t>
      </w:r>
      <w:r w:rsidR="008B1733">
        <w:rPr>
          <w:sz w:val="28"/>
          <w:szCs w:val="28"/>
        </w:rPr>
        <w:t>or conducting public outreach was</w:t>
      </w:r>
      <w:r>
        <w:rPr>
          <w:sz w:val="28"/>
          <w:szCs w:val="28"/>
        </w:rPr>
        <w:t xml:space="preserve"> described in its PPP as</w:t>
      </w:r>
      <w:r w:rsidR="00DA5593">
        <w:rPr>
          <w:sz w:val="28"/>
          <w:szCs w:val="28"/>
        </w:rPr>
        <w:t xml:space="preserve"> a coordinated effort on the part of SANDAG, </w:t>
      </w:r>
      <w:r w:rsidR="003210E2">
        <w:rPr>
          <w:sz w:val="28"/>
          <w:szCs w:val="28"/>
        </w:rPr>
        <w:t xml:space="preserve">public </w:t>
      </w:r>
      <w:r w:rsidR="00DA5593">
        <w:rPr>
          <w:sz w:val="28"/>
          <w:szCs w:val="28"/>
        </w:rPr>
        <w:t>transit o</w:t>
      </w:r>
      <w:r>
        <w:rPr>
          <w:sz w:val="28"/>
          <w:szCs w:val="28"/>
        </w:rPr>
        <w:t xml:space="preserve">perators, county government, </w:t>
      </w:r>
      <w:r w:rsidR="00DA5593">
        <w:rPr>
          <w:sz w:val="28"/>
          <w:szCs w:val="28"/>
        </w:rPr>
        <w:t xml:space="preserve">community groups </w:t>
      </w:r>
      <w:r>
        <w:rPr>
          <w:sz w:val="28"/>
          <w:szCs w:val="28"/>
        </w:rPr>
        <w:t xml:space="preserve">and individuals </w:t>
      </w:r>
      <w:r w:rsidR="00DA5593">
        <w:rPr>
          <w:sz w:val="28"/>
          <w:szCs w:val="28"/>
        </w:rPr>
        <w:t xml:space="preserve">to </w:t>
      </w:r>
      <w:r w:rsidR="00262D9C">
        <w:rPr>
          <w:sz w:val="28"/>
          <w:szCs w:val="28"/>
        </w:rPr>
        <w:t xml:space="preserve">proactively “involve low-income households, Hispanic, African-American, Asian and Native American persons” through </w:t>
      </w:r>
      <w:r>
        <w:rPr>
          <w:sz w:val="28"/>
          <w:szCs w:val="28"/>
        </w:rPr>
        <w:t xml:space="preserve">monthly Board of Directors meetings, weekly </w:t>
      </w:r>
      <w:r w:rsidR="00DA5593">
        <w:rPr>
          <w:sz w:val="28"/>
          <w:szCs w:val="28"/>
        </w:rPr>
        <w:t>Policy Advisory Committees (PAC)</w:t>
      </w:r>
      <w:r>
        <w:rPr>
          <w:sz w:val="28"/>
          <w:szCs w:val="28"/>
        </w:rPr>
        <w:t xml:space="preserve"> meetings</w:t>
      </w:r>
      <w:r w:rsidR="00262D9C">
        <w:rPr>
          <w:sz w:val="28"/>
          <w:szCs w:val="28"/>
        </w:rPr>
        <w:t>, working groups</w:t>
      </w:r>
      <w:r w:rsidR="00DA5593">
        <w:rPr>
          <w:sz w:val="28"/>
          <w:szCs w:val="28"/>
        </w:rPr>
        <w:t xml:space="preserve">, </w:t>
      </w:r>
      <w:r w:rsidR="00D80F42">
        <w:rPr>
          <w:sz w:val="28"/>
          <w:szCs w:val="28"/>
        </w:rPr>
        <w:t xml:space="preserve">community-based outreach, </w:t>
      </w:r>
      <w:r w:rsidR="00DA5593">
        <w:rPr>
          <w:sz w:val="28"/>
          <w:szCs w:val="28"/>
        </w:rPr>
        <w:t xml:space="preserve">public </w:t>
      </w:r>
      <w:r w:rsidR="00DA5593">
        <w:rPr>
          <w:sz w:val="28"/>
          <w:szCs w:val="28"/>
        </w:rPr>
        <w:lastRenderedPageBreak/>
        <w:t>workshops</w:t>
      </w:r>
      <w:r w:rsidR="00933D67">
        <w:rPr>
          <w:sz w:val="28"/>
          <w:szCs w:val="28"/>
        </w:rPr>
        <w:t>,</w:t>
      </w:r>
      <w:r w:rsidR="00262D9C">
        <w:rPr>
          <w:sz w:val="28"/>
          <w:szCs w:val="28"/>
        </w:rPr>
        <w:t xml:space="preserve"> and task forces.</w:t>
      </w:r>
      <w:r w:rsidR="00DA5593">
        <w:rPr>
          <w:sz w:val="28"/>
          <w:szCs w:val="28"/>
        </w:rPr>
        <w:t xml:space="preserve">   </w:t>
      </w:r>
      <w:r w:rsidR="008B1733">
        <w:rPr>
          <w:sz w:val="28"/>
          <w:szCs w:val="28"/>
        </w:rPr>
        <w:t>In addition, SANDAG used</w:t>
      </w:r>
      <w:r>
        <w:rPr>
          <w:sz w:val="28"/>
          <w:szCs w:val="28"/>
        </w:rPr>
        <w:t xml:space="preserve"> the following </w:t>
      </w:r>
      <w:r w:rsidR="00483CBF">
        <w:rPr>
          <w:sz w:val="28"/>
          <w:szCs w:val="28"/>
        </w:rPr>
        <w:t xml:space="preserve">outreach </w:t>
      </w:r>
      <w:r>
        <w:rPr>
          <w:sz w:val="28"/>
          <w:szCs w:val="28"/>
        </w:rPr>
        <w:t>methods:</w:t>
      </w:r>
    </w:p>
    <w:p w:rsidR="005209AC" w:rsidRPr="003D2001" w:rsidRDefault="006A0832" w:rsidP="00E3540D">
      <w:pPr>
        <w:pStyle w:val="ListParagraph"/>
        <w:numPr>
          <w:ilvl w:val="0"/>
          <w:numId w:val="23"/>
        </w:numPr>
        <w:spacing w:after="200" w:line="276" w:lineRule="auto"/>
        <w:contextualSpacing/>
        <w:rPr>
          <w:sz w:val="28"/>
          <w:szCs w:val="28"/>
        </w:rPr>
      </w:pPr>
      <w:r>
        <w:rPr>
          <w:sz w:val="28"/>
          <w:szCs w:val="28"/>
        </w:rPr>
        <w:t>Customer mailing lists</w:t>
      </w:r>
    </w:p>
    <w:p w:rsidR="005209AC" w:rsidRPr="003D2001" w:rsidRDefault="008B1733" w:rsidP="00E3540D">
      <w:pPr>
        <w:pStyle w:val="ListParagraph"/>
        <w:numPr>
          <w:ilvl w:val="0"/>
          <w:numId w:val="23"/>
        </w:numPr>
        <w:spacing w:after="200" w:line="276" w:lineRule="auto"/>
        <w:contextualSpacing/>
        <w:rPr>
          <w:sz w:val="28"/>
          <w:szCs w:val="28"/>
        </w:rPr>
      </w:pPr>
      <w:r>
        <w:rPr>
          <w:sz w:val="28"/>
          <w:szCs w:val="28"/>
        </w:rPr>
        <w:t>SANDAG</w:t>
      </w:r>
      <w:r w:rsidR="006B27C7" w:rsidRPr="003D2001">
        <w:rPr>
          <w:sz w:val="28"/>
          <w:szCs w:val="28"/>
        </w:rPr>
        <w:t xml:space="preserve"> </w:t>
      </w:r>
      <w:r w:rsidR="005209AC" w:rsidRPr="003D2001">
        <w:rPr>
          <w:sz w:val="28"/>
          <w:szCs w:val="28"/>
        </w:rPr>
        <w:t>Website</w:t>
      </w:r>
    </w:p>
    <w:p w:rsidR="005209AC" w:rsidRPr="003D2001" w:rsidRDefault="005209AC" w:rsidP="00E3540D">
      <w:pPr>
        <w:pStyle w:val="ListParagraph"/>
        <w:numPr>
          <w:ilvl w:val="0"/>
          <w:numId w:val="23"/>
        </w:numPr>
        <w:spacing w:after="200" w:line="276" w:lineRule="auto"/>
        <w:contextualSpacing/>
        <w:rPr>
          <w:sz w:val="28"/>
          <w:szCs w:val="28"/>
        </w:rPr>
      </w:pPr>
      <w:r w:rsidRPr="003D2001">
        <w:rPr>
          <w:sz w:val="28"/>
          <w:szCs w:val="28"/>
        </w:rPr>
        <w:t>Public Involvement Website (</w:t>
      </w:r>
      <w:hyperlink r:id="rId12" w:history="1">
        <w:r w:rsidRPr="003D2001">
          <w:rPr>
            <w:rStyle w:val="Hyperlink"/>
            <w:sz w:val="28"/>
            <w:szCs w:val="28"/>
          </w:rPr>
          <w:t>www.sandag.org/ppp</w:t>
        </w:r>
      </w:hyperlink>
      <w:r w:rsidRPr="003D2001">
        <w:rPr>
          <w:sz w:val="28"/>
          <w:szCs w:val="28"/>
        </w:rPr>
        <w:t>)</w:t>
      </w:r>
    </w:p>
    <w:p w:rsidR="005209AC" w:rsidRPr="003D2001" w:rsidRDefault="005209AC" w:rsidP="00E3540D">
      <w:pPr>
        <w:pStyle w:val="ListParagraph"/>
        <w:numPr>
          <w:ilvl w:val="0"/>
          <w:numId w:val="23"/>
        </w:numPr>
        <w:spacing w:after="200" w:line="276" w:lineRule="auto"/>
        <w:contextualSpacing/>
        <w:rPr>
          <w:sz w:val="28"/>
          <w:szCs w:val="28"/>
        </w:rPr>
      </w:pPr>
      <w:r w:rsidRPr="003D2001">
        <w:rPr>
          <w:sz w:val="28"/>
          <w:szCs w:val="28"/>
        </w:rPr>
        <w:t>Online calendar of events</w:t>
      </w:r>
    </w:p>
    <w:p w:rsidR="005209AC" w:rsidRPr="003D2001" w:rsidRDefault="005209AC" w:rsidP="00E3540D">
      <w:pPr>
        <w:pStyle w:val="ListParagraph"/>
        <w:numPr>
          <w:ilvl w:val="0"/>
          <w:numId w:val="23"/>
        </w:numPr>
        <w:spacing w:after="200" w:line="276" w:lineRule="auto"/>
        <w:contextualSpacing/>
        <w:rPr>
          <w:sz w:val="28"/>
          <w:szCs w:val="28"/>
        </w:rPr>
      </w:pPr>
      <w:r w:rsidRPr="003D2001">
        <w:rPr>
          <w:sz w:val="28"/>
          <w:szCs w:val="28"/>
        </w:rPr>
        <w:t>Region newsletter</w:t>
      </w:r>
    </w:p>
    <w:p w:rsidR="005209AC" w:rsidRPr="003D2001" w:rsidRDefault="005209AC" w:rsidP="00E3540D">
      <w:pPr>
        <w:pStyle w:val="ListParagraph"/>
        <w:numPr>
          <w:ilvl w:val="0"/>
          <w:numId w:val="23"/>
        </w:numPr>
        <w:spacing w:after="200" w:line="276" w:lineRule="auto"/>
        <w:contextualSpacing/>
        <w:rPr>
          <w:sz w:val="28"/>
          <w:szCs w:val="28"/>
        </w:rPr>
      </w:pPr>
      <w:r w:rsidRPr="003D2001">
        <w:rPr>
          <w:sz w:val="28"/>
          <w:szCs w:val="28"/>
        </w:rPr>
        <w:t>Social media</w:t>
      </w:r>
    </w:p>
    <w:p w:rsidR="005209AC" w:rsidRPr="003D2001" w:rsidRDefault="005209AC" w:rsidP="00E3540D">
      <w:pPr>
        <w:pStyle w:val="ListParagraph"/>
        <w:numPr>
          <w:ilvl w:val="0"/>
          <w:numId w:val="23"/>
        </w:numPr>
        <w:spacing w:after="200" w:line="276" w:lineRule="auto"/>
        <w:contextualSpacing/>
        <w:rPr>
          <w:sz w:val="28"/>
          <w:szCs w:val="28"/>
        </w:rPr>
      </w:pPr>
      <w:r w:rsidRPr="003D2001">
        <w:rPr>
          <w:sz w:val="28"/>
          <w:szCs w:val="28"/>
        </w:rPr>
        <w:t>Visual project simulations</w:t>
      </w:r>
    </w:p>
    <w:p w:rsidR="005209AC" w:rsidRPr="003D2001" w:rsidRDefault="005209AC" w:rsidP="00E3540D">
      <w:pPr>
        <w:pStyle w:val="ListParagraph"/>
        <w:numPr>
          <w:ilvl w:val="0"/>
          <w:numId w:val="23"/>
        </w:numPr>
        <w:spacing w:after="200" w:line="276" w:lineRule="auto"/>
        <w:contextualSpacing/>
        <w:rPr>
          <w:sz w:val="28"/>
          <w:szCs w:val="28"/>
        </w:rPr>
      </w:pPr>
      <w:r w:rsidRPr="003D2001">
        <w:rPr>
          <w:sz w:val="28"/>
          <w:szCs w:val="28"/>
        </w:rPr>
        <w:t>Web-based video and photo displays</w:t>
      </w:r>
    </w:p>
    <w:p w:rsidR="005209AC" w:rsidRPr="003D2001" w:rsidRDefault="005209AC" w:rsidP="00E3540D">
      <w:pPr>
        <w:pStyle w:val="ListParagraph"/>
        <w:numPr>
          <w:ilvl w:val="0"/>
          <w:numId w:val="23"/>
        </w:numPr>
        <w:spacing w:after="200" w:line="276" w:lineRule="auto"/>
        <w:contextualSpacing/>
        <w:rPr>
          <w:sz w:val="28"/>
          <w:szCs w:val="28"/>
        </w:rPr>
      </w:pPr>
      <w:r w:rsidRPr="003D2001">
        <w:rPr>
          <w:sz w:val="28"/>
          <w:szCs w:val="28"/>
        </w:rPr>
        <w:t>Interactive displays at kiosks in targeted public locations</w:t>
      </w:r>
    </w:p>
    <w:p w:rsidR="005209AC" w:rsidRPr="003D2001" w:rsidRDefault="003D2001" w:rsidP="00E3540D">
      <w:pPr>
        <w:pStyle w:val="ListParagraph"/>
        <w:numPr>
          <w:ilvl w:val="0"/>
          <w:numId w:val="23"/>
        </w:numPr>
        <w:spacing w:after="200" w:line="276" w:lineRule="auto"/>
        <w:contextualSpacing/>
        <w:rPr>
          <w:sz w:val="28"/>
          <w:szCs w:val="28"/>
        </w:rPr>
      </w:pPr>
      <w:r w:rsidRPr="003D2001">
        <w:rPr>
          <w:sz w:val="28"/>
          <w:szCs w:val="28"/>
        </w:rPr>
        <w:t xml:space="preserve">Minority </w:t>
      </w:r>
      <w:r w:rsidR="005209AC" w:rsidRPr="003D2001">
        <w:rPr>
          <w:sz w:val="28"/>
          <w:szCs w:val="28"/>
        </w:rPr>
        <w:t xml:space="preserve">print and broadcast media including </w:t>
      </w:r>
      <w:r w:rsidRPr="003D2001">
        <w:rPr>
          <w:sz w:val="28"/>
          <w:szCs w:val="28"/>
        </w:rPr>
        <w:t>(</w:t>
      </w:r>
      <w:r w:rsidR="005209AC" w:rsidRPr="003D2001">
        <w:rPr>
          <w:sz w:val="28"/>
          <w:szCs w:val="28"/>
        </w:rPr>
        <w:t>Asian Journal</w:t>
      </w:r>
      <w:r w:rsidRPr="003D2001">
        <w:rPr>
          <w:sz w:val="28"/>
          <w:szCs w:val="28"/>
        </w:rPr>
        <w:t xml:space="preserve">, </w:t>
      </w:r>
      <w:r w:rsidR="005209AC" w:rsidRPr="003D2001">
        <w:rPr>
          <w:sz w:val="28"/>
          <w:szCs w:val="28"/>
        </w:rPr>
        <w:t xml:space="preserve">Chinese News, Del Mar Times, </w:t>
      </w:r>
      <w:proofErr w:type="spellStart"/>
      <w:r w:rsidR="005209AC" w:rsidRPr="003D2001">
        <w:rPr>
          <w:sz w:val="28"/>
          <w:szCs w:val="28"/>
        </w:rPr>
        <w:t>Diario</w:t>
      </w:r>
      <w:proofErr w:type="spellEnd"/>
      <w:r w:rsidR="005209AC" w:rsidRPr="003D2001">
        <w:rPr>
          <w:sz w:val="28"/>
          <w:szCs w:val="28"/>
        </w:rPr>
        <w:t xml:space="preserve"> San Di</w:t>
      </w:r>
      <w:r w:rsidRPr="003D2001">
        <w:rPr>
          <w:sz w:val="28"/>
          <w:szCs w:val="28"/>
        </w:rPr>
        <w:t xml:space="preserve">ego, El Latino, </w:t>
      </w:r>
      <w:proofErr w:type="spellStart"/>
      <w:r w:rsidRPr="003D2001">
        <w:rPr>
          <w:sz w:val="28"/>
          <w:szCs w:val="28"/>
        </w:rPr>
        <w:t>Hispanos</w:t>
      </w:r>
      <w:proofErr w:type="spellEnd"/>
      <w:r w:rsidRPr="003D2001">
        <w:rPr>
          <w:sz w:val="28"/>
          <w:szCs w:val="28"/>
        </w:rPr>
        <w:t xml:space="preserve"> </w:t>
      </w:r>
      <w:proofErr w:type="spellStart"/>
      <w:r w:rsidRPr="003D2001">
        <w:rPr>
          <w:sz w:val="28"/>
          <w:szCs w:val="28"/>
        </w:rPr>
        <w:t>Unidos</w:t>
      </w:r>
      <w:proofErr w:type="spellEnd"/>
      <w:r w:rsidRPr="003D2001">
        <w:rPr>
          <w:sz w:val="28"/>
          <w:szCs w:val="28"/>
        </w:rPr>
        <w:t xml:space="preserve"> and</w:t>
      </w:r>
      <w:r w:rsidR="005209AC" w:rsidRPr="003D2001">
        <w:rPr>
          <w:sz w:val="28"/>
          <w:szCs w:val="28"/>
        </w:rPr>
        <w:t xml:space="preserve"> La Opinion.)</w:t>
      </w:r>
    </w:p>
    <w:p w:rsidR="005209AC" w:rsidRPr="003D2001" w:rsidRDefault="005209AC" w:rsidP="00E3540D">
      <w:pPr>
        <w:pStyle w:val="ListParagraph"/>
        <w:numPr>
          <w:ilvl w:val="0"/>
          <w:numId w:val="23"/>
        </w:numPr>
        <w:spacing w:after="200" w:line="276" w:lineRule="auto"/>
        <w:contextualSpacing/>
        <w:rPr>
          <w:sz w:val="28"/>
          <w:szCs w:val="28"/>
        </w:rPr>
      </w:pPr>
      <w:r w:rsidRPr="003D2001">
        <w:rPr>
          <w:sz w:val="28"/>
          <w:szCs w:val="28"/>
        </w:rPr>
        <w:t xml:space="preserve">Spanish radio and television </w:t>
      </w:r>
      <w:r w:rsidR="003D2001" w:rsidRPr="003D2001">
        <w:rPr>
          <w:sz w:val="28"/>
          <w:szCs w:val="28"/>
        </w:rPr>
        <w:t>(</w:t>
      </w:r>
      <w:r w:rsidRPr="003D2001">
        <w:rPr>
          <w:sz w:val="28"/>
          <w:szCs w:val="28"/>
        </w:rPr>
        <w:t xml:space="preserve">XLTN </w:t>
      </w:r>
      <w:r w:rsidR="003D2001" w:rsidRPr="003D2001">
        <w:rPr>
          <w:sz w:val="28"/>
          <w:szCs w:val="28"/>
        </w:rPr>
        <w:t xml:space="preserve">104.5, XOCL 99.3, XHTY </w:t>
      </w:r>
      <w:proofErr w:type="spellStart"/>
      <w:r w:rsidR="003D2001" w:rsidRPr="003D2001">
        <w:rPr>
          <w:sz w:val="28"/>
          <w:szCs w:val="28"/>
        </w:rPr>
        <w:t>Uniradio</w:t>
      </w:r>
      <w:proofErr w:type="spellEnd"/>
      <w:r w:rsidR="003D2001" w:rsidRPr="003D2001">
        <w:rPr>
          <w:sz w:val="28"/>
          <w:szCs w:val="28"/>
        </w:rPr>
        <w:t xml:space="preserve">, </w:t>
      </w:r>
      <w:r w:rsidRPr="003D2001">
        <w:rPr>
          <w:sz w:val="28"/>
          <w:szCs w:val="28"/>
        </w:rPr>
        <w:t xml:space="preserve">XEWT </w:t>
      </w:r>
      <w:proofErr w:type="spellStart"/>
      <w:r w:rsidRPr="003D2001">
        <w:rPr>
          <w:sz w:val="28"/>
          <w:szCs w:val="28"/>
        </w:rPr>
        <w:t>Televisa</w:t>
      </w:r>
      <w:proofErr w:type="spellEnd"/>
      <w:r w:rsidRPr="003D2001">
        <w:rPr>
          <w:sz w:val="28"/>
          <w:szCs w:val="28"/>
        </w:rPr>
        <w:t>.</w:t>
      </w:r>
    </w:p>
    <w:p w:rsidR="005209AC" w:rsidRPr="003D2001" w:rsidRDefault="005209AC" w:rsidP="00E3540D">
      <w:pPr>
        <w:pStyle w:val="ListParagraph"/>
        <w:numPr>
          <w:ilvl w:val="0"/>
          <w:numId w:val="23"/>
        </w:numPr>
        <w:spacing w:after="200" w:line="276" w:lineRule="auto"/>
        <w:contextualSpacing/>
        <w:rPr>
          <w:sz w:val="28"/>
          <w:szCs w:val="28"/>
        </w:rPr>
      </w:pPr>
      <w:r w:rsidRPr="003D2001">
        <w:rPr>
          <w:sz w:val="28"/>
          <w:szCs w:val="28"/>
        </w:rPr>
        <w:t xml:space="preserve">Translated documents </w:t>
      </w:r>
      <w:r w:rsidR="003D2001" w:rsidRPr="003D2001">
        <w:rPr>
          <w:sz w:val="28"/>
          <w:szCs w:val="28"/>
        </w:rPr>
        <w:t>and notices</w:t>
      </w:r>
    </w:p>
    <w:p w:rsidR="005209AC" w:rsidRPr="003D2001" w:rsidRDefault="005209AC" w:rsidP="00E3540D">
      <w:pPr>
        <w:pStyle w:val="ListParagraph"/>
        <w:numPr>
          <w:ilvl w:val="0"/>
          <w:numId w:val="23"/>
        </w:numPr>
        <w:spacing w:after="200" w:line="276" w:lineRule="auto"/>
        <w:contextualSpacing/>
        <w:rPr>
          <w:sz w:val="28"/>
          <w:szCs w:val="28"/>
        </w:rPr>
      </w:pPr>
      <w:r w:rsidRPr="003D2001">
        <w:rPr>
          <w:sz w:val="28"/>
          <w:szCs w:val="28"/>
        </w:rPr>
        <w:t xml:space="preserve">Bilingual staff </w:t>
      </w:r>
    </w:p>
    <w:p w:rsidR="00933D67" w:rsidRPr="00786FE8" w:rsidRDefault="005209AC" w:rsidP="00933D67">
      <w:pPr>
        <w:pStyle w:val="ListParagraph"/>
        <w:numPr>
          <w:ilvl w:val="0"/>
          <w:numId w:val="23"/>
        </w:numPr>
        <w:spacing w:after="200" w:line="276" w:lineRule="auto"/>
        <w:contextualSpacing/>
        <w:rPr>
          <w:sz w:val="28"/>
          <w:szCs w:val="28"/>
        </w:rPr>
      </w:pPr>
      <w:r w:rsidRPr="003D2001">
        <w:rPr>
          <w:sz w:val="28"/>
          <w:szCs w:val="28"/>
        </w:rPr>
        <w:t xml:space="preserve">Public opinion surveys designed to include </w:t>
      </w:r>
      <w:r w:rsidR="003D2001" w:rsidRPr="003D2001">
        <w:rPr>
          <w:sz w:val="28"/>
          <w:szCs w:val="28"/>
        </w:rPr>
        <w:t xml:space="preserve">the </w:t>
      </w:r>
      <w:r w:rsidRPr="003D2001">
        <w:rPr>
          <w:sz w:val="28"/>
          <w:szCs w:val="28"/>
        </w:rPr>
        <w:t xml:space="preserve">public in </w:t>
      </w:r>
      <w:r w:rsidR="003D2001" w:rsidRPr="003D2001">
        <w:rPr>
          <w:sz w:val="28"/>
          <w:szCs w:val="28"/>
        </w:rPr>
        <w:t xml:space="preserve">the </w:t>
      </w:r>
      <w:r w:rsidRPr="003D2001">
        <w:rPr>
          <w:sz w:val="28"/>
          <w:szCs w:val="28"/>
        </w:rPr>
        <w:t>planning process and to keep SANDAG officials aware of issues tha</w:t>
      </w:r>
      <w:r w:rsidR="003D2001" w:rsidRPr="003D2001">
        <w:rPr>
          <w:sz w:val="28"/>
          <w:szCs w:val="28"/>
        </w:rPr>
        <w:t>t are of concern to the public.</w:t>
      </w:r>
    </w:p>
    <w:p w:rsidR="008C6BBE" w:rsidRDefault="008C6BBE" w:rsidP="00061D44">
      <w:pPr>
        <w:spacing w:line="360" w:lineRule="auto"/>
        <w:rPr>
          <w:sz w:val="28"/>
          <w:szCs w:val="28"/>
        </w:rPr>
      </w:pPr>
      <w:r>
        <w:rPr>
          <w:sz w:val="28"/>
          <w:szCs w:val="28"/>
        </w:rPr>
        <w:t xml:space="preserve">SANDAG provided examples of its ongoing </w:t>
      </w:r>
      <w:r w:rsidR="00B83F28">
        <w:rPr>
          <w:sz w:val="28"/>
          <w:szCs w:val="28"/>
        </w:rPr>
        <w:t xml:space="preserve">efforts to </w:t>
      </w:r>
      <w:r>
        <w:rPr>
          <w:sz w:val="28"/>
          <w:szCs w:val="28"/>
        </w:rPr>
        <w:t>inclu</w:t>
      </w:r>
      <w:r w:rsidR="00B83F28">
        <w:rPr>
          <w:sz w:val="28"/>
          <w:szCs w:val="28"/>
        </w:rPr>
        <w:t xml:space="preserve">de </w:t>
      </w:r>
      <w:r>
        <w:rPr>
          <w:sz w:val="28"/>
          <w:szCs w:val="28"/>
        </w:rPr>
        <w:t xml:space="preserve">minority and low-income communities, </w:t>
      </w:r>
      <w:r w:rsidR="00B83F28">
        <w:rPr>
          <w:sz w:val="28"/>
          <w:szCs w:val="28"/>
        </w:rPr>
        <w:t>including</w:t>
      </w:r>
      <w:r>
        <w:rPr>
          <w:sz w:val="28"/>
          <w:szCs w:val="28"/>
        </w:rPr>
        <w:t xml:space="preserve"> </w:t>
      </w:r>
      <w:r w:rsidR="00095186">
        <w:rPr>
          <w:sz w:val="28"/>
          <w:szCs w:val="28"/>
        </w:rPr>
        <w:t xml:space="preserve">the maintenance and engagement </w:t>
      </w:r>
      <w:r w:rsidR="00A97BAC">
        <w:rPr>
          <w:sz w:val="28"/>
          <w:szCs w:val="28"/>
        </w:rPr>
        <w:t>of community stakeholders</w:t>
      </w:r>
      <w:r w:rsidR="00D80F42">
        <w:rPr>
          <w:sz w:val="28"/>
          <w:szCs w:val="28"/>
        </w:rPr>
        <w:t xml:space="preserve"> and organizations</w:t>
      </w:r>
      <w:r w:rsidR="00A97BAC">
        <w:rPr>
          <w:sz w:val="28"/>
          <w:szCs w:val="28"/>
        </w:rPr>
        <w:t xml:space="preserve">, and </w:t>
      </w:r>
      <w:r>
        <w:rPr>
          <w:sz w:val="28"/>
          <w:szCs w:val="28"/>
        </w:rPr>
        <w:t xml:space="preserve">a list of </w:t>
      </w:r>
      <w:r w:rsidR="00095186">
        <w:rPr>
          <w:sz w:val="28"/>
          <w:szCs w:val="28"/>
        </w:rPr>
        <w:t xml:space="preserve">community </w:t>
      </w:r>
      <w:r>
        <w:rPr>
          <w:sz w:val="28"/>
          <w:szCs w:val="28"/>
        </w:rPr>
        <w:t xml:space="preserve">meetings </w:t>
      </w:r>
      <w:r w:rsidR="009A531B">
        <w:rPr>
          <w:sz w:val="28"/>
          <w:szCs w:val="28"/>
        </w:rPr>
        <w:t>(</w:t>
      </w:r>
      <w:r>
        <w:rPr>
          <w:sz w:val="28"/>
          <w:szCs w:val="28"/>
        </w:rPr>
        <w:t xml:space="preserve">and </w:t>
      </w:r>
      <w:r w:rsidR="00061D44">
        <w:rPr>
          <w:sz w:val="28"/>
          <w:szCs w:val="28"/>
        </w:rPr>
        <w:t>related</w:t>
      </w:r>
      <w:r>
        <w:rPr>
          <w:sz w:val="28"/>
          <w:szCs w:val="28"/>
        </w:rPr>
        <w:t xml:space="preserve"> meeting notices</w:t>
      </w:r>
      <w:r w:rsidR="009A531B">
        <w:rPr>
          <w:sz w:val="28"/>
          <w:szCs w:val="28"/>
        </w:rPr>
        <w:t>)</w:t>
      </w:r>
      <w:r>
        <w:rPr>
          <w:sz w:val="28"/>
          <w:szCs w:val="28"/>
        </w:rPr>
        <w:t xml:space="preserve"> sponsored by working groups associated with its </w:t>
      </w:r>
      <w:r w:rsidRPr="008C6BBE">
        <w:rPr>
          <w:i/>
          <w:sz w:val="28"/>
          <w:szCs w:val="28"/>
        </w:rPr>
        <w:t>Mid-Coast Corridor Project</w:t>
      </w:r>
      <w:r w:rsidR="00D80F42" w:rsidRPr="00D80F42">
        <w:rPr>
          <w:sz w:val="28"/>
          <w:szCs w:val="28"/>
        </w:rPr>
        <w:t>,</w:t>
      </w:r>
      <w:r>
        <w:rPr>
          <w:sz w:val="28"/>
          <w:szCs w:val="28"/>
        </w:rPr>
        <w:t xml:space="preserve"> </w:t>
      </w:r>
      <w:r w:rsidRPr="008C6BBE">
        <w:rPr>
          <w:i/>
          <w:sz w:val="28"/>
          <w:szCs w:val="28"/>
        </w:rPr>
        <w:t>2050 Regional Transportation Plan</w:t>
      </w:r>
      <w:r w:rsidR="00B24518">
        <w:rPr>
          <w:i/>
          <w:sz w:val="28"/>
          <w:szCs w:val="28"/>
        </w:rPr>
        <w:t xml:space="preserve">, </w:t>
      </w:r>
      <w:r w:rsidR="00D80F42">
        <w:rPr>
          <w:i/>
          <w:sz w:val="28"/>
          <w:szCs w:val="28"/>
        </w:rPr>
        <w:t>2030 Regional Transit Plan (RTP)</w:t>
      </w:r>
      <w:r w:rsidR="00D83233">
        <w:rPr>
          <w:sz w:val="28"/>
          <w:szCs w:val="28"/>
        </w:rPr>
        <w:t xml:space="preserve"> and </w:t>
      </w:r>
      <w:r w:rsidR="00D83233" w:rsidRPr="00D83233">
        <w:rPr>
          <w:i/>
          <w:sz w:val="28"/>
          <w:szCs w:val="28"/>
        </w:rPr>
        <w:t>I-15 Bus Rapid Transit</w:t>
      </w:r>
      <w:r w:rsidR="00D83233">
        <w:rPr>
          <w:sz w:val="28"/>
          <w:szCs w:val="28"/>
        </w:rPr>
        <w:t xml:space="preserve"> project</w:t>
      </w:r>
      <w:r>
        <w:rPr>
          <w:sz w:val="28"/>
          <w:szCs w:val="28"/>
        </w:rPr>
        <w:t>.</w:t>
      </w:r>
      <w:r w:rsidR="009452D6">
        <w:rPr>
          <w:sz w:val="28"/>
          <w:szCs w:val="28"/>
        </w:rPr>
        <w:t xml:space="preserve">  SANDAG’s stakeholders list included the following:</w:t>
      </w:r>
    </w:p>
    <w:p w:rsidR="009452D6" w:rsidRDefault="009452D6" w:rsidP="00E3540D">
      <w:pPr>
        <w:pStyle w:val="ListParagraph"/>
        <w:numPr>
          <w:ilvl w:val="0"/>
          <w:numId w:val="27"/>
        </w:numPr>
        <w:rPr>
          <w:sz w:val="28"/>
          <w:szCs w:val="28"/>
        </w:rPr>
      </w:pPr>
      <w:r>
        <w:rPr>
          <w:sz w:val="28"/>
          <w:szCs w:val="28"/>
        </w:rPr>
        <w:t>Asian Business Association of San Diego</w:t>
      </w:r>
    </w:p>
    <w:p w:rsidR="009452D6" w:rsidRDefault="009452D6" w:rsidP="00E3540D">
      <w:pPr>
        <w:pStyle w:val="ListParagraph"/>
        <w:numPr>
          <w:ilvl w:val="0"/>
          <w:numId w:val="27"/>
        </w:numPr>
        <w:rPr>
          <w:sz w:val="28"/>
          <w:szCs w:val="28"/>
        </w:rPr>
      </w:pPr>
      <w:r>
        <w:rPr>
          <w:sz w:val="28"/>
          <w:szCs w:val="28"/>
        </w:rPr>
        <w:t>Barrio Logan College Institute</w:t>
      </w:r>
    </w:p>
    <w:p w:rsidR="009452D6" w:rsidRDefault="009452D6" w:rsidP="00E3540D">
      <w:pPr>
        <w:pStyle w:val="ListParagraph"/>
        <w:numPr>
          <w:ilvl w:val="0"/>
          <w:numId w:val="27"/>
        </w:numPr>
        <w:rPr>
          <w:sz w:val="28"/>
          <w:szCs w:val="28"/>
        </w:rPr>
      </w:pPr>
      <w:r>
        <w:rPr>
          <w:sz w:val="28"/>
          <w:szCs w:val="28"/>
        </w:rPr>
        <w:lastRenderedPageBreak/>
        <w:t>Barrio Logan Project Area Committee</w:t>
      </w:r>
    </w:p>
    <w:p w:rsidR="009452D6" w:rsidRDefault="009452D6" w:rsidP="00E3540D">
      <w:pPr>
        <w:pStyle w:val="ListParagraph"/>
        <w:numPr>
          <w:ilvl w:val="0"/>
          <w:numId w:val="27"/>
        </w:numPr>
        <w:rPr>
          <w:sz w:val="28"/>
          <w:szCs w:val="28"/>
        </w:rPr>
      </w:pPr>
      <w:r>
        <w:rPr>
          <w:sz w:val="28"/>
          <w:szCs w:val="28"/>
        </w:rPr>
        <w:t>Campaign for Affordable Housing</w:t>
      </w:r>
    </w:p>
    <w:p w:rsidR="009452D6" w:rsidRDefault="009452D6" w:rsidP="00E3540D">
      <w:pPr>
        <w:pStyle w:val="ListParagraph"/>
        <w:numPr>
          <w:ilvl w:val="0"/>
          <w:numId w:val="27"/>
        </w:numPr>
        <w:rPr>
          <w:sz w:val="28"/>
          <w:szCs w:val="28"/>
        </w:rPr>
      </w:pPr>
      <w:r>
        <w:rPr>
          <w:sz w:val="28"/>
          <w:szCs w:val="28"/>
        </w:rPr>
        <w:t>Center for Supportive Housing</w:t>
      </w:r>
    </w:p>
    <w:p w:rsidR="00BD26DB" w:rsidRDefault="009452D6" w:rsidP="00E3540D">
      <w:pPr>
        <w:pStyle w:val="ListParagraph"/>
        <w:numPr>
          <w:ilvl w:val="0"/>
          <w:numId w:val="27"/>
        </w:numPr>
        <w:rPr>
          <w:sz w:val="28"/>
          <w:szCs w:val="28"/>
        </w:rPr>
      </w:pPr>
      <w:r>
        <w:rPr>
          <w:sz w:val="28"/>
          <w:szCs w:val="28"/>
        </w:rPr>
        <w:t>Chicano Federation</w:t>
      </w:r>
    </w:p>
    <w:p w:rsidR="008C6BBE" w:rsidRDefault="00BD26DB" w:rsidP="00E3540D">
      <w:pPr>
        <w:pStyle w:val="ListParagraph"/>
        <w:numPr>
          <w:ilvl w:val="0"/>
          <w:numId w:val="27"/>
        </w:numPr>
        <w:rPr>
          <w:sz w:val="28"/>
          <w:szCs w:val="28"/>
        </w:rPr>
      </w:pPr>
      <w:r>
        <w:rPr>
          <w:sz w:val="28"/>
          <w:szCs w:val="28"/>
        </w:rPr>
        <w:t>Filipino-American Chamber of Commerce</w:t>
      </w:r>
    </w:p>
    <w:p w:rsidR="00BD26DB" w:rsidRDefault="00BD26DB" w:rsidP="00E3540D">
      <w:pPr>
        <w:pStyle w:val="ListParagraph"/>
        <w:numPr>
          <w:ilvl w:val="0"/>
          <w:numId w:val="27"/>
        </w:numPr>
        <w:rPr>
          <w:sz w:val="28"/>
          <w:szCs w:val="28"/>
        </w:rPr>
      </w:pPr>
      <w:r>
        <w:rPr>
          <w:sz w:val="28"/>
          <w:szCs w:val="28"/>
        </w:rPr>
        <w:t>Justice Overcoming Boundaries</w:t>
      </w:r>
    </w:p>
    <w:p w:rsidR="00BD26DB" w:rsidRDefault="00BD26DB" w:rsidP="00E3540D">
      <w:pPr>
        <w:pStyle w:val="ListParagraph"/>
        <w:numPr>
          <w:ilvl w:val="0"/>
          <w:numId w:val="27"/>
        </w:numPr>
        <w:rPr>
          <w:sz w:val="28"/>
          <w:szCs w:val="28"/>
        </w:rPr>
      </w:pPr>
      <w:r>
        <w:rPr>
          <w:sz w:val="28"/>
          <w:szCs w:val="28"/>
        </w:rPr>
        <w:t>Laborers International Union</w:t>
      </w:r>
    </w:p>
    <w:p w:rsidR="00BD26DB" w:rsidRDefault="00BD26DB" w:rsidP="00E3540D">
      <w:pPr>
        <w:pStyle w:val="ListParagraph"/>
        <w:numPr>
          <w:ilvl w:val="0"/>
          <w:numId w:val="27"/>
        </w:numPr>
        <w:rPr>
          <w:sz w:val="28"/>
          <w:szCs w:val="28"/>
        </w:rPr>
      </w:pPr>
      <w:r>
        <w:rPr>
          <w:sz w:val="28"/>
          <w:szCs w:val="28"/>
        </w:rPr>
        <w:t>Navajo Community Planners</w:t>
      </w:r>
    </w:p>
    <w:p w:rsidR="00BD26DB" w:rsidRDefault="00BD26DB" w:rsidP="00E3540D">
      <w:pPr>
        <w:pStyle w:val="ListParagraph"/>
        <w:numPr>
          <w:ilvl w:val="0"/>
          <w:numId w:val="27"/>
        </w:numPr>
        <w:rPr>
          <w:sz w:val="28"/>
          <w:szCs w:val="28"/>
        </w:rPr>
      </w:pPr>
      <w:r>
        <w:rPr>
          <w:sz w:val="28"/>
          <w:szCs w:val="28"/>
        </w:rPr>
        <w:t>San Diego Community Housing Corporation</w:t>
      </w:r>
    </w:p>
    <w:p w:rsidR="00BD26DB" w:rsidRDefault="00BD26DB" w:rsidP="00E3540D">
      <w:pPr>
        <w:pStyle w:val="ListParagraph"/>
        <w:numPr>
          <w:ilvl w:val="0"/>
          <w:numId w:val="27"/>
        </w:numPr>
        <w:rPr>
          <w:sz w:val="28"/>
          <w:szCs w:val="28"/>
        </w:rPr>
      </w:pPr>
      <w:r>
        <w:rPr>
          <w:sz w:val="28"/>
          <w:szCs w:val="28"/>
        </w:rPr>
        <w:t xml:space="preserve">San Diego </w:t>
      </w:r>
      <w:r>
        <w:rPr>
          <w:vanish/>
          <w:sz w:val="28"/>
          <w:szCs w:val="28"/>
        </w:rPr>
        <w:t>iHisHishdslkfhjas;ldkfj</w:t>
      </w:r>
      <w:r w:rsidR="00C474B5">
        <w:rPr>
          <w:sz w:val="28"/>
          <w:szCs w:val="28"/>
        </w:rPr>
        <w:t>Hispanic Chamber of Commerce</w:t>
      </w:r>
    </w:p>
    <w:p w:rsidR="00C474B5" w:rsidRDefault="00C474B5" w:rsidP="00E3540D">
      <w:pPr>
        <w:pStyle w:val="ListParagraph"/>
        <w:numPr>
          <w:ilvl w:val="0"/>
          <w:numId w:val="27"/>
        </w:numPr>
        <w:rPr>
          <w:sz w:val="28"/>
          <w:szCs w:val="28"/>
        </w:rPr>
      </w:pPr>
      <w:r>
        <w:rPr>
          <w:sz w:val="28"/>
          <w:szCs w:val="28"/>
        </w:rPr>
        <w:t>San Diego Habitat for Humanity</w:t>
      </w:r>
    </w:p>
    <w:p w:rsidR="00C474B5" w:rsidRDefault="00C474B5" w:rsidP="00E3540D">
      <w:pPr>
        <w:pStyle w:val="ListParagraph"/>
        <w:numPr>
          <w:ilvl w:val="0"/>
          <w:numId w:val="27"/>
        </w:numPr>
        <w:rPr>
          <w:sz w:val="28"/>
          <w:szCs w:val="28"/>
        </w:rPr>
      </w:pPr>
      <w:r>
        <w:rPr>
          <w:sz w:val="28"/>
          <w:szCs w:val="28"/>
        </w:rPr>
        <w:t>San Diego Urban League</w:t>
      </w:r>
    </w:p>
    <w:p w:rsidR="00C474B5" w:rsidRDefault="00C474B5" w:rsidP="00E3540D">
      <w:pPr>
        <w:pStyle w:val="ListParagraph"/>
        <w:numPr>
          <w:ilvl w:val="0"/>
          <w:numId w:val="27"/>
        </w:numPr>
        <w:rPr>
          <w:sz w:val="28"/>
          <w:szCs w:val="28"/>
        </w:rPr>
      </w:pPr>
      <w:r>
        <w:rPr>
          <w:sz w:val="28"/>
          <w:szCs w:val="28"/>
        </w:rPr>
        <w:t>San Diego Workforce Partnership</w:t>
      </w:r>
    </w:p>
    <w:p w:rsidR="00C474B5" w:rsidRDefault="00C474B5" w:rsidP="00E3540D">
      <w:pPr>
        <w:pStyle w:val="ListParagraph"/>
        <w:numPr>
          <w:ilvl w:val="0"/>
          <w:numId w:val="27"/>
        </w:numPr>
        <w:rPr>
          <w:sz w:val="28"/>
          <w:szCs w:val="28"/>
        </w:rPr>
      </w:pPr>
      <w:r>
        <w:rPr>
          <w:sz w:val="28"/>
          <w:szCs w:val="28"/>
        </w:rPr>
        <w:t>San Diego Youth and Community Services</w:t>
      </w:r>
    </w:p>
    <w:p w:rsidR="00C474B5" w:rsidRDefault="00C474B5" w:rsidP="00E3540D">
      <w:pPr>
        <w:pStyle w:val="ListParagraph"/>
        <w:numPr>
          <w:ilvl w:val="0"/>
          <w:numId w:val="27"/>
        </w:numPr>
        <w:rPr>
          <w:sz w:val="28"/>
          <w:szCs w:val="28"/>
        </w:rPr>
      </w:pPr>
      <w:r>
        <w:rPr>
          <w:sz w:val="28"/>
          <w:szCs w:val="28"/>
        </w:rPr>
        <w:t>Southern California Tribal Chairmen’s Association</w:t>
      </w:r>
    </w:p>
    <w:p w:rsidR="00C474B5" w:rsidRPr="00C474B5" w:rsidRDefault="00C474B5" w:rsidP="00E3540D">
      <w:pPr>
        <w:pStyle w:val="ListParagraph"/>
        <w:numPr>
          <w:ilvl w:val="0"/>
          <w:numId w:val="27"/>
        </w:numPr>
        <w:rPr>
          <w:sz w:val="28"/>
          <w:szCs w:val="28"/>
        </w:rPr>
      </w:pPr>
      <w:r>
        <w:rPr>
          <w:sz w:val="28"/>
          <w:szCs w:val="28"/>
        </w:rPr>
        <w:t>Union of Pan Asian Communities</w:t>
      </w:r>
    </w:p>
    <w:p w:rsidR="00BD26DB" w:rsidRDefault="00BD26DB" w:rsidP="005209AC">
      <w:pPr>
        <w:rPr>
          <w:sz w:val="28"/>
          <w:szCs w:val="28"/>
        </w:rPr>
      </w:pPr>
    </w:p>
    <w:p w:rsidR="005209AC" w:rsidRDefault="003D2001" w:rsidP="00061D44">
      <w:pPr>
        <w:spacing w:line="360" w:lineRule="auto"/>
        <w:rPr>
          <w:sz w:val="28"/>
          <w:szCs w:val="28"/>
        </w:rPr>
      </w:pPr>
      <w:r w:rsidRPr="00AA4D01">
        <w:rPr>
          <w:sz w:val="28"/>
          <w:szCs w:val="28"/>
        </w:rPr>
        <w:t xml:space="preserve">SANDAG </w:t>
      </w:r>
      <w:r w:rsidR="00D80F42">
        <w:rPr>
          <w:sz w:val="28"/>
          <w:szCs w:val="28"/>
        </w:rPr>
        <w:t xml:space="preserve">also </w:t>
      </w:r>
      <w:r w:rsidRPr="00AA4D01">
        <w:rPr>
          <w:sz w:val="28"/>
          <w:szCs w:val="28"/>
        </w:rPr>
        <w:t xml:space="preserve">provided examples of translated </w:t>
      </w:r>
      <w:r w:rsidR="00235583" w:rsidRPr="00AA4D01">
        <w:rPr>
          <w:sz w:val="28"/>
          <w:szCs w:val="28"/>
        </w:rPr>
        <w:t>public advisory committee me</w:t>
      </w:r>
      <w:r w:rsidR="00AA4D01" w:rsidRPr="00AA4D01">
        <w:rPr>
          <w:sz w:val="28"/>
          <w:szCs w:val="28"/>
        </w:rPr>
        <w:t xml:space="preserve">eting </w:t>
      </w:r>
      <w:r w:rsidRPr="00AA4D01">
        <w:rPr>
          <w:sz w:val="28"/>
          <w:szCs w:val="28"/>
        </w:rPr>
        <w:t>notices published in both Spanish and Asian minority newspapers</w:t>
      </w:r>
      <w:r w:rsidR="00235583" w:rsidRPr="00AA4D01">
        <w:rPr>
          <w:sz w:val="28"/>
          <w:szCs w:val="28"/>
        </w:rPr>
        <w:t>.</w:t>
      </w:r>
    </w:p>
    <w:p w:rsidR="00D80F42" w:rsidRDefault="00D80F42" w:rsidP="00061D44">
      <w:pPr>
        <w:spacing w:line="360" w:lineRule="auto"/>
        <w:rPr>
          <w:sz w:val="28"/>
          <w:szCs w:val="28"/>
        </w:rPr>
      </w:pPr>
    </w:p>
    <w:p w:rsidR="00D80F42" w:rsidRDefault="00D80F42" w:rsidP="00061D44">
      <w:pPr>
        <w:spacing w:line="360" w:lineRule="auto"/>
        <w:rPr>
          <w:sz w:val="28"/>
          <w:szCs w:val="28"/>
        </w:rPr>
      </w:pPr>
      <w:r>
        <w:rPr>
          <w:sz w:val="28"/>
          <w:szCs w:val="28"/>
        </w:rPr>
        <w:t>In connection with its 2030 RTP, SANDAG implemented a Community-Based Outreach Program</w:t>
      </w:r>
      <w:r w:rsidR="008C1CA0">
        <w:rPr>
          <w:sz w:val="28"/>
          <w:szCs w:val="28"/>
        </w:rPr>
        <w:t xml:space="preserve"> (CBOP)</w:t>
      </w:r>
      <w:r>
        <w:rPr>
          <w:sz w:val="28"/>
          <w:szCs w:val="28"/>
        </w:rPr>
        <w:t>.</w:t>
      </w:r>
      <w:r w:rsidR="008C1CA0">
        <w:rPr>
          <w:sz w:val="28"/>
          <w:szCs w:val="28"/>
        </w:rPr>
        <w:t xml:space="preserve"> </w:t>
      </w:r>
      <w:r w:rsidR="00933D67">
        <w:rPr>
          <w:sz w:val="28"/>
          <w:szCs w:val="28"/>
        </w:rPr>
        <w:t xml:space="preserve"> </w:t>
      </w:r>
      <w:r w:rsidR="008C1CA0">
        <w:rPr>
          <w:sz w:val="28"/>
          <w:szCs w:val="28"/>
        </w:rPr>
        <w:t>The SANDAG CBOP had the following objective:</w:t>
      </w:r>
    </w:p>
    <w:p w:rsidR="003210E2" w:rsidRDefault="003210E2" w:rsidP="00061D44">
      <w:pPr>
        <w:spacing w:line="360" w:lineRule="auto"/>
        <w:rPr>
          <w:sz w:val="28"/>
          <w:szCs w:val="28"/>
        </w:rPr>
      </w:pPr>
    </w:p>
    <w:p w:rsidR="00D80F42" w:rsidRDefault="00D80F42" w:rsidP="008C1CA0">
      <w:pPr>
        <w:ind w:left="720"/>
        <w:rPr>
          <w:sz w:val="28"/>
          <w:szCs w:val="28"/>
        </w:rPr>
      </w:pPr>
      <w:r>
        <w:rPr>
          <w:i/>
          <w:sz w:val="28"/>
          <w:szCs w:val="28"/>
        </w:rPr>
        <w:t xml:space="preserve">To help ensure </w:t>
      </w:r>
      <w:r w:rsidR="008C1CA0">
        <w:rPr>
          <w:i/>
          <w:sz w:val="28"/>
          <w:szCs w:val="28"/>
        </w:rPr>
        <w:t>direct and diverse</w:t>
      </w:r>
      <w:r>
        <w:rPr>
          <w:i/>
          <w:sz w:val="28"/>
          <w:szCs w:val="28"/>
        </w:rPr>
        <w:t xml:space="preserve"> impact into the 2030 RTP </w:t>
      </w:r>
      <w:r w:rsidR="008C1CA0">
        <w:rPr>
          <w:i/>
          <w:sz w:val="28"/>
          <w:szCs w:val="28"/>
        </w:rPr>
        <w:t>from residents throughout the San Diego region, SANDAG implemented an innovative program to secure participation from communities and individuals typically not included in the regional transportation planning process.  SANDAG awarded grant funding to community-based organizations through a competitive bid process.  The selected organizations conducted outreach activities to secure public involvement from stakeholders in their communities, to engage community-based participation in setting regional transportation priorities, and to generate feedback on the RTP.</w:t>
      </w:r>
    </w:p>
    <w:p w:rsidR="008C1CA0" w:rsidRDefault="008C1CA0" w:rsidP="008C1CA0">
      <w:pPr>
        <w:rPr>
          <w:sz w:val="28"/>
          <w:szCs w:val="28"/>
        </w:rPr>
      </w:pPr>
    </w:p>
    <w:p w:rsidR="008C1CA0" w:rsidRPr="008C1CA0" w:rsidRDefault="008C1CA0" w:rsidP="008C1CA0">
      <w:pPr>
        <w:rPr>
          <w:sz w:val="28"/>
          <w:szCs w:val="28"/>
        </w:rPr>
      </w:pPr>
    </w:p>
    <w:p w:rsidR="00061D44" w:rsidRDefault="00061D44" w:rsidP="00061D44">
      <w:pPr>
        <w:spacing w:line="360" w:lineRule="auto"/>
        <w:rPr>
          <w:sz w:val="28"/>
          <w:szCs w:val="28"/>
        </w:rPr>
      </w:pPr>
      <w:r w:rsidRPr="00061D44">
        <w:rPr>
          <w:sz w:val="28"/>
          <w:szCs w:val="28"/>
        </w:rPr>
        <w:lastRenderedPageBreak/>
        <w:t xml:space="preserve">During the site visit, SANDAG explained that </w:t>
      </w:r>
      <w:r>
        <w:rPr>
          <w:sz w:val="28"/>
          <w:szCs w:val="28"/>
        </w:rPr>
        <w:t xml:space="preserve">working </w:t>
      </w:r>
      <w:r w:rsidR="00015E00">
        <w:rPr>
          <w:sz w:val="28"/>
          <w:szCs w:val="28"/>
        </w:rPr>
        <w:t xml:space="preserve">groups </w:t>
      </w:r>
      <w:r w:rsidR="00044EF7">
        <w:rPr>
          <w:sz w:val="28"/>
          <w:szCs w:val="28"/>
        </w:rPr>
        <w:t xml:space="preserve">and community-based organizations (CBOs) </w:t>
      </w:r>
      <w:r w:rsidR="00015E00">
        <w:rPr>
          <w:sz w:val="28"/>
          <w:szCs w:val="28"/>
        </w:rPr>
        <w:t xml:space="preserve">were its most effective way of conducting outreach and receiving input from its minority and low-income communities. </w:t>
      </w:r>
      <w:r w:rsidRPr="00061D44">
        <w:rPr>
          <w:sz w:val="28"/>
          <w:szCs w:val="28"/>
        </w:rPr>
        <w:t xml:space="preserve"> </w:t>
      </w:r>
      <w:r w:rsidR="009A531B">
        <w:rPr>
          <w:sz w:val="28"/>
          <w:szCs w:val="28"/>
        </w:rPr>
        <w:t>W</w:t>
      </w:r>
      <w:r w:rsidR="00015E00">
        <w:rPr>
          <w:sz w:val="28"/>
          <w:szCs w:val="28"/>
        </w:rPr>
        <w:t xml:space="preserve">orking groups </w:t>
      </w:r>
      <w:r w:rsidR="00044EF7">
        <w:rPr>
          <w:sz w:val="28"/>
          <w:szCs w:val="28"/>
        </w:rPr>
        <w:t xml:space="preserve">and CBOs </w:t>
      </w:r>
      <w:r w:rsidR="00614D9E">
        <w:rPr>
          <w:sz w:val="28"/>
          <w:szCs w:val="28"/>
        </w:rPr>
        <w:t>we</w:t>
      </w:r>
      <w:r w:rsidR="00015E00">
        <w:rPr>
          <w:sz w:val="28"/>
          <w:szCs w:val="28"/>
        </w:rPr>
        <w:t>re often comprised of members who represent</w:t>
      </w:r>
      <w:r w:rsidR="00044EF7">
        <w:rPr>
          <w:sz w:val="28"/>
          <w:szCs w:val="28"/>
        </w:rPr>
        <w:t>ed</w:t>
      </w:r>
      <w:r w:rsidR="00015E00">
        <w:rPr>
          <w:sz w:val="28"/>
          <w:szCs w:val="28"/>
        </w:rPr>
        <w:t xml:space="preserve"> the interests of their respective communities.  </w:t>
      </w:r>
      <w:r w:rsidR="004D089F">
        <w:rPr>
          <w:sz w:val="28"/>
          <w:szCs w:val="28"/>
        </w:rPr>
        <w:t xml:space="preserve">Examples of working groups </w:t>
      </w:r>
      <w:r w:rsidR="00044EF7">
        <w:rPr>
          <w:sz w:val="28"/>
          <w:szCs w:val="28"/>
        </w:rPr>
        <w:t xml:space="preserve">and CBOs </w:t>
      </w:r>
      <w:r w:rsidR="004D089F">
        <w:rPr>
          <w:sz w:val="28"/>
          <w:szCs w:val="28"/>
        </w:rPr>
        <w:t>that were effective in facilitating input for minority and low-income communities were provided by SANDAG, as follows:</w:t>
      </w:r>
    </w:p>
    <w:p w:rsidR="00505677" w:rsidRDefault="00505677" w:rsidP="00061D44">
      <w:pPr>
        <w:spacing w:line="360" w:lineRule="auto"/>
        <w:rPr>
          <w:sz w:val="28"/>
          <w:szCs w:val="28"/>
        </w:rPr>
      </w:pPr>
    </w:p>
    <w:tbl>
      <w:tblPr>
        <w:tblStyle w:val="TableGrid"/>
        <w:tblW w:w="0" w:type="auto"/>
        <w:tblLook w:val="04A0"/>
      </w:tblPr>
      <w:tblGrid>
        <w:gridCol w:w="4158"/>
        <w:gridCol w:w="2520"/>
        <w:gridCol w:w="2898"/>
      </w:tblGrid>
      <w:tr w:rsidR="00505677" w:rsidTr="00044EF7">
        <w:tc>
          <w:tcPr>
            <w:tcW w:w="4158" w:type="dxa"/>
          </w:tcPr>
          <w:p w:rsidR="00505677" w:rsidRPr="00505677" w:rsidRDefault="00505677" w:rsidP="00505677">
            <w:pPr>
              <w:rPr>
                <w:sz w:val="24"/>
                <w:szCs w:val="24"/>
              </w:rPr>
            </w:pPr>
          </w:p>
        </w:tc>
        <w:tc>
          <w:tcPr>
            <w:tcW w:w="2520" w:type="dxa"/>
          </w:tcPr>
          <w:p w:rsidR="00505677" w:rsidRPr="00505677" w:rsidRDefault="00505677" w:rsidP="00505677">
            <w:pPr>
              <w:jc w:val="center"/>
              <w:rPr>
                <w:sz w:val="24"/>
                <w:szCs w:val="24"/>
              </w:rPr>
            </w:pPr>
            <w:r>
              <w:rPr>
                <w:sz w:val="24"/>
                <w:szCs w:val="24"/>
              </w:rPr>
              <w:t>Minority Representation</w:t>
            </w:r>
          </w:p>
        </w:tc>
        <w:tc>
          <w:tcPr>
            <w:tcW w:w="2898" w:type="dxa"/>
          </w:tcPr>
          <w:p w:rsidR="00505677" w:rsidRPr="00505677" w:rsidRDefault="00505677" w:rsidP="00505677">
            <w:pPr>
              <w:jc w:val="center"/>
              <w:rPr>
                <w:sz w:val="24"/>
                <w:szCs w:val="24"/>
              </w:rPr>
            </w:pPr>
            <w:r>
              <w:rPr>
                <w:sz w:val="24"/>
                <w:szCs w:val="24"/>
              </w:rPr>
              <w:t>Low-income Representation</w:t>
            </w:r>
          </w:p>
        </w:tc>
      </w:tr>
      <w:tr w:rsidR="00505677" w:rsidTr="00044EF7">
        <w:tc>
          <w:tcPr>
            <w:tcW w:w="4158" w:type="dxa"/>
          </w:tcPr>
          <w:p w:rsidR="00505677" w:rsidRPr="00505677" w:rsidRDefault="00505677" w:rsidP="00505677">
            <w:pPr>
              <w:rPr>
                <w:sz w:val="24"/>
                <w:szCs w:val="24"/>
              </w:rPr>
            </w:pPr>
            <w:r w:rsidRPr="00505677">
              <w:rPr>
                <w:sz w:val="24"/>
                <w:szCs w:val="24"/>
              </w:rPr>
              <w:t>Social Services Transportation Advisory Council (SSTAC)</w:t>
            </w:r>
          </w:p>
        </w:tc>
        <w:tc>
          <w:tcPr>
            <w:tcW w:w="2520" w:type="dxa"/>
          </w:tcPr>
          <w:p w:rsidR="00505677" w:rsidRPr="00505677" w:rsidRDefault="00505677" w:rsidP="00505677">
            <w:pPr>
              <w:jc w:val="center"/>
              <w:rPr>
                <w:sz w:val="24"/>
                <w:szCs w:val="24"/>
              </w:rPr>
            </w:pPr>
          </w:p>
        </w:tc>
        <w:tc>
          <w:tcPr>
            <w:tcW w:w="2898" w:type="dxa"/>
          </w:tcPr>
          <w:p w:rsidR="00505677" w:rsidRPr="00505677" w:rsidRDefault="00505677" w:rsidP="00505677">
            <w:pPr>
              <w:jc w:val="center"/>
              <w:rPr>
                <w:sz w:val="24"/>
                <w:szCs w:val="24"/>
              </w:rPr>
            </w:pPr>
            <w:r>
              <w:rPr>
                <w:sz w:val="24"/>
                <w:szCs w:val="24"/>
              </w:rPr>
              <w:t>X</w:t>
            </w:r>
          </w:p>
        </w:tc>
      </w:tr>
      <w:tr w:rsidR="00505677" w:rsidTr="00044EF7">
        <w:tc>
          <w:tcPr>
            <w:tcW w:w="4158" w:type="dxa"/>
          </w:tcPr>
          <w:p w:rsidR="00505677" w:rsidRPr="00505677" w:rsidRDefault="00505677" w:rsidP="00505677">
            <w:pPr>
              <w:rPr>
                <w:sz w:val="24"/>
                <w:szCs w:val="24"/>
              </w:rPr>
            </w:pPr>
            <w:r w:rsidRPr="00505677">
              <w:rPr>
                <w:sz w:val="24"/>
                <w:szCs w:val="24"/>
              </w:rPr>
              <w:t>Mid-Coast Corridor Transit Project Working Group</w:t>
            </w:r>
          </w:p>
        </w:tc>
        <w:tc>
          <w:tcPr>
            <w:tcW w:w="2520" w:type="dxa"/>
          </w:tcPr>
          <w:p w:rsidR="00505677" w:rsidRPr="00505677" w:rsidRDefault="00505677" w:rsidP="00505677">
            <w:pPr>
              <w:jc w:val="center"/>
              <w:rPr>
                <w:sz w:val="24"/>
                <w:szCs w:val="24"/>
              </w:rPr>
            </w:pPr>
            <w:r>
              <w:rPr>
                <w:sz w:val="24"/>
                <w:szCs w:val="24"/>
              </w:rPr>
              <w:t>X</w:t>
            </w:r>
          </w:p>
        </w:tc>
        <w:tc>
          <w:tcPr>
            <w:tcW w:w="2898" w:type="dxa"/>
          </w:tcPr>
          <w:p w:rsidR="00505677" w:rsidRPr="00505677" w:rsidRDefault="00505677" w:rsidP="00505677">
            <w:pPr>
              <w:jc w:val="center"/>
              <w:rPr>
                <w:sz w:val="24"/>
                <w:szCs w:val="24"/>
              </w:rPr>
            </w:pPr>
            <w:r>
              <w:rPr>
                <w:sz w:val="24"/>
                <w:szCs w:val="24"/>
              </w:rPr>
              <w:t>X</w:t>
            </w:r>
          </w:p>
        </w:tc>
      </w:tr>
      <w:tr w:rsidR="00505677" w:rsidTr="00044EF7">
        <w:tc>
          <w:tcPr>
            <w:tcW w:w="4158" w:type="dxa"/>
          </w:tcPr>
          <w:p w:rsidR="00505677" w:rsidRPr="00505677" w:rsidRDefault="00505677" w:rsidP="00505677">
            <w:pPr>
              <w:rPr>
                <w:sz w:val="24"/>
                <w:szCs w:val="24"/>
              </w:rPr>
            </w:pPr>
            <w:r w:rsidRPr="00505677">
              <w:rPr>
                <w:sz w:val="24"/>
                <w:szCs w:val="24"/>
              </w:rPr>
              <w:t>Regional Planning Stakeholders Working Group</w:t>
            </w:r>
          </w:p>
        </w:tc>
        <w:tc>
          <w:tcPr>
            <w:tcW w:w="2520" w:type="dxa"/>
          </w:tcPr>
          <w:p w:rsidR="00505677" w:rsidRPr="00505677" w:rsidRDefault="00505677" w:rsidP="00505677">
            <w:pPr>
              <w:jc w:val="center"/>
              <w:rPr>
                <w:sz w:val="24"/>
                <w:szCs w:val="24"/>
              </w:rPr>
            </w:pPr>
            <w:r>
              <w:rPr>
                <w:sz w:val="24"/>
                <w:szCs w:val="24"/>
              </w:rPr>
              <w:t>X</w:t>
            </w:r>
          </w:p>
        </w:tc>
        <w:tc>
          <w:tcPr>
            <w:tcW w:w="2898" w:type="dxa"/>
          </w:tcPr>
          <w:p w:rsidR="00505677" w:rsidRPr="00505677" w:rsidRDefault="00505677" w:rsidP="00505677">
            <w:pPr>
              <w:jc w:val="center"/>
              <w:rPr>
                <w:sz w:val="24"/>
                <w:szCs w:val="24"/>
              </w:rPr>
            </w:pPr>
            <w:r>
              <w:rPr>
                <w:sz w:val="24"/>
                <w:szCs w:val="24"/>
              </w:rPr>
              <w:t>X</w:t>
            </w:r>
          </w:p>
        </w:tc>
      </w:tr>
      <w:tr w:rsidR="00505677" w:rsidTr="00044EF7">
        <w:tc>
          <w:tcPr>
            <w:tcW w:w="4158" w:type="dxa"/>
          </w:tcPr>
          <w:p w:rsidR="00505677" w:rsidRPr="00505677" w:rsidRDefault="00505677" w:rsidP="00505677">
            <w:pPr>
              <w:rPr>
                <w:sz w:val="24"/>
                <w:szCs w:val="24"/>
              </w:rPr>
            </w:pPr>
            <w:r>
              <w:rPr>
                <w:sz w:val="24"/>
                <w:szCs w:val="24"/>
              </w:rPr>
              <w:t xml:space="preserve">Committee on </w:t>
            </w:r>
            <w:proofErr w:type="spellStart"/>
            <w:r>
              <w:rPr>
                <w:sz w:val="24"/>
                <w:szCs w:val="24"/>
              </w:rPr>
              <w:t>Binational</w:t>
            </w:r>
            <w:proofErr w:type="spellEnd"/>
            <w:r>
              <w:rPr>
                <w:sz w:val="24"/>
                <w:szCs w:val="24"/>
              </w:rPr>
              <w:t xml:space="preserve"> Regional Opportunities (COBRO)</w:t>
            </w:r>
          </w:p>
        </w:tc>
        <w:tc>
          <w:tcPr>
            <w:tcW w:w="2520" w:type="dxa"/>
          </w:tcPr>
          <w:p w:rsidR="00505677" w:rsidRDefault="00505677" w:rsidP="00505677">
            <w:pPr>
              <w:jc w:val="center"/>
              <w:rPr>
                <w:sz w:val="24"/>
                <w:szCs w:val="24"/>
              </w:rPr>
            </w:pPr>
            <w:r>
              <w:rPr>
                <w:sz w:val="24"/>
                <w:szCs w:val="24"/>
              </w:rPr>
              <w:t>X</w:t>
            </w:r>
          </w:p>
        </w:tc>
        <w:tc>
          <w:tcPr>
            <w:tcW w:w="2898" w:type="dxa"/>
          </w:tcPr>
          <w:p w:rsidR="00505677" w:rsidRDefault="00505677" w:rsidP="00505677">
            <w:pPr>
              <w:jc w:val="center"/>
              <w:rPr>
                <w:sz w:val="24"/>
                <w:szCs w:val="24"/>
              </w:rPr>
            </w:pPr>
          </w:p>
        </w:tc>
      </w:tr>
      <w:tr w:rsidR="00505677" w:rsidTr="00044EF7">
        <w:tc>
          <w:tcPr>
            <w:tcW w:w="4158" w:type="dxa"/>
          </w:tcPr>
          <w:p w:rsidR="00505677" w:rsidRDefault="00505677" w:rsidP="00505677">
            <w:pPr>
              <w:rPr>
                <w:sz w:val="24"/>
                <w:szCs w:val="24"/>
              </w:rPr>
            </w:pPr>
            <w:r>
              <w:rPr>
                <w:sz w:val="24"/>
                <w:szCs w:val="24"/>
              </w:rPr>
              <w:t>Interagency Technical Working Group on Tribal Transportation Issues</w:t>
            </w:r>
          </w:p>
        </w:tc>
        <w:tc>
          <w:tcPr>
            <w:tcW w:w="2520" w:type="dxa"/>
          </w:tcPr>
          <w:p w:rsidR="00505677" w:rsidRDefault="00505677" w:rsidP="00505677">
            <w:pPr>
              <w:jc w:val="center"/>
              <w:rPr>
                <w:sz w:val="24"/>
                <w:szCs w:val="24"/>
              </w:rPr>
            </w:pPr>
            <w:r>
              <w:rPr>
                <w:sz w:val="24"/>
                <w:szCs w:val="24"/>
              </w:rPr>
              <w:t>X</w:t>
            </w:r>
          </w:p>
        </w:tc>
        <w:tc>
          <w:tcPr>
            <w:tcW w:w="2898" w:type="dxa"/>
          </w:tcPr>
          <w:p w:rsidR="00505677" w:rsidRDefault="00505677" w:rsidP="00505677">
            <w:pPr>
              <w:jc w:val="center"/>
              <w:rPr>
                <w:sz w:val="24"/>
                <w:szCs w:val="24"/>
              </w:rPr>
            </w:pPr>
          </w:p>
        </w:tc>
      </w:tr>
      <w:tr w:rsidR="00044EF7" w:rsidTr="00044EF7">
        <w:tc>
          <w:tcPr>
            <w:tcW w:w="4158" w:type="dxa"/>
          </w:tcPr>
          <w:p w:rsidR="00044EF7" w:rsidRDefault="00044EF7" w:rsidP="00505677">
            <w:pPr>
              <w:rPr>
                <w:sz w:val="24"/>
                <w:szCs w:val="24"/>
              </w:rPr>
            </w:pPr>
            <w:r>
              <w:rPr>
                <w:sz w:val="24"/>
                <w:szCs w:val="24"/>
              </w:rPr>
              <w:t>All Congregations Together</w:t>
            </w:r>
          </w:p>
        </w:tc>
        <w:tc>
          <w:tcPr>
            <w:tcW w:w="2520" w:type="dxa"/>
          </w:tcPr>
          <w:p w:rsidR="00044EF7" w:rsidRDefault="00044EF7" w:rsidP="00505677">
            <w:pPr>
              <w:jc w:val="center"/>
              <w:rPr>
                <w:sz w:val="24"/>
                <w:szCs w:val="24"/>
              </w:rPr>
            </w:pPr>
            <w:r>
              <w:rPr>
                <w:sz w:val="24"/>
                <w:szCs w:val="24"/>
              </w:rPr>
              <w:t>X</w:t>
            </w:r>
          </w:p>
        </w:tc>
        <w:tc>
          <w:tcPr>
            <w:tcW w:w="2898" w:type="dxa"/>
          </w:tcPr>
          <w:p w:rsidR="00044EF7" w:rsidRDefault="00044EF7" w:rsidP="00505677">
            <w:pPr>
              <w:jc w:val="center"/>
              <w:rPr>
                <w:sz w:val="24"/>
                <w:szCs w:val="24"/>
              </w:rPr>
            </w:pPr>
            <w:r>
              <w:rPr>
                <w:sz w:val="24"/>
                <w:szCs w:val="24"/>
              </w:rPr>
              <w:t>X</w:t>
            </w:r>
          </w:p>
        </w:tc>
      </w:tr>
      <w:tr w:rsidR="00044EF7" w:rsidTr="00044EF7">
        <w:tc>
          <w:tcPr>
            <w:tcW w:w="4158" w:type="dxa"/>
          </w:tcPr>
          <w:p w:rsidR="00044EF7" w:rsidRDefault="00044EF7" w:rsidP="00505677">
            <w:pPr>
              <w:rPr>
                <w:sz w:val="24"/>
                <w:szCs w:val="24"/>
              </w:rPr>
            </w:pPr>
            <w:r>
              <w:rPr>
                <w:sz w:val="24"/>
                <w:szCs w:val="24"/>
              </w:rPr>
              <w:t>Casa Familiar</w:t>
            </w:r>
          </w:p>
        </w:tc>
        <w:tc>
          <w:tcPr>
            <w:tcW w:w="2520" w:type="dxa"/>
          </w:tcPr>
          <w:p w:rsidR="00044EF7" w:rsidRDefault="00044EF7" w:rsidP="00505677">
            <w:pPr>
              <w:jc w:val="center"/>
              <w:rPr>
                <w:sz w:val="24"/>
                <w:szCs w:val="24"/>
              </w:rPr>
            </w:pPr>
            <w:r>
              <w:rPr>
                <w:sz w:val="24"/>
                <w:szCs w:val="24"/>
              </w:rPr>
              <w:t>X</w:t>
            </w:r>
          </w:p>
        </w:tc>
        <w:tc>
          <w:tcPr>
            <w:tcW w:w="2898" w:type="dxa"/>
          </w:tcPr>
          <w:p w:rsidR="00044EF7" w:rsidRDefault="00044EF7" w:rsidP="00505677">
            <w:pPr>
              <w:jc w:val="center"/>
              <w:rPr>
                <w:sz w:val="24"/>
                <w:szCs w:val="24"/>
              </w:rPr>
            </w:pPr>
            <w:r>
              <w:rPr>
                <w:sz w:val="24"/>
                <w:szCs w:val="24"/>
              </w:rPr>
              <w:t>X</w:t>
            </w:r>
          </w:p>
        </w:tc>
      </w:tr>
      <w:tr w:rsidR="00044EF7" w:rsidTr="00044EF7">
        <w:tc>
          <w:tcPr>
            <w:tcW w:w="4158" w:type="dxa"/>
          </w:tcPr>
          <w:p w:rsidR="00044EF7" w:rsidRDefault="00044EF7" w:rsidP="00505677">
            <w:pPr>
              <w:rPr>
                <w:sz w:val="24"/>
                <w:szCs w:val="24"/>
              </w:rPr>
            </w:pPr>
            <w:r>
              <w:rPr>
                <w:sz w:val="24"/>
                <w:szCs w:val="24"/>
              </w:rPr>
              <w:t>Chula Vista Community Collaborative</w:t>
            </w:r>
          </w:p>
        </w:tc>
        <w:tc>
          <w:tcPr>
            <w:tcW w:w="2520" w:type="dxa"/>
          </w:tcPr>
          <w:p w:rsidR="00044EF7" w:rsidRDefault="00044EF7" w:rsidP="00505677">
            <w:pPr>
              <w:jc w:val="center"/>
              <w:rPr>
                <w:sz w:val="24"/>
                <w:szCs w:val="24"/>
              </w:rPr>
            </w:pPr>
            <w:r>
              <w:rPr>
                <w:sz w:val="24"/>
                <w:szCs w:val="24"/>
              </w:rPr>
              <w:t>X</w:t>
            </w:r>
          </w:p>
        </w:tc>
        <w:tc>
          <w:tcPr>
            <w:tcW w:w="2898" w:type="dxa"/>
          </w:tcPr>
          <w:p w:rsidR="00044EF7" w:rsidRDefault="00044EF7" w:rsidP="00505677">
            <w:pPr>
              <w:jc w:val="center"/>
              <w:rPr>
                <w:sz w:val="24"/>
                <w:szCs w:val="24"/>
              </w:rPr>
            </w:pPr>
            <w:r>
              <w:rPr>
                <w:sz w:val="24"/>
                <w:szCs w:val="24"/>
              </w:rPr>
              <w:t>X</w:t>
            </w:r>
          </w:p>
        </w:tc>
      </w:tr>
      <w:tr w:rsidR="00044EF7" w:rsidTr="00044EF7">
        <w:tc>
          <w:tcPr>
            <w:tcW w:w="4158" w:type="dxa"/>
          </w:tcPr>
          <w:p w:rsidR="00044EF7" w:rsidRDefault="00044EF7" w:rsidP="00505677">
            <w:pPr>
              <w:rPr>
                <w:sz w:val="24"/>
                <w:szCs w:val="24"/>
              </w:rPr>
            </w:pPr>
            <w:r>
              <w:rPr>
                <w:sz w:val="24"/>
                <w:szCs w:val="24"/>
              </w:rPr>
              <w:t>El Cajon Collaborative</w:t>
            </w:r>
          </w:p>
        </w:tc>
        <w:tc>
          <w:tcPr>
            <w:tcW w:w="2520" w:type="dxa"/>
          </w:tcPr>
          <w:p w:rsidR="00044EF7" w:rsidRDefault="00044EF7" w:rsidP="00505677">
            <w:pPr>
              <w:jc w:val="center"/>
              <w:rPr>
                <w:sz w:val="24"/>
                <w:szCs w:val="24"/>
              </w:rPr>
            </w:pPr>
            <w:r>
              <w:rPr>
                <w:sz w:val="24"/>
                <w:szCs w:val="24"/>
              </w:rPr>
              <w:t>X</w:t>
            </w:r>
          </w:p>
        </w:tc>
        <w:tc>
          <w:tcPr>
            <w:tcW w:w="2898" w:type="dxa"/>
          </w:tcPr>
          <w:p w:rsidR="00044EF7" w:rsidRDefault="00044EF7" w:rsidP="00505677">
            <w:pPr>
              <w:jc w:val="center"/>
              <w:rPr>
                <w:sz w:val="24"/>
                <w:szCs w:val="24"/>
              </w:rPr>
            </w:pPr>
            <w:r>
              <w:rPr>
                <w:sz w:val="24"/>
                <w:szCs w:val="24"/>
              </w:rPr>
              <w:t>X</w:t>
            </w:r>
          </w:p>
        </w:tc>
      </w:tr>
      <w:tr w:rsidR="00044EF7" w:rsidTr="00044EF7">
        <w:tc>
          <w:tcPr>
            <w:tcW w:w="4158" w:type="dxa"/>
          </w:tcPr>
          <w:p w:rsidR="00044EF7" w:rsidRDefault="00044EF7" w:rsidP="00505677">
            <w:pPr>
              <w:rPr>
                <w:sz w:val="24"/>
                <w:szCs w:val="24"/>
              </w:rPr>
            </w:pPr>
            <w:r>
              <w:rPr>
                <w:sz w:val="24"/>
                <w:szCs w:val="24"/>
              </w:rPr>
              <w:t>Linda Vista Community Collaborative</w:t>
            </w:r>
          </w:p>
        </w:tc>
        <w:tc>
          <w:tcPr>
            <w:tcW w:w="2520" w:type="dxa"/>
          </w:tcPr>
          <w:p w:rsidR="00044EF7" w:rsidRDefault="00044EF7" w:rsidP="00505677">
            <w:pPr>
              <w:jc w:val="center"/>
              <w:rPr>
                <w:sz w:val="24"/>
                <w:szCs w:val="24"/>
              </w:rPr>
            </w:pPr>
            <w:r>
              <w:rPr>
                <w:sz w:val="24"/>
                <w:szCs w:val="24"/>
              </w:rPr>
              <w:t>X</w:t>
            </w:r>
          </w:p>
        </w:tc>
        <w:tc>
          <w:tcPr>
            <w:tcW w:w="2898" w:type="dxa"/>
          </w:tcPr>
          <w:p w:rsidR="00044EF7" w:rsidRDefault="00044EF7" w:rsidP="00505677">
            <w:pPr>
              <w:jc w:val="center"/>
              <w:rPr>
                <w:sz w:val="24"/>
                <w:szCs w:val="24"/>
              </w:rPr>
            </w:pPr>
            <w:r>
              <w:rPr>
                <w:sz w:val="24"/>
                <w:szCs w:val="24"/>
              </w:rPr>
              <w:t>X</w:t>
            </w:r>
          </w:p>
        </w:tc>
      </w:tr>
      <w:tr w:rsidR="00044EF7" w:rsidTr="00044EF7">
        <w:tc>
          <w:tcPr>
            <w:tcW w:w="4158" w:type="dxa"/>
          </w:tcPr>
          <w:p w:rsidR="00044EF7" w:rsidRDefault="00044EF7" w:rsidP="00505677">
            <w:pPr>
              <w:rPr>
                <w:sz w:val="24"/>
                <w:szCs w:val="24"/>
              </w:rPr>
            </w:pPr>
            <w:r>
              <w:rPr>
                <w:sz w:val="24"/>
                <w:szCs w:val="24"/>
              </w:rPr>
              <w:t xml:space="preserve">San </w:t>
            </w:r>
            <w:proofErr w:type="spellStart"/>
            <w:r>
              <w:rPr>
                <w:sz w:val="24"/>
                <w:szCs w:val="24"/>
              </w:rPr>
              <w:t>Ysidro</w:t>
            </w:r>
            <w:proofErr w:type="spellEnd"/>
            <w:r>
              <w:rPr>
                <w:sz w:val="24"/>
                <w:szCs w:val="24"/>
              </w:rPr>
              <w:t xml:space="preserve"> Business Association</w:t>
            </w:r>
          </w:p>
        </w:tc>
        <w:tc>
          <w:tcPr>
            <w:tcW w:w="2520" w:type="dxa"/>
          </w:tcPr>
          <w:p w:rsidR="00044EF7" w:rsidRDefault="00044EF7" w:rsidP="00505677">
            <w:pPr>
              <w:jc w:val="center"/>
              <w:rPr>
                <w:sz w:val="24"/>
                <w:szCs w:val="24"/>
              </w:rPr>
            </w:pPr>
            <w:r>
              <w:rPr>
                <w:sz w:val="24"/>
                <w:szCs w:val="24"/>
              </w:rPr>
              <w:t>X</w:t>
            </w:r>
          </w:p>
        </w:tc>
        <w:tc>
          <w:tcPr>
            <w:tcW w:w="2898" w:type="dxa"/>
          </w:tcPr>
          <w:p w:rsidR="00044EF7" w:rsidRDefault="00044EF7" w:rsidP="00505677">
            <w:pPr>
              <w:jc w:val="center"/>
              <w:rPr>
                <w:sz w:val="24"/>
                <w:szCs w:val="24"/>
              </w:rPr>
            </w:pPr>
            <w:r>
              <w:rPr>
                <w:sz w:val="24"/>
                <w:szCs w:val="24"/>
              </w:rPr>
              <w:t>X</w:t>
            </w:r>
          </w:p>
        </w:tc>
      </w:tr>
    </w:tbl>
    <w:p w:rsidR="00505677" w:rsidRDefault="00505677" w:rsidP="00061D44">
      <w:pPr>
        <w:spacing w:line="360" w:lineRule="auto"/>
        <w:rPr>
          <w:sz w:val="28"/>
          <w:szCs w:val="28"/>
        </w:rPr>
      </w:pPr>
    </w:p>
    <w:p w:rsidR="00061D44" w:rsidRDefault="00061D44" w:rsidP="00061D44">
      <w:pPr>
        <w:spacing w:line="360" w:lineRule="auto"/>
        <w:rPr>
          <w:sz w:val="28"/>
          <w:szCs w:val="28"/>
        </w:rPr>
      </w:pPr>
      <w:r w:rsidRPr="008B1733">
        <w:rPr>
          <w:sz w:val="28"/>
          <w:szCs w:val="28"/>
        </w:rPr>
        <w:t xml:space="preserve">SANDAG </w:t>
      </w:r>
      <w:r>
        <w:rPr>
          <w:sz w:val="28"/>
          <w:szCs w:val="28"/>
        </w:rPr>
        <w:t xml:space="preserve">also </w:t>
      </w:r>
      <w:r w:rsidRPr="008B1733">
        <w:rPr>
          <w:sz w:val="28"/>
          <w:szCs w:val="28"/>
        </w:rPr>
        <w:t>conduct</w:t>
      </w:r>
      <w:r w:rsidR="009A531B">
        <w:rPr>
          <w:sz w:val="28"/>
          <w:szCs w:val="28"/>
        </w:rPr>
        <w:t>ed</w:t>
      </w:r>
      <w:r w:rsidRPr="008B1733">
        <w:rPr>
          <w:sz w:val="28"/>
          <w:szCs w:val="28"/>
        </w:rPr>
        <w:t xml:space="preserve"> public participation and involvement activities to coordinate transportation and land use planning with tribal nations through the SANDAG Borders Committee, the Interagency Technical Working Group on Tribal Transportation Issues, the Southern California Tribal Chairman’s Association, Reservation Transportation Authority, and other intertribal associations.</w:t>
      </w:r>
    </w:p>
    <w:p w:rsidR="00505677" w:rsidRDefault="00505677" w:rsidP="00061D44">
      <w:pPr>
        <w:spacing w:line="360" w:lineRule="auto"/>
        <w:rPr>
          <w:sz w:val="28"/>
          <w:szCs w:val="28"/>
        </w:rPr>
      </w:pPr>
    </w:p>
    <w:p w:rsidR="00505677" w:rsidRPr="00061D44" w:rsidRDefault="003210E2" w:rsidP="001742B4">
      <w:pPr>
        <w:spacing w:line="360" w:lineRule="auto"/>
        <w:rPr>
          <w:sz w:val="28"/>
          <w:szCs w:val="28"/>
        </w:rPr>
      </w:pPr>
      <w:r>
        <w:rPr>
          <w:sz w:val="28"/>
          <w:szCs w:val="28"/>
        </w:rPr>
        <w:lastRenderedPageBreak/>
        <w:t>During the site visit, i</w:t>
      </w:r>
      <w:r w:rsidR="00505677">
        <w:rPr>
          <w:sz w:val="28"/>
          <w:szCs w:val="28"/>
        </w:rPr>
        <w:t xml:space="preserve">t </w:t>
      </w:r>
      <w:r>
        <w:rPr>
          <w:sz w:val="28"/>
          <w:szCs w:val="28"/>
        </w:rPr>
        <w:t>wa</w:t>
      </w:r>
      <w:r w:rsidR="00505677">
        <w:rPr>
          <w:sz w:val="28"/>
          <w:szCs w:val="28"/>
        </w:rPr>
        <w:t xml:space="preserve">s recommended that SANDAG reference </w:t>
      </w:r>
      <w:r w:rsidR="00614D9E">
        <w:rPr>
          <w:sz w:val="28"/>
          <w:szCs w:val="28"/>
        </w:rPr>
        <w:t xml:space="preserve">FTA in </w:t>
      </w:r>
      <w:r w:rsidR="00505677">
        <w:rPr>
          <w:sz w:val="28"/>
          <w:szCs w:val="28"/>
        </w:rPr>
        <w:t xml:space="preserve">current and future </w:t>
      </w:r>
      <w:r w:rsidR="001742B4">
        <w:rPr>
          <w:sz w:val="28"/>
          <w:szCs w:val="28"/>
        </w:rPr>
        <w:t xml:space="preserve">versions of its </w:t>
      </w:r>
      <w:r w:rsidR="00614D9E">
        <w:rPr>
          <w:sz w:val="28"/>
          <w:szCs w:val="28"/>
        </w:rPr>
        <w:t>PPP</w:t>
      </w:r>
      <w:r w:rsidR="001742B4">
        <w:rPr>
          <w:sz w:val="28"/>
          <w:szCs w:val="28"/>
        </w:rPr>
        <w:t>.  In its current P</w:t>
      </w:r>
      <w:r w:rsidR="00614D9E">
        <w:rPr>
          <w:sz w:val="28"/>
          <w:szCs w:val="28"/>
        </w:rPr>
        <w:t>PP</w:t>
      </w:r>
      <w:r w:rsidR="001742B4">
        <w:rPr>
          <w:sz w:val="28"/>
          <w:szCs w:val="28"/>
        </w:rPr>
        <w:t>, dated December 18, 2009, SANDAG state</w:t>
      </w:r>
      <w:r>
        <w:rPr>
          <w:sz w:val="28"/>
          <w:szCs w:val="28"/>
        </w:rPr>
        <w:t>d</w:t>
      </w:r>
      <w:r w:rsidR="001742B4">
        <w:rPr>
          <w:sz w:val="28"/>
          <w:szCs w:val="28"/>
        </w:rPr>
        <w:t xml:space="preserve">, “the PPP was developed in accordance with guidelines established by the Federal Highway Administration (FHWA).” During the site visit, SANDAG indicated that this was an oversight and the PPP would be updated </w:t>
      </w:r>
      <w:r w:rsidR="009A531B">
        <w:rPr>
          <w:sz w:val="28"/>
          <w:szCs w:val="28"/>
        </w:rPr>
        <w:t>to include reference to FTA and its Inclusive Public Participation requirements detailed in FTA Circular 4702.1A.IV.9</w:t>
      </w:r>
      <w:r w:rsidR="001742B4">
        <w:rPr>
          <w:sz w:val="28"/>
          <w:szCs w:val="28"/>
        </w:rPr>
        <w:t>.</w:t>
      </w:r>
    </w:p>
    <w:p w:rsidR="00505677" w:rsidRPr="008B1733" w:rsidRDefault="00505677" w:rsidP="00061D44">
      <w:pPr>
        <w:spacing w:line="360" w:lineRule="auto"/>
        <w:rPr>
          <w:sz w:val="28"/>
          <w:szCs w:val="28"/>
        </w:rPr>
      </w:pPr>
    </w:p>
    <w:p w:rsidR="00F80A8D" w:rsidRDefault="00F80A8D">
      <w:pPr>
        <w:pStyle w:val="BHLevel2"/>
        <w:spacing w:line="360" w:lineRule="auto"/>
        <w:rPr>
          <w:sz w:val="28"/>
          <w:szCs w:val="28"/>
        </w:rPr>
      </w:pPr>
      <w:bookmarkStart w:id="13" w:name="_Toc315152506"/>
      <w:r>
        <w:rPr>
          <w:sz w:val="28"/>
          <w:szCs w:val="28"/>
        </w:rPr>
        <w:t>Language Access to LEP Persons</w:t>
      </w:r>
      <w:bookmarkEnd w:id="13"/>
    </w:p>
    <w:p w:rsidR="00F80A8D" w:rsidRDefault="00F80A8D">
      <w:pPr>
        <w:pStyle w:val="Outline1"/>
        <w:tabs>
          <w:tab w:val="clear" w:pos="360"/>
          <w:tab w:val="num" w:pos="720"/>
        </w:tabs>
        <w:ind w:left="0" w:firstLine="0"/>
        <w:rPr>
          <w:i/>
          <w:iCs/>
          <w:sz w:val="28"/>
        </w:rPr>
      </w:pPr>
      <w:r>
        <w:rPr>
          <w:b/>
          <w:sz w:val="28"/>
          <w:szCs w:val="28"/>
        </w:rPr>
        <w:t xml:space="preserve">Requirement: </w:t>
      </w:r>
      <w:r w:rsidR="005B1F1E">
        <w:rPr>
          <w:b/>
          <w:sz w:val="28"/>
          <w:szCs w:val="28"/>
        </w:rPr>
        <w:t xml:space="preserve"> </w:t>
      </w:r>
      <w:r>
        <w:rPr>
          <w:i/>
          <w:iCs/>
          <w:sz w:val="28"/>
        </w:rPr>
        <w:t>FTA recipients shall take responsible steps to ensure meaningful access to the benefits, services, information, and other important portions of its programs and activities for individuals who are Limited English Proficient (LEP).</w:t>
      </w:r>
    </w:p>
    <w:p w:rsidR="00F80A8D" w:rsidRDefault="00F80A8D">
      <w:pPr>
        <w:spacing w:line="360" w:lineRule="auto"/>
      </w:pPr>
    </w:p>
    <w:p w:rsidR="00FF17E0" w:rsidRDefault="00F80A8D" w:rsidP="0038078B">
      <w:pPr>
        <w:spacing w:line="360" w:lineRule="auto"/>
        <w:rPr>
          <w:sz w:val="28"/>
          <w:szCs w:val="28"/>
        </w:rPr>
      </w:pPr>
      <w:r>
        <w:rPr>
          <w:b/>
          <w:sz w:val="28"/>
          <w:szCs w:val="28"/>
        </w:rPr>
        <w:t>Findings:</w:t>
      </w:r>
      <w:r>
        <w:rPr>
          <w:sz w:val="28"/>
          <w:szCs w:val="28"/>
        </w:rPr>
        <w:t xml:space="preserve">  During this Title VI Compliance Review of </w:t>
      </w:r>
      <w:r w:rsidR="005772CD">
        <w:rPr>
          <w:sz w:val="28"/>
          <w:szCs w:val="28"/>
        </w:rPr>
        <w:t>SANDAG</w:t>
      </w:r>
      <w:r>
        <w:rPr>
          <w:sz w:val="28"/>
          <w:szCs w:val="28"/>
        </w:rPr>
        <w:t xml:space="preserve">, deficiencies were found regarding </w:t>
      </w:r>
      <w:r w:rsidR="005772CD">
        <w:rPr>
          <w:sz w:val="28"/>
          <w:szCs w:val="28"/>
        </w:rPr>
        <w:t>SANDAG</w:t>
      </w:r>
      <w:r>
        <w:rPr>
          <w:sz w:val="28"/>
          <w:szCs w:val="28"/>
        </w:rPr>
        <w:t>’s compliance with FTA requirements for Language Access to LEP persons</w:t>
      </w:r>
      <w:r w:rsidRPr="00B965EA">
        <w:rPr>
          <w:sz w:val="28"/>
          <w:szCs w:val="28"/>
        </w:rPr>
        <w:t>.</w:t>
      </w:r>
      <w:r w:rsidR="00B965EA">
        <w:rPr>
          <w:sz w:val="28"/>
          <w:szCs w:val="28"/>
        </w:rPr>
        <w:t xml:space="preserve">  </w:t>
      </w:r>
      <w:r w:rsidR="002B0DFD">
        <w:rPr>
          <w:sz w:val="28"/>
          <w:szCs w:val="28"/>
        </w:rPr>
        <w:t>Prior to the s</w:t>
      </w:r>
      <w:r w:rsidR="00634C60">
        <w:rPr>
          <w:sz w:val="28"/>
          <w:szCs w:val="28"/>
        </w:rPr>
        <w:t xml:space="preserve">ite visit, </w:t>
      </w:r>
      <w:r w:rsidR="006A0832">
        <w:rPr>
          <w:sz w:val="28"/>
          <w:szCs w:val="28"/>
        </w:rPr>
        <w:t xml:space="preserve">SANDAG provided </w:t>
      </w:r>
      <w:r w:rsidR="00933D67">
        <w:rPr>
          <w:sz w:val="28"/>
          <w:szCs w:val="28"/>
        </w:rPr>
        <w:t>the document titled</w:t>
      </w:r>
      <w:r w:rsidR="006E416D">
        <w:rPr>
          <w:sz w:val="28"/>
          <w:szCs w:val="28"/>
        </w:rPr>
        <w:t>,</w:t>
      </w:r>
      <w:r w:rsidR="00933D67">
        <w:rPr>
          <w:sz w:val="28"/>
          <w:szCs w:val="28"/>
        </w:rPr>
        <w:t xml:space="preserve"> </w:t>
      </w:r>
      <w:r w:rsidR="006E416D" w:rsidRPr="006E416D">
        <w:rPr>
          <w:sz w:val="28"/>
          <w:szCs w:val="28"/>
        </w:rPr>
        <w:t>“</w:t>
      </w:r>
      <w:r w:rsidR="006A0832" w:rsidRPr="006A0832">
        <w:rPr>
          <w:i/>
          <w:sz w:val="28"/>
          <w:szCs w:val="28"/>
        </w:rPr>
        <w:t>The San Diego Association of Governments Plan for Limited English Proficiency Populations</w:t>
      </w:r>
      <w:r w:rsidR="006A0832">
        <w:rPr>
          <w:sz w:val="28"/>
          <w:szCs w:val="28"/>
        </w:rPr>
        <w:t>,</w:t>
      </w:r>
      <w:r w:rsidR="006E416D">
        <w:rPr>
          <w:sz w:val="28"/>
          <w:szCs w:val="28"/>
        </w:rPr>
        <w:t>”</w:t>
      </w:r>
      <w:r w:rsidR="006A0832">
        <w:rPr>
          <w:sz w:val="28"/>
          <w:szCs w:val="28"/>
        </w:rPr>
        <w:t xml:space="preserve"> dated January 21, 201</w:t>
      </w:r>
      <w:r w:rsidR="00883113">
        <w:rPr>
          <w:sz w:val="28"/>
          <w:szCs w:val="28"/>
        </w:rPr>
        <w:t xml:space="preserve">1. </w:t>
      </w:r>
      <w:r w:rsidR="00E34B0C">
        <w:rPr>
          <w:sz w:val="28"/>
          <w:szCs w:val="28"/>
        </w:rPr>
        <w:t xml:space="preserve"> </w:t>
      </w:r>
      <w:r w:rsidR="00883113">
        <w:rPr>
          <w:sz w:val="28"/>
          <w:szCs w:val="28"/>
        </w:rPr>
        <w:t>This document only included F</w:t>
      </w:r>
      <w:r w:rsidR="00044E4A">
        <w:rPr>
          <w:sz w:val="28"/>
          <w:szCs w:val="28"/>
        </w:rPr>
        <w:t>actor 1</w:t>
      </w:r>
      <w:r w:rsidR="00483CBF">
        <w:rPr>
          <w:sz w:val="28"/>
          <w:szCs w:val="28"/>
        </w:rPr>
        <w:t xml:space="preserve"> </w:t>
      </w:r>
      <w:r w:rsidR="00883113">
        <w:rPr>
          <w:sz w:val="28"/>
          <w:szCs w:val="28"/>
        </w:rPr>
        <w:t xml:space="preserve">of the </w:t>
      </w:r>
      <w:r w:rsidR="0060012B">
        <w:rPr>
          <w:sz w:val="28"/>
          <w:szCs w:val="28"/>
        </w:rPr>
        <w:t>Four-factor</w:t>
      </w:r>
      <w:r w:rsidR="00883113">
        <w:rPr>
          <w:sz w:val="28"/>
          <w:szCs w:val="28"/>
        </w:rPr>
        <w:t xml:space="preserve"> A</w:t>
      </w:r>
      <w:r w:rsidR="006A0832">
        <w:rPr>
          <w:sz w:val="28"/>
          <w:szCs w:val="28"/>
        </w:rPr>
        <w:t xml:space="preserve">nalysis.  </w:t>
      </w:r>
      <w:r w:rsidR="005E0AF9">
        <w:rPr>
          <w:sz w:val="28"/>
          <w:szCs w:val="28"/>
        </w:rPr>
        <w:t xml:space="preserve">During the site visit, SANDAG explained that </w:t>
      </w:r>
      <w:r w:rsidR="00710FAC">
        <w:rPr>
          <w:sz w:val="28"/>
          <w:szCs w:val="28"/>
        </w:rPr>
        <w:t>it was</w:t>
      </w:r>
      <w:r w:rsidR="005E0AF9">
        <w:rPr>
          <w:sz w:val="28"/>
          <w:szCs w:val="28"/>
        </w:rPr>
        <w:t xml:space="preserve"> necessary to collaborate with the local transit operators, MTS and NCTD, in order to complete</w:t>
      </w:r>
      <w:r w:rsidR="00883113">
        <w:rPr>
          <w:sz w:val="28"/>
          <w:szCs w:val="28"/>
        </w:rPr>
        <w:t xml:space="preserve"> F</w:t>
      </w:r>
      <w:r w:rsidR="005E0AF9">
        <w:rPr>
          <w:sz w:val="28"/>
          <w:szCs w:val="28"/>
        </w:rPr>
        <w:t>actors 2, 3 and 4, as well as the Language Assistance Plan (LAP)</w:t>
      </w:r>
      <w:r w:rsidR="00710FAC">
        <w:rPr>
          <w:sz w:val="28"/>
          <w:szCs w:val="28"/>
        </w:rPr>
        <w:t xml:space="preserve">.  SANDAG was </w:t>
      </w:r>
      <w:r w:rsidR="005E0AF9">
        <w:rPr>
          <w:sz w:val="28"/>
          <w:szCs w:val="28"/>
        </w:rPr>
        <w:t>working to identify the resources, includin</w:t>
      </w:r>
      <w:r w:rsidR="00710FAC">
        <w:rPr>
          <w:sz w:val="28"/>
          <w:szCs w:val="28"/>
        </w:rPr>
        <w:t xml:space="preserve">g funding, necessary to begin this collaborative effort, and provided a detailed methodology for completing its LEP plan.  In </w:t>
      </w:r>
      <w:r w:rsidR="006E416D">
        <w:rPr>
          <w:sz w:val="28"/>
          <w:szCs w:val="28"/>
        </w:rPr>
        <w:t xml:space="preserve">its </w:t>
      </w:r>
      <w:r w:rsidR="00710FAC" w:rsidRPr="00710FAC">
        <w:rPr>
          <w:i/>
          <w:sz w:val="28"/>
          <w:szCs w:val="28"/>
        </w:rPr>
        <w:t xml:space="preserve">Limited English Proficiency Language Services Plan Proposed Methodology – </w:t>
      </w:r>
      <w:r w:rsidR="0060012B">
        <w:rPr>
          <w:i/>
          <w:sz w:val="28"/>
          <w:szCs w:val="28"/>
        </w:rPr>
        <w:t>Four-factor</w:t>
      </w:r>
      <w:r w:rsidR="00710FAC" w:rsidRPr="00710FAC">
        <w:rPr>
          <w:i/>
          <w:sz w:val="28"/>
          <w:szCs w:val="28"/>
        </w:rPr>
        <w:t xml:space="preserve"> Plan</w:t>
      </w:r>
      <w:r w:rsidR="00710FAC">
        <w:rPr>
          <w:sz w:val="28"/>
          <w:szCs w:val="28"/>
        </w:rPr>
        <w:t xml:space="preserve">, dated January 2010, SANDAG </w:t>
      </w:r>
      <w:r w:rsidR="00483CBF">
        <w:rPr>
          <w:sz w:val="28"/>
          <w:szCs w:val="28"/>
        </w:rPr>
        <w:t>identified</w:t>
      </w:r>
      <w:r w:rsidR="00875251">
        <w:rPr>
          <w:sz w:val="28"/>
          <w:szCs w:val="28"/>
        </w:rPr>
        <w:t xml:space="preserve"> the steps </w:t>
      </w:r>
      <w:r w:rsidR="003210E2">
        <w:rPr>
          <w:sz w:val="28"/>
          <w:szCs w:val="28"/>
        </w:rPr>
        <w:t xml:space="preserve">that </w:t>
      </w:r>
      <w:r w:rsidR="00875251">
        <w:rPr>
          <w:sz w:val="28"/>
          <w:szCs w:val="28"/>
        </w:rPr>
        <w:t>i</w:t>
      </w:r>
      <w:r w:rsidR="00710FAC">
        <w:rPr>
          <w:sz w:val="28"/>
          <w:szCs w:val="28"/>
        </w:rPr>
        <w:t>t</w:t>
      </w:r>
      <w:r w:rsidR="00875251">
        <w:rPr>
          <w:sz w:val="28"/>
          <w:szCs w:val="28"/>
        </w:rPr>
        <w:t>, MTS</w:t>
      </w:r>
      <w:r w:rsidR="003210E2">
        <w:rPr>
          <w:sz w:val="28"/>
          <w:szCs w:val="28"/>
        </w:rPr>
        <w:t>,</w:t>
      </w:r>
      <w:r w:rsidR="00875251">
        <w:rPr>
          <w:sz w:val="28"/>
          <w:szCs w:val="28"/>
        </w:rPr>
        <w:t xml:space="preserve"> and NCDT</w:t>
      </w:r>
      <w:r w:rsidR="00710FAC">
        <w:rPr>
          <w:sz w:val="28"/>
          <w:szCs w:val="28"/>
        </w:rPr>
        <w:t xml:space="preserve"> w</w:t>
      </w:r>
      <w:r w:rsidR="003210E2">
        <w:rPr>
          <w:sz w:val="28"/>
          <w:szCs w:val="28"/>
        </w:rPr>
        <w:t>ould</w:t>
      </w:r>
      <w:r w:rsidR="00710FAC">
        <w:rPr>
          <w:sz w:val="28"/>
          <w:szCs w:val="28"/>
        </w:rPr>
        <w:t xml:space="preserve"> </w:t>
      </w:r>
      <w:r w:rsidR="00710FAC">
        <w:rPr>
          <w:sz w:val="28"/>
          <w:szCs w:val="28"/>
        </w:rPr>
        <w:lastRenderedPageBreak/>
        <w:t xml:space="preserve">take to complete the </w:t>
      </w:r>
      <w:r w:rsidR="0060012B">
        <w:rPr>
          <w:sz w:val="28"/>
          <w:szCs w:val="28"/>
        </w:rPr>
        <w:t>four-factor</w:t>
      </w:r>
      <w:r w:rsidR="00710FAC">
        <w:rPr>
          <w:sz w:val="28"/>
          <w:szCs w:val="28"/>
        </w:rPr>
        <w:t xml:space="preserve"> analysis and LAP plan as required by FTA Circular 4702.1A.IV.4.</w:t>
      </w:r>
    </w:p>
    <w:p w:rsidR="00D962E6" w:rsidRDefault="00D962E6" w:rsidP="0038078B">
      <w:pPr>
        <w:spacing w:line="360" w:lineRule="auto"/>
        <w:rPr>
          <w:sz w:val="28"/>
          <w:szCs w:val="28"/>
        </w:rPr>
      </w:pPr>
    </w:p>
    <w:p w:rsidR="00D962E6" w:rsidRDefault="00D962E6" w:rsidP="0038078B">
      <w:pPr>
        <w:spacing w:line="360" w:lineRule="auto"/>
        <w:rPr>
          <w:sz w:val="28"/>
          <w:szCs w:val="28"/>
        </w:rPr>
      </w:pPr>
      <w:r>
        <w:rPr>
          <w:sz w:val="28"/>
          <w:szCs w:val="28"/>
        </w:rPr>
        <w:t xml:space="preserve">With respect to Factor 1, SANDAG </w:t>
      </w:r>
      <w:r w:rsidR="00483CBF">
        <w:rPr>
          <w:sz w:val="28"/>
          <w:szCs w:val="28"/>
        </w:rPr>
        <w:t>sufficiently identified</w:t>
      </w:r>
      <w:r>
        <w:rPr>
          <w:sz w:val="28"/>
          <w:szCs w:val="28"/>
        </w:rPr>
        <w:t xml:space="preserve"> the number of LEP persons it served by using a variety of resources, as recommended in the DOT LEP Guidance, including data from the following:</w:t>
      </w:r>
    </w:p>
    <w:p w:rsidR="003210E2" w:rsidRDefault="003210E2" w:rsidP="0038078B">
      <w:pPr>
        <w:spacing w:line="360" w:lineRule="auto"/>
        <w:rPr>
          <w:sz w:val="28"/>
          <w:szCs w:val="28"/>
        </w:rPr>
      </w:pPr>
    </w:p>
    <w:p w:rsidR="00044E4A" w:rsidRPr="00044E4A" w:rsidRDefault="00D962E6" w:rsidP="00E3540D">
      <w:pPr>
        <w:pStyle w:val="ListParagraph"/>
        <w:numPr>
          <w:ilvl w:val="0"/>
          <w:numId w:val="25"/>
        </w:numPr>
        <w:spacing w:line="360" w:lineRule="auto"/>
        <w:rPr>
          <w:sz w:val="28"/>
          <w:szCs w:val="28"/>
        </w:rPr>
      </w:pPr>
      <w:r w:rsidRPr="00044E4A">
        <w:rPr>
          <w:sz w:val="28"/>
          <w:szCs w:val="28"/>
        </w:rPr>
        <w:t>U.S. Census</w:t>
      </w:r>
      <w:r w:rsidR="00875251" w:rsidRPr="00044E4A">
        <w:rPr>
          <w:sz w:val="28"/>
          <w:szCs w:val="28"/>
        </w:rPr>
        <w:t xml:space="preserve"> – provided population data on English proficiency (those who speak English “very well</w:t>
      </w:r>
      <w:r w:rsidR="006E416D">
        <w:rPr>
          <w:sz w:val="28"/>
          <w:szCs w:val="28"/>
        </w:rPr>
        <w:t>,</w:t>
      </w:r>
      <w:r w:rsidR="00875251" w:rsidRPr="00044E4A">
        <w:rPr>
          <w:sz w:val="28"/>
          <w:szCs w:val="28"/>
        </w:rPr>
        <w:t>” “well</w:t>
      </w:r>
      <w:r w:rsidR="006E416D">
        <w:rPr>
          <w:sz w:val="28"/>
          <w:szCs w:val="28"/>
        </w:rPr>
        <w:t>,</w:t>
      </w:r>
      <w:r w:rsidR="00875251" w:rsidRPr="00044E4A">
        <w:rPr>
          <w:sz w:val="28"/>
          <w:szCs w:val="28"/>
        </w:rPr>
        <w:t>” “not well</w:t>
      </w:r>
      <w:r w:rsidR="006E416D">
        <w:rPr>
          <w:sz w:val="28"/>
          <w:szCs w:val="28"/>
        </w:rPr>
        <w:t>,</w:t>
      </w:r>
      <w:r w:rsidR="00875251" w:rsidRPr="00044E4A">
        <w:rPr>
          <w:sz w:val="28"/>
          <w:szCs w:val="28"/>
        </w:rPr>
        <w:t>” and “not at all”) for four general language categories (Spanish, Indo-European, Asian, and Pacific Islander).  SANDAG determined that while this data provided a general overview, it did not provide specific information for individual languages other than Spanish.</w:t>
      </w:r>
      <w:r w:rsidR="004D02BF">
        <w:rPr>
          <w:sz w:val="28"/>
          <w:szCs w:val="28"/>
        </w:rPr>
        <w:t xml:space="preserve"> </w:t>
      </w:r>
    </w:p>
    <w:p w:rsidR="00FD1AD0" w:rsidRPr="00FD1AD0" w:rsidRDefault="00D962E6" w:rsidP="00E3540D">
      <w:pPr>
        <w:pStyle w:val="ListParagraph"/>
        <w:numPr>
          <w:ilvl w:val="0"/>
          <w:numId w:val="25"/>
        </w:numPr>
        <w:spacing w:line="360" w:lineRule="auto"/>
        <w:rPr>
          <w:sz w:val="28"/>
          <w:szCs w:val="28"/>
        </w:rPr>
      </w:pPr>
      <w:r>
        <w:rPr>
          <w:sz w:val="28"/>
          <w:szCs w:val="28"/>
        </w:rPr>
        <w:t>American Community Survey</w:t>
      </w:r>
      <w:r w:rsidR="00042834">
        <w:rPr>
          <w:sz w:val="28"/>
          <w:szCs w:val="28"/>
        </w:rPr>
        <w:t xml:space="preserve"> 2006 – 2008 (ACS)</w:t>
      </w:r>
      <w:r w:rsidR="00875251">
        <w:rPr>
          <w:sz w:val="28"/>
          <w:szCs w:val="28"/>
        </w:rPr>
        <w:t xml:space="preserve"> </w:t>
      </w:r>
      <w:r w:rsidR="00FD1AD0">
        <w:rPr>
          <w:sz w:val="28"/>
          <w:szCs w:val="28"/>
        </w:rPr>
        <w:t>–</w:t>
      </w:r>
      <w:r w:rsidR="00875251">
        <w:rPr>
          <w:sz w:val="28"/>
          <w:szCs w:val="28"/>
        </w:rPr>
        <w:t xml:space="preserve"> </w:t>
      </w:r>
      <w:r w:rsidR="00FD1AD0">
        <w:rPr>
          <w:sz w:val="28"/>
          <w:szCs w:val="28"/>
        </w:rPr>
        <w:t>provided SANDAG with much greater detail than the Census 2000 data by including 39 specific language groups by language spoken at home and ability to speak English.  This enabled the analysis of specific languages spoken in San Diego County.</w:t>
      </w:r>
    </w:p>
    <w:p w:rsidR="00D962E6" w:rsidRDefault="00D962E6" w:rsidP="00E3540D">
      <w:pPr>
        <w:pStyle w:val="ListParagraph"/>
        <w:numPr>
          <w:ilvl w:val="0"/>
          <w:numId w:val="25"/>
        </w:numPr>
        <w:spacing w:line="360" w:lineRule="auto"/>
        <w:rPr>
          <w:sz w:val="28"/>
          <w:szCs w:val="28"/>
        </w:rPr>
      </w:pPr>
      <w:r>
        <w:rPr>
          <w:sz w:val="28"/>
          <w:szCs w:val="28"/>
        </w:rPr>
        <w:t>U.S. Department of Labor</w:t>
      </w:r>
      <w:r w:rsidR="00042834">
        <w:rPr>
          <w:sz w:val="28"/>
          <w:szCs w:val="28"/>
        </w:rPr>
        <w:t xml:space="preserve"> (DOL)</w:t>
      </w:r>
      <w:r w:rsidR="00FD1AD0">
        <w:rPr>
          <w:sz w:val="28"/>
          <w:szCs w:val="28"/>
        </w:rPr>
        <w:t xml:space="preserve"> – provided the ability to tabulate Census 2000 data to identify languages spoken in geographies called “Local Investment Areas (LWIAs).  This data set was unique in that it includes a combination of the DOT recommended language proficiency categories included in the Census 2000 data (English spoken “not well” or “not at all”) with the 39 specific languages included in the </w:t>
      </w:r>
      <w:r w:rsidR="00042834">
        <w:rPr>
          <w:sz w:val="28"/>
          <w:szCs w:val="28"/>
        </w:rPr>
        <w:t>ACS data.  The DOL data enabled the identification of LEP individuals by specific languages.</w:t>
      </w:r>
    </w:p>
    <w:p w:rsidR="00D962E6" w:rsidRDefault="00D962E6" w:rsidP="00E3540D">
      <w:pPr>
        <w:pStyle w:val="ListParagraph"/>
        <w:numPr>
          <w:ilvl w:val="0"/>
          <w:numId w:val="25"/>
        </w:numPr>
        <w:spacing w:line="360" w:lineRule="auto"/>
        <w:rPr>
          <w:sz w:val="28"/>
          <w:szCs w:val="28"/>
        </w:rPr>
      </w:pPr>
      <w:r>
        <w:rPr>
          <w:sz w:val="28"/>
          <w:szCs w:val="28"/>
        </w:rPr>
        <w:t xml:space="preserve">California Department of Education </w:t>
      </w:r>
      <w:r w:rsidR="00042834">
        <w:rPr>
          <w:sz w:val="28"/>
          <w:szCs w:val="28"/>
        </w:rPr>
        <w:t xml:space="preserve">(CDE) </w:t>
      </w:r>
      <w:r>
        <w:rPr>
          <w:sz w:val="28"/>
          <w:szCs w:val="28"/>
        </w:rPr>
        <w:t>English Learner</w:t>
      </w:r>
      <w:r w:rsidR="00042834">
        <w:rPr>
          <w:sz w:val="28"/>
          <w:szCs w:val="28"/>
        </w:rPr>
        <w:t xml:space="preserve"> – included information on the language spoken at home by students who </w:t>
      </w:r>
      <w:r w:rsidR="003210E2">
        <w:rPr>
          <w:sz w:val="28"/>
          <w:szCs w:val="28"/>
        </w:rPr>
        <w:t>we</w:t>
      </w:r>
      <w:r w:rsidR="00042834">
        <w:rPr>
          <w:sz w:val="28"/>
          <w:szCs w:val="28"/>
        </w:rPr>
        <w:t xml:space="preserve">re classified </w:t>
      </w:r>
      <w:r w:rsidR="00042834">
        <w:rPr>
          <w:sz w:val="28"/>
          <w:szCs w:val="28"/>
        </w:rPr>
        <w:lastRenderedPageBreak/>
        <w:t>as English language learners.  Provided an indication of the level of English proficiency in the associated households.</w:t>
      </w:r>
    </w:p>
    <w:p w:rsidR="00D962E6" w:rsidRPr="00D962E6" w:rsidRDefault="00D962E6" w:rsidP="00E3540D">
      <w:pPr>
        <w:pStyle w:val="ListParagraph"/>
        <w:numPr>
          <w:ilvl w:val="0"/>
          <w:numId w:val="25"/>
        </w:numPr>
        <w:spacing w:line="360" w:lineRule="auto"/>
        <w:rPr>
          <w:sz w:val="28"/>
          <w:szCs w:val="28"/>
        </w:rPr>
      </w:pPr>
      <w:r>
        <w:rPr>
          <w:sz w:val="28"/>
          <w:szCs w:val="28"/>
        </w:rPr>
        <w:t xml:space="preserve">San Diego County Department of Mental Health </w:t>
      </w:r>
      <w:r w:rsidR="00042834">
        <w:rPr>
          <w:sz w:val="28"/>
          <w:szCs w:val="28"/>
        </w:rPr>
        <w:t xml:space="preserve">(SDCDMH) </w:t>
      </w:r>
      <w:r>
        <w:rPr>
          <w:sz w:val="28"/>
          <w:szCs w:val="28"/>
        </w:rPr>
        <w:t>Database of Interpreter Services</w:t>
      </w:r>
      <w:r w:rsidR="00042834">
        <w:rPr>
          <w:sz w:val="28"/>
          <w:szCs w:val="28"/>
        </w:rPr>
        <w:t xml:space="preserve"> provided interpreters for individuals using its services through San Diego County.  SDCDMH tracked requests for interpreter services by language type, including languages not listed in the ACS or DOL datasets.  SANDAG determined that this data provided additional insight into other languages spoken in the region where individuals have reached out for government services but needed assistance due to limited English proficiency.</w:t>
      </w:r>
    </w:p>
    <w:p w:rsidR="005E0AF9" w:rsidRDefault="005E0AF9" w:rsidP="0038078B">
      <w:pPr>
        <w:spacing w:line="360" w:lineRule="auto"/>
        <w:rPr>
          <w:sz w:val="28"/>
          <w:szCs w:val="28"/>
        </w:rPr>
      </w:pPr>
    </w:p>
    <w:p w:rsidR="00044E4A" w:rsidRPr="00044E4A" w:rsidRDefault="00044E4A" w:rsidP="00044E4A">
      <w:pPr>
        <w:spacing w:line="360" w:lineRule="auto"/>
        <w:rPr>
          <w:sz w:val="28"/>
          <w:szCs w:val="28"/>
        </w:rPr>
      </w:pPr>
      <w:r w:rsidRPr="00044E4A">
        <w:rPr>
          <w:sz w:val="28"/>
          <w:szCs w:val="28"/>
        </w:rPr>
        <w:t xml:space="preserve">After analyzing the data from the five sources, SANDAG concluded that there were 13 specific languages in San Diego County with more than 1,000 individuals who </w:t>
      </w:r>
      <w:r w:rsidR="006E416D">
        <w:rPr>
          <w:sz w:val="28"/>
          <w:szCs w:val="28"/>
        </w:rPr>
        <w:t>were</w:t>
      </w:r>
      <w:r w:rsidR="006E416D" w:rsidRPr="00044E4A">
        <w:rPr>
          <w:sz w:val="28"/>
          <w:szCs w:val="28"/>
        </w:rPr>
        <w:t xml:space="preserve"> </w:t>
      </w:r>
      <w:r w:rsidRPr="00044E4A">
        <w:rPr>
          <w:sz w:val="28"/>
          <w:szCs w:val="28"/>
        </w:rPr>
        <w:t xml:space="preserve">Limited English Proficient.  The top five languages and corresponding </w:t>
      </w:r>
      <w:r w:rsidR="004D02BF">
        <w:rPr>
          <w:sz w:val="28"/>
          <w:szCs w:val="28"/>
        </w:rPr>
        <w:t xml:space="preserve">percentages of the total </w:t>
      </w:r>
      <w:r w:rsidRPr="00044E4A">
        <w:rPr>
          <w:sz w:val="28"/>
          <w:szCs w:val="28"/>
        </w:rPr>
        <w:t>population are as follows:</w:t>
      </w:r>
    </w:p>
    <w:p w:rsidR="00044E4A" w:rsidRPr="00044E4A" w:rsidRDefault="004D02BF" w:rsidP="00E3540D">
      <w:pPr>
        <w:pStyle w:val="ListParagraph"/>
        <w:numPr>
          <w:ilvl w:val="0"/>
          <w:numId w:val="24"/>
        </w:numPr>
        <w:spacing w:after="200" w:line="276" w:lineRule="auto"/>
        <w:contextualSpacing/>
        <w:rPr>
          <w:sz w:val="28"/>
          <w:szCs w:val="28"/>
        </w:rPr>
      </w:pPr>
      <w:r>
        <w:rPr>
          <w:sz w:val="28"/>
          <w:szCs w:val="28"/>
        </w:rPr>
        <w:t xml:space="preserve">Spanish </w:t>
      </w:r>
      <w:r w:rsidR="006E416D">
        <w:rPr>
          <w:sz w:val="28"/>
          <w:szCs w:val="28"/>
        </w:rPr>
        <w:t>–</w:t>
      </w:r>
      <w:r>
        <w:rPr>
          <w:sz w:val="28"/>
          <w:szCs w:val="28"/>
        </w:rPr>
        <w:t xml:space="preserve"> 5.4</w:t>
      </w:r>
      <w:r w:rsidR="006E416D">
        <w:rPr>
          <w:sz w:val="28"/>
          <w:szCs w:val="28"/>
        </w:rPr>
        <w:t>1 percent</w:t>
      </w:r>
    </w:p>
    <w:p w:rsidR="00044E4A" w:rsidRPr="00044E4A" w:rsidRDefault="00044E4A" w:rsidP="00E3540D">
      <w:pPr>
        <w:pStyle w:val="ListParagraph"/>
        <w:numPr>
          <w:ilvl w:val="0"/>
          <w:numId w:val="24"/>
        </w:numPr>
        <w:spacing w:after="200" w:line="276" w:lineRule="auto"/>
        <w:contextualSpacing/>
        <w:rPr>
          <w:sz w:val="28"/>
          <w:szCs w:val="28"/>
        </w:rPr>
      </w:pPr>
      <w:r w:rsidRPr="00044E4A">
        <w:rPr>
          <w:sz w:val="28"/>
          <w:szCs w:val="28"/>
        </w:rPr>
        <w:t xml:space="preserve">Vietnamese </w:t>
      </w:r>
      <w:r w:rsidR="006E416D">
        <w:rPr>
          <w:sz w:val="28"/>
          <w:szCs w:val="28"/>
        </w:rPr>
        <w:t xml:space="preserve">– </w:t>
      </w:r>
      <w:r w:rsidRPr="00044E4A">
        <w:rPr>
          <w:sz w:val="28"/>
          <w:szCs w:val="28"/>
        </w:rPr>
        <w:t>.38</w:t>
      </w:r>
      <w:r w:rsidR="006E416D">
        <w:rPr>
          <w:sz w:val="28"/>
          <w:szCs w:val="28"/>
        </w:rPr>
        <w:t xml:space="preserve"> percent</w:t>
      </w:r>
    </w:p>
    <w:p w:rsidR="00044E4A" w:rsidRPr="00044E4A" w:rsidRDefault="00044E4A" w:rsidP="00E3540D">
      <w:pPr>
        <w:pStyle w:val="ListParagraph"/>
        <w:numPr>
          <w:ilvl w:val="0"/>
          <w:numId w:val="24"/>
        </w:numPr>
        <w:spacing w:after="200" w:line="276" w:lineRule="auto"/>
        <w:contextualSpacing/>
        <w:rPr>
          <w:sz w:val="28"/>
          <w:szCs w:val="28"/>
        </w:rPr>
      </w:pPr>
      <w:r w:rsidRPr="00044E4A">
        <w:rPr>
          <w:sz w:val="28"/>
          <w:szCs w:val="28"/>
        </w:rPr>
        <w:t xml:space="preserve">Tagalog </w:t>
      </w:r>
      <w:r w:rsidR="006E416D">
        <w:rPr>
          <w:sz w:val="28"/>
          <w:szCs w:val="28"/>
        </w:rPr>
        <w:t xml:space="preserve">– </w:t>
      </w:r>
      <w:r w:rsidRPr="00044E4A">
        <w:rPr>
          <w:sz w:val="28"/>
          <w:szCs w:val="28"/>
        </w:rPr>
        <w:t>.24</w:t>
      </w:r>
      <w:r w:rsidR="006E416D">
        <w:rPr>
          <w:sz w:val="28"/>
          <w:szCs w:val="28"/>
        </w:rPr>
        <w:t xml:space="preserve"> percent</w:t>
      </w:r>
    </w:p>
    <w:p w:rsidR="00044E4A" w:rsidRDefault="00044E4A" w:rsidP="00E3540D">
      <w:pPr>
        <w:pStyle w:val="ListParagraph"/>
        <w:numPr>
          <w:ilvl w:val="0"/>
          <w:numId w:val="24"/>
        </w:numPr>
        <w:spacing w:after="200" w:line="276" w:lineRule="auto"/>
        <w:contextualSpacing/>
        <w:rPr>
          <w:sz w:val="28"/>
          <w:szCs w:val="28"/>
        </w:rPr>
      </w:pPr>
      <w:r w:rsidRPr="00044E4A">
        <w:rPr>
          <w:sz w:val="28"/>
          <w:szCs w:val="28"/>
        </w:rPr>
        <w:t xml:space="preserve">Chinese </w:t>
      </w:r>
      <w:r w:rsidR="006E416D">
        <w:rPr>
          <w:sz w:val="28"/>
          <w:szCs w:val="28"/>
        </w:rPr>
        <w:t>–</w:t>
      </w:r>
      <w:r w:rsidRPr="00044E4A">
        <w:rPr>
          <w:sz w:val="28"/>
          <w:szCs w:val="28"/>
        </w:rPr>
        <w:t xml:space="preserve"> .17</w:t>
      </w:r>
      <w:r w:rsidR="006E416D">
        <w:rPr>
          <w:sz w:val="28"/>
          <w:szCs w:val="28"/>
        </w:rPr>
        <w:t xml:space="preserve"> percent</w:t>
      </w:r>
    </w:p>
    <w:p w:rsidR="00044E4A" w:rsidRPr="00044E4A" w:rsidRDefault="00044E4A" w:rsidP="00E3540D">
      <w:pPr>
        <w:pStyle w:val="ListParagraph"/>
        <w:numPr>
          <w:ilvl w:val="0"/>
          <w:numId w:val="24"/>
        </w:numPr>
        <w:spacing w:after="200" w:line="276" w:lineRule="auto"/>
        <w:contextualSpacing/>
        <w:rPr>
          <w:sz w:val="28"/>
          <w:szCs w:val="28"/>
        </w:rPr>
      </w:pPr>
      <w:r w:rsidRPr="00044E4A">
        <w:rPr>
          <w:sz w:val="28"/>
          <w:szCs w:val="28"/>
        </w:rPr>
        <w:t xml:space="preserve">Korean </w:t>
      </w:r>
      <w:r w:rsidR="006E416D">
        <w:rPr>
          <w:sz w:val="28"/>
          <w:szCs w:val="28"/>
        </w:rPr>
        <w:t>–</w:t>
      </w:r>
      <w:r w:rsidRPr="00044E4A">
        <w:rPr>
          <w:sz w:val="28"/>
          <w:szCs w:val="28"/>
        </w:rPr>
        <w:t xml:space="preserve"> .09</w:t>
      </w:r>
      <w:r w:rsidR="006E416D">
        <w:rPr>
          <w:sz w:val="28"/>
          <w:szCs w:val="28"/>
        </w:rPr>
        <w:t xml:space="preserve"> percent</w:t>
      </w:r>
    </w:p>
    <w:p w:rsidR="007864A5" w:rsidRDefault="007864A5" w:rsidP="0038078B">
      <w:pPr>
        <w:spacing w:line="360" w:lineRule="auto"/>
        <w:rPr>
          <w:sz w:val="28"/>
          <w:szCs w:val="28"/>
        </w:rPr>
      </w:pPr>
    </w:p>
    <w:p w:rsidR="000B19E7" w:rsidRDefault="00044E4A" w:rsidP="00C9381F">
      <w:pPr>
        <w:spacing w:line="360" w:lineRule="auto"/>
        <w:rPr>
          <w:sz w:val="28"/>
          <w:szCs w:val="28"/>
        </w:rPr>
      </w:pPr>
      <w:r>
        <w:rPr>
          <w:sz w:val="28"/>
          <w:szCs w:val="28"/>
        </w:rPr>
        <w:t xml:space="preserve">The Review team confirmed </w:t>
      </w:r>
      <w:r w:rsidR="004D02BF">
        <w:rPr>
          <w:sz w:val="28"/>
          <w:szCs w:val="28"/>
        </w:rPr>
        <w:t>SANDAG underst</w:t>
      </w:r>
      <w:r w:rsidR="003210E2">
        <w:rPr>
          <w:sz w:val="28"/>
          <w:szCs w:val="28"/>
        </w:rPr>
        <w:t>oo</w:t>
      </w:r>
      <w:r w:rsidR="004D02BF">
        <w:rPr>
          <w:sz w:val="28"/>
          <w:szCs w:val="28"/>
        </w:rPr>
        <w:t>d</w:t>
      </w:r>
      <w:r w:rsidR="002B0A85">
        <w:rPr>
          <w:sz w:val="28"/>
          <w:szCs w:val="28"/>
        </w:rPr>
        <w:t xml:space="preserve"> </w:t>
      </w:r>
      <w:r w:rsidR="004D02BF">
        <w:rPr>
          <w:sz w:val="28"/>
          <w:szCs w:val="28"/>
        </w:rPr>
        <w:t>wh</w:t>
      </w:r>
      <w:r>
        <w:rPr>
          <w:sz w:val="28"/>
          <w:szCs w:val="28"/>
        </w:rPr>
        <w:t xml:space="preserve">at </w:t>
      </w:r>
      <w:r w:rsidR="003210E2">
        <w:rPr>
          <w:sz w:val="28"/>
          <w:szCs w:val="28"/>
        </w:rPr>
        <w:t>wa</w:t>
      </w:r>
      <w:r w:rsidR="002B0A85">
        <w:rPr>
          <w:sz w:val="28"/>
          <w:szCs w:val="28"/>
        </w:rPr>
        <w:t xml:space="preserve">s required by FTA Circular 4702.1A.IV.4 and recommended in the DOT LEP Guidance and communicated that it must provide a timetable for completing its </w:t>
      </w:r>
      <w:r w:rsidR="0060012B">
        <w:rPr>
          <w:sz w:val="28"/>
          <w:szCs w:val="28"/>
        </w:rPr>
        <w:t>four-factor</w:t>
      </w:r>
      <w:r w:rsidR="002B0A85">
        <w:rPr>
          <w:sz w:val="28"/>
          <w:szCs w:val="28"/>
        </w:rPr>
        <w:t xml:space="preserve"> analysis and Language Assistance Plan.  The </w:t>
      </w:r>
      <w:r w:rsidR="000B19E7">
        <w:rPr>
          <w:sz w:val="28"/>
          <w:szCs w:val="28"/>
        </w:rPr>
        <w:t>following table shows</w:t>
      </w:r>
      <w:r w:rsidR="002B0A85">
        <w:rPr>
          <w:sz w:val="28"/>
          <w:szCs w:val="28"/>
        </w:rPr>
        <w:t xml:space="preserve"> what SANDAG needs to do to fully </w:t>
      </w:r>
      <w:r>
        <w:rPr>
          <w:sz w:val="28"/>
          <w:szCs w:val="28"/>
        </w:rPr>
        <w:t xml:space="preserve">comply </w:t>
      </w:r>
      <w:r w:rsidR="002B0A85">
        <w:rPr>
          <w:sz w:val="28"/>
          <w:szCs w:val="28"/>
        </w:rPr>
        <w:t>with the Circular:</w:t>
      </w:r>
    </w:p>
    <w:p w:rsidR="002B0DFD" w:rsidRDefault="002B0DFD" w:rsidP="0038078B">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38"/>
        <w:gridCol w:w="1530"/>
        <w:gridCol w:w="3438"/>
      </w:tblGrid>
      <w:tr w:rsidR="000B19E7" w:rsidRPr="00DD4E72" w:rsidTr="00483CBF">
        <w:trPr>
          <w:cantSplit/>
          <w:trHeight w:val="561"/>
          <w:tblHeader/>
        </w:trPr>
        <w:tc>
          <w:tcPr>
            <w:tcW w:w="9306" w:type="dxa"/>
            <w:gridSpan w:val="3"/>
            <w:tcBorders>
              <w:bottom w:val="single" w:sz="4" w:space="0" w:color="000000"/>
            </w:tcBorders>
          </w:tcPr>
          <w:p w:rsidR="000B19E7" w:rsidRPr="00DD4E72" w:rsidRDefault="000B19E7" w:rsidP="00483CBF">
            <w:pPr>
              <w:jc w:val="center"/>
              <w:rPr>
                <w:b/>
                <w:bCs/>
                <w:szCs w:val="28"/>
              </w:rPr>
            </w:pPr>
            <w:r w:rsidRPr="00DD4E72">
              <w:rPr>
                <w:b/>
                <w:bCs/>
                <w:szCs w:val="28"/>
              </w:rPr>
              <w:lastRenderedPageBreak/>
              <w:t xml:space="preserve">Elements Required for LEP </w:t>
            </w:r>
            <w:r w:rsidR="0060012B">
              <w:rPr>
                <w:b/>
                <w:bCs/>
                <w:szCs w:val="28"/>
              </w:rPr>
              <w:t>Four-Factor Analysis</w:t>
            </w:r>
            <w:r w:rsidRPr="00DD4E72">
              <w:rPr>
                <w:b/>
                <w:bCs/>
                <w:szCs w:val="28"/>
              </w:rPr>
              <w:t xml:space="preserve"> and Language Access Plan </w:t>
            </w:r>
          </w:p>
          <w:p w:rsidR="000B19E7" w:rsidRPr="00DD4E72" w:rsidRDefault="000B19E7" w:rsidP="00483CBF">
            <w:pPr>
              <w:jc w:val="center"/>
              <w:rPr>
                <w:b/>
                <w:bCs/>
                <w:szCs w:val="28"/>
              </w:rPr>
            </w:pPr>
            <w:r w:rsidRPr="00DD4E72">
              <w:rPr>
                <w:b/>
                <w:bCs/>
                <w:szCs w:val="28"/>
              </w:rPr>
              <w:t>(Per FTA C. 4702.1A, IV, 4. a. and DOT Policy Guidance)</w:t>
            </w:r>
          </w:p>
        </w:tc>
      </w:tr>
      <w:tr w:rsidR="000B19E7" w:rsidRPr="00DD4E72" w:rsidTr="00483CBF">
        <w:trPr>
          <w:cantSplit/>
          <w:trHeight w:val="561"/>
        </w:trPr>
        <w:tc>
          <w:tcPr>
            <w:tcW w:w="4338" w:type="dxa"/>
            <w:tcBorders>
              <w:bottom w:val="single" w:sz="4" w:space="0" w:color="000000"/>
            </w:tcBorders>
          </w:tcPr>
          <w:p w:rsidR="000B19E7" w:rsidRPr="00DD4E72" w:rsidRDefault="000B19E7" w:rsidP="00483CBF">
            <w:pPr>
              <w:rPr>
                <w:b/>
                <w:bCs/>
                <w:szCs w:val="28"/>
              </w:rPr>
            </w:pPr>
          </w:p>
        </w:tc>
        <w:tc>
          <w:tcPr>
            <w:tcW w:w="1530" w:type="dxa"/>
            <w:tcBorders>
              <w:bottom w:val="single" w:sz="4" w:space="0" w:color="000000"/>
            </w:tcBorders>
          </w:tcPr>
          <w:p w:rsidR="000B19E7" w:rsidRPr="00DD4E72" w:rsidRDefault="000B19E7" w:rsidP="00483CBF">
            <w:pPr>
              <w:jc w:val="center"/>
              <w:rPr>
                <w:b/>
                <w:bCs/>
                <w:szCs w:val="28"/>
              </w:rPr>
            </w:pPr>
            <w:r>
              <w:rPr>
                <w:b/>
                <w:bCs/>
                <w:szCs w:val="28"/>
              </w:rPr>
              <w:t>Included in SANDAG’s</w:t>
            </w:r>
          </w:p>
          <w:p w:rsidR="000B19E7" w:rsidRPr="00DD4E72" w:rsidRDefault="000B19E7" w:rsidP="00483CBF">
            <w:pPr>
              <w:jc w:val="center"/>
              <w:rPr>
                <w:b/>
                <w:bCs/>
                <w:szCs w:val="28"/>
              </w:rPr>
            </w:pPr>
            <w:r w:rsidRPr="00DD4E72">
              <w:rPr>
                <w:b/>
                <w:bCs/>
                <w:szCs w:val="28"/>
              </w:rPr>
              <w:t xml:space="preserve">Plan </w:t>
            </w:r>
          </w:p>
        </w:tc>
        <w:tc>
          <w:tcPr>
            <w:tcW w:w="3438" w:type="dxa"/>
            <w:tcBorders>
              <w:bottom w:val="single" w:sz="4" w:space="0" w:color="000000"/>
            </w:tcBorders>
          </w:tcPr>
          <w:p w:rsidR="000B19E7" w:rsidRPr="00DD4E72" w:rsidRDefault="000B19E7" w:rsidP="00483CBF">
            <w:pPr>
              <w:jc w:val="center"/>
              <w:rPr>
                <w:b/>
                <w:bCs/>
                <w:szCs w:val="28"/>
              </w:rPr>
            </w:pPr>
            <w:r w:rsidRPr="00DD4E72">
              <w:rPr>
                <w:b/>
                <w:bCs/>
                <w:szCs w:val="28"/>
              </w:rPr>
              <w:t>Notes/Comments</w:t>
            </w:r>
          </w:p>
        </w:tc>
      </w:tr>
      <w:tr w:rsidR="000B19E7" w:rsidRPr="00DD4E72" w:rsidTr="00483CBF">
        <w:trPr>
          <w:cantSplit/>
        </w:trPr>
        <w:tc>
          <w:tcPr>
            <w:tcW w:w="9306" w:type="dxa"/>
            <w:gridSpan w:val="3"/>
          </w:tcPr>
          <w:p w:rsidR="000B19E7" w:rsidRPr="00DD4E72" w:rsidRDefault="0060012B" w:rsidP="00483CBF">
            <w:pPr>
              <w:jc w:val="center"/>
              <w:rPr>
                <w:b/>
                <w:sz w:val="22"/>
                <w:szCs w:val="28"/>
              </w:rPr>
            </w:pPr>
            <w:r>
              <w:rPr>
                <w:b/>
                <w:sz w:val="22"/>
                <w:szCs w:val="28"/>
              </w:rPr>
              <w:t>Part A – Four-Factor Analysis</w:t>
            </w:r>
          </w:p>
        </w:tc>
      </w:tr>
      <w:tr w:rsidR="000B19E7" w:rsidRPr="00DD4E72" w:rsidTr="00483CBF">
        <w:trPr>
          <w:cantSplit/>
        </w:trPr>
        <w:tc>
          <w:tcPr>
            <w:tcW w:w="4338" w:type="dxa"/>
          </w:tcPr>
          <w:p w:rsidR="000B19E7" w:rsidRPr="00DD4E72" w:rsidRDefault="000B19E7" w:rsidP="000B19E7">
            <w:pPr>
              <w:numPr>
                <w:ilvl w:val="0"/>
                <w:numId w:val="10"/>
              </w:numPr>
              <w:rPr>
                <w:sz w:val="22"/>
                <w:szCs w:val="28"/>
              </w:rPr>
            </w:pPr>
            <w:r w:rsidRPr="00DD4E72">
              <w:rPr>
                <w:sz w:val="22"/>
                <w:szCs w:val="28"/>
              </w:rPr>
              <w:t>Demography –The number or proportion of LEP persons eligible to be served or likely to be encountered</w:t>
            </w:r>
          </w:p>
        </w:tc>
        <w:tc>
          <w:tcPr>
            <w:tcW w:w="1530" w:type="dxa"/>
          </w:tcPr>
          <w:p w:rsidR="000B19E7" w:rsidRPr="00DD4E72" w:rsidRDefault="000B19E7" w:rsidP="00483CBF">
            <w:pPr>
              <w:jc w:val="center"/>
              <w:rPr>
                <w:sz w:val="22"/>
                <w:szCs w:val="28"/>
              </w:rPr>
            </w:pPr>
            <w:r>
              <w:rPr>
                <w:sz w:val="22"/>
                <w:szCs w:val="28"/>
              </w:rPr>
              <w:t>Yes</w:t>
            </w:r>
          </w:p>
        </w:tc>
        <w:tc>
          <w:tcPr>
            <w:tcW w:w="3438" w:type="dxa"/>
          </w:tcPr>
          <w:p w:rsidR="000B19E7" w:rsidRPr="009D79F7" w:rsidRDefault="000B19E7" w:rsidP="007864A5">
            <w:pPr>
              <w:jc w:val="center"/>
              <w:rPr>
                <w:sz w:val="22"/>
                <w:szCs w:val="22"/>
              </w:rPr>
            </w:pPr>
          </w:p>
        </w:tc>
      </w:tr>
      <w:tr w:rsidR="000B19E7" w:rsidRPr="00DD4E72" w:rsidTr="00483CBF">
        <w:trPr>
          <w:cantSplit/>
        </w:trPr>
        <w:tc>
          <w:tcPr>
            <w:tcW w:w="4338" w:type="dxa"/>
          </w:tcPr>
          <w:p w:rsidR="000B19E7" w:rsidRPr="00DD4E72" w:rsidRDefault="000B19E7" w:rsidP="000B19E7">
            <w:pPr>
              <w:numPr>
                <w:ilvl w:val="0"/>
                <w:numId w:val="10"/>
              </w:numPr>
              <w:rPr>
                <w:sz w:val="22"/>
                <w:szCs w:val="28"/>
              </w:rPr>
            </w:pPr>
            <w:r w:rsidRPr="00DD4E72">
              <w:rPr>
                <w:sz w:val="22"/>
                <w:szCs w:val="28"/>
              </w:rPr>
              <w:t xml:space="preserve">Frequency of Contact  - </w:t>
            </w:r>
            <w:r w:rsidRPr="00DD4E72">
              <w:rPr>
                <w:sz w:val="22"/>
              </w:rPr>
              <w:t>the frequency with which LEP individuals come in contact with the program and/or activities</w:t>
            </w:r>
          </w:p>
        </w:tc>
        <w:tc>
          <w:tcPr>
            <w:tcW w:w="1530" w:type="dxa"/>
          </w:tcPr>
          <w:p w:rsidR="000B19E7" w:rsidRPr="00DD4E72" w:rsidRDefault="000B19E7" w:rsidP="00483CBF">
            <w:pPr>
              <w:jc w:val="center"/>
              <w:rPr>
                <w:sz w:val="22"/>
                <w:szCs w:val="28"/>
              </w:rPr>
            </w:pPr>
            <w:r>
              <w:rPr>
                <w:sz w:val="22"/>
                <w:szCs w:val="28"/>
              </w:rPr>
              <w:t>No</w:t>
            </w:r>
          </w:p>
        </w:tc>
        <w:tc>
          <w:tcPr>
            <w:tcW w:w="3438" w:type="dxa"/>
          </w:tcPr>
          <w:p w:rsidR="000B19E7" w:rsidRPr="00DD4E72" w:rsidRDefault="007864A5" w:rsidP="007864A5">
            <w:pPr>
              <w:jc w:val="center"/>
              <w:rPr>
                <w:sz w:val="22"/>
                <w:szCs w:val="28"/>
              </w:rPr>
            </w:pPr>
            <w:r>
              <w:rPr>
                <w:sz w:val="22"/>
                <w:szCs w:val="28"/>
              </w:rPr>
              <w:t>No analysis conducted.</w:t>
            </w:r>
          </w:p>
        </w:tc>
      </w:tr>
      <w:tr w:rsidR="000B19E7" w:rsidRPr="00DD4E72" w:rsidTr="00483CBF">
        <w:trPr>
          <w:cantSplit/>
        </w:trPr>
        <w:tc>
          <w:tcPr>
            <w:tcW w:w="4338" w:type="dxa"/>
          </w:tcPr>
          <w:p w:rsidR="000B19E7" w:rsidRPr="00DD4E72" w:rsidRDefault="000B19E7" w:rsidP="000B19E7">
            <w:pPr>
              <w:numPr>
                <w:ilvl w:val="0"/>
                <w:numId w:val="10"/>
              </w:numPr>
              <w:rPr>
                <w:sz w:val="22"/>
                <w:szCs w:val="28"/>
              </w:rPr>
            </w:pPr>
            <w:r w:rsidRPr="00DD4E72">
              <w:rPr>
                <w:sz w:val="22"/>
              </w:rPr>
              <w:t>Importance - the nature and importance of the program, activity, or service to people's lives;</w:t>
            </w:r>
          </w:p>
        </w:tc>
        <w:tc>
          <w:tcPr>
            <w:tcW w:w="1530" w:type="dxa"/>
          </w:tcPr>
          <w:p w:rsidR="000B19E7" w:rsidRPr="00DD4E72" w:rsidRDefault="000B19E7" w:rsidP="00483CBF">
            <w:pPr>
              <w:jc w:val="center"/>
              <w:rPr>
                <w:sz w:val="22"/>
                <w:szCs w:val="28"/>
              </w:rPr>
            </w:pPr>
            <w:r>
              <w:rPr>
                <w:sz w:val="22"/>
                <w:szCs w:val="28"/>
              </w:rPr>
              <w:t>No</w:t>
            </w:r>
          </w:p>
        </w:tc>
        <w:tc>
          <w:tcPr>
            <w:tcW w:w="3438" w:type="dxa"/>
          </w:tcPr>
          <w:p w:rsidR="000B19E7" w:rsidRPr="009D79F7" w:rsidRDefault="007864A5" w:rsidP="007864A5">
            <w:pPr>
              <w:jc w:val="center"/>
              <w:rPr>
                <w:sz w:val="22"/>
                <w:szCs w:val="22"/>
              </w:rPr>
            </w:pPr>
            <w:r>
              <w:rPr>
                <w:sz w:val="22"/>
                <w:szCs w:val="22"/>
              </w:rPr>
              <w:t>No analysis conducted</w:t>
            </w:r>
          </w:p>
        </w:tc>
      </w:tr>
      <w:tr w:rsidR="000B19E7" w:rsidRPr="00DD4E72" w:rsidTr="00483CBF">
        <w:trPr>
          <w:cantSplit/>
        </w:trPr>
        <w:tc>
          <w:tcPr>
            <w:tcW w:w="4338" w:type="dxa"/>
          </w:tcPr>
          <w:p w:rsidR="000B19E7" w:rsidRPr="00DD4E72" w:rsidRDefault="000B19E7" w:rsidP="000B19E7">
            <w:pPr>
              <w:numPr>
                <w:ilvl w:val="0"/>
                <w:numId w:val="10"/>
              </w:numPr>
              <w:rPr>
                <w:sz w:val="22"/>
                <w:szCs w:val="28"/>
              </w:rPr>
            </w:pPr>
            <w:r w:rsidRPr="00DD4E72">
              <w:rPr>
                <w:sz w:val="22"/>
              </w:rPr>
              <w:t>Resources - the resources available and costs</w:t>
            </w:r>
          </w:p>
        </w:tc>
        <w:tc>
          <w:tcPr>
            <w:tcW w:w="1530" w:type="dxa"/>
          </w:tcPr>
          <w:p w:rsidR="000B19E7" w:rsidRPr="00DD4E72" w:rsidRDefault="000B19E7" w:rsidP="00483CBF">
            <w:pPr>
              <w:jc w:val="center"/>
              <w:rPr>
                <w:sz w:val="22"/>
                <w:szCs w:val="28"/>
              </w:rPr>
            </w:pPr>
            <w:r>
              <w:rPr>
                <w:sz w:val="22"/>
                <w:szCs w:val="28"/>
              </w:rPr>
              <w:t>No</w:t>
            </w:r>
          </w:p>
        </w:tc>
        <w:tc>
          <w:tcPr>
            <w:tcW w:w="3438" w:type="dxa"/>
          </w:tcPr>
          <w:p w:rsidR="000B19E7" w:rsidRPr="00DD4E72" w:rsidRDefault="007864A5" w:rsidP="007864A5">
            <w:pPr>
              <w:jc w:val="center"/>
              <w:rPr>
                <w:sz w:val="22"/>
                <w:szCs w:val="28"/>
              </w:rPr>
            </w:pPr>
            <w:r>
              <w:rPr>
                <w:sz w:val="22"/>
                <w:szCs w:val="28"/>
              </w:rPr>
              <w:t>No analysis conducted.</w:t>
            </w:r>
          </w:p>
        </w:tc>
      </w:tr>
      <w:tr w:rsidR="000B19E7" w:rsidRPr="00DD4E72" w:rsidTr="00483CBF">
        <w:trPr>
          <w:cantSplit/>
        </w:trPr>
        <w:tc>
          <w:tcPr>
            <w:tcW w:w="9306" w:type="dxa"/>
            <w:gridSpan w:val="3"/>
          </w:tcPr>
          <w:p w:rsidR="000B19E7" w:rsidRPr="00DD4E72" w:rsidRDefault="000B19E7" w:rsidP="00483CBF">
            <w:pPr>
              <w:jc w:val="center"/>
              <w:rPr>
                <w:sz w:val="22"/>
                <w:szCs w:val="28"/>
              </w:rPr>
            </w:pPr>
            <w:r w:rsidRPr="00DD4E72">
              <w:rPr>
                <w:sz w:val="22"/>
                <w:szCs w:val="28"/>
              </w:rPr>
              <w:t>Part B - Develop Language Assistance Plan</w:t>
            </w:r>
          </w:p>
        </w:tc>
      </w:tr>
      <w:tr w:rsidR="000B19E7" w:rsidRPr="00DD4E72" w:rsidTr="00483CBF">
        <w:trPr>
          <w:cantSplit/>
        </w:trPr>
        <w:tc>
          <w:tcPr>
            <w:tcW w:w="4338" w:type="dxa"/>
          </w:tcPr>
          <w:p w:rsidR="000B19E7" w:rsidRPr="00DD4E72" w:rsidRDefault="000B19E7" w:rsidP="000B19E7">
            <w:pPr>
              <w:numPr>
                <w:ilvl w:val="0"/>
                <w:numId w:val="11"/>
              </w:numPr>
              <w:rPr>
                <w:sz w:val="22"/>
                <w:szCs w:val="28"/>
              </w:rPr>
            </w:pPr>
            <w:r w:rsidRPr="00DD4E72">
              <w:rPr>
                <w:sz w:val="22"/>
                <w:szCs w:val="28"/>
              </w:rPr>
              <w:t>Identification of LEP Persons</w:t>
            </w:r>
          </w:p>
        </w:tc>
        <w:tc>
          <w:tcPr>
            <w:tcW w:w="1530" w:type="dxa"/>
          </w:tcPr>
          <w:p w:rsidR="000B19E7" w:rsidRPr="00DD4E72" w:rsidRDefault="000B19E7" w:rsidP="00483CBF">
            <w:pPr>
              <w:jc w:val="center"/>
              <w:rPr>
                <w:sz w:val="22"/>
                <w:szCs w:val="28"/>
              </w:rPr>
            </w:pPr>
            <w:r>
              <w:rPr>
                <w:sz w:val="22"/>
                <w:szCs w:val="28"/>
              </w:rPr>
              <w:t>No</w:t>
            </w:r>
          </w:p>
        </w:tc>
        <w:tc>
          <w:tcPr>
            <w:tcW w:w="3438" w:type="dxa"/>
          </w:tcPr>
          <w:p w:rsidR="000B19E7" w:rsidRPr="00DD4E72" w:rsidRDefault="000B19E7" w:rsidP="00483CBF">
            <w:pPr>
              <w:jc w:val="center"/>
              <w:rPr>
                <w:sz w:val="22"/>
                <w:szCs w:val="28"/>
              </w:rPr>
            </w:pPr>
            <w:r>
              <w:rPr>
                <w:sz w:val="22"/>
                <w:szCs w:val="28"/>
              </w:rPr>
              <w:t>No LAP Plan</w:t>
            </w:r>
          </w:p>
        </w:tc>
      </w:tr>
      <w:tr w:rsidR="000B19E7" w:rsidRPr="00DD4E72" w:rsidTr="00483CBF">
        <w:trPr>
          <w:cantSplit/>
        </w:trPr>
        <w:tc>
          <w:tcPr>
            <w:tcW w:w="4338" w:type="dxa"/>
          </w:tcPr>
          <w:p w:rsidR="000B19E7" w:rsidRPr="00DD4E72" w:rsidRDefault="000B19E7" w:rsidP="000B19E7">
            <w:pPr>
              <w:numPr>
                <w:ilvl w:val="0"/>
                <w:numId w:val="11"/>
              </w:numPr>
              <w:rPr>
                <w:sz w:val="22"/>
                <w:szCs w:val="28"/>
              </w:rPr>
            </w:pPr>
            <w:r w:rsidRPr="00DD4E72">
              <w:rPr>
                <w:sz w:val="22"/>
                <w:szCs w:val="28"/>
              </w:rPr>
              <w:t>Language Assistance Measures</w:t>
            </w:r>
          </w:p>
        </w:tc>
        <w:tc>
          <w:tcPr>
            <w:tcW w:w="1530" w:type="dxa"/>
          </w:tcPr>
          <w:p w:rsidR="000B19E7" w:rsidRPr="00DD4E72" w:rsidRDefault="000B19E7" w:rsidP="00483CBF">
            <w:pPr>
              <w:jc w:val="center"/>
              <w:rPr>
                <w:sz w:val="22"/>
                <w:szCs w:val="28"/>
              </w:rPr>
            </w:pPr>
            <w:r>
              <w:rPr>
                <w:sz w:val="22"/>
                <w:szCs w:val="28"/>
              </w:rPr>
              <w:t>No</w:t>
            </w:r>
          </w:p>
        </w:tc>
        <w:tc>
          <w:tcPr>
            <w:tcW w:w="3438" w:type="dxa"/>
          </w:tcPr>
          <w:p w:rsidR="000B19E7" w:rsidRPr="00DD4E72" w:rsidRDefault="000B19E7" w:rsidP="00483CBF">
            <w:pPr>
              <w:jc w:val="center"/>
              <w:rPr>
                <w:sz w:val="22"/>
                <w:szCs w:val="28"/>
              </w:rPr>
            </w:pPr>
            <w:r>
              <w:rPr>
                <w:sz w:val="22"/>
                <w:szCs w:val="28"/>
              </w:rPr>
              <w:t>No LAP Plan</w:t>
            </w:r>
          </w:p>
        </w:tc>
      </w:tr>
      <w:tr w:rsidR="000B19E7" w:rsidRPr="00DD4E72" w:rsidTr="00483CBF">
        <w:trPr>
          <w:cantSplit/>
        </w:trPr>
        <w:tc>
          <w:tcPr>
            <w:tcW w:w="4338" w:type="dxa"/>
          </w:tcPr>
          <w:p w:rsidR="000B19E7" w:rsidRPr="00DD4E72" w:rsidRDefault="000B19E7" w:rsidP="000B19E7">
            <w:pPr>
              <w:numPr>
                <w:ilvl w:val="0"/>
                <w:numId w:val="11"/>
              </w:numPr>
              <w:rPr>
                <w:sz w:val="22"/>
                <w:szCs w:val="28"/>
              </w:rPr>
            </w:pPr>
            <w:r w:rsidRPr="00DD4E72">
              <w:rPr>
                <w:sz w:val="22"/>
                <w:szCs w:val="28"/>
              </w:rPr>
              <w:t>Training of Staff</w:t>
            </w:r>
          </w:p>
        </w:tc>
        <w:tc>
          <w:tcPr>
            <w:tcW w:w="1530" w:type="dxa"/>
          </w:tcPr>
          <w:p w:rsidR="000B19E7" w:rsidRPr="00DD4E72" w:rsidRDefault="000B19E7" w:rsidP="00483CBF">
            <w:pPr>
              <w:jc w:val="center"/>
              <w:rPr>
                <w:sz w:val="22"/>
                <w:szCs w:val="28"/>
              </w:rPr>
            </w:pPr>
            <w:r>
              <w:rPr>
                <w:sz w:val="22"/>
                <w:szCs w:val="28"/>
              </w:rPr>
              <w:t>No</w:t>
            </w:r>
          </w:p>
        </w:tc>
        <w:tc>
          <w:tcPr>
            <w:tcW w:w="3438" w:type="dxa"/>
          </w:tcPr>
          <w:p w:rsidR="000B19E7" w:rsidRDefault="000B19E7" w:rsidP="00483CBF">
            <w:pPr>
              <w:jc w:val="center"/>
            </w:pPr>
            <w:r w:rsidRPr="006A0A0E">
              <w:rPr>
                <w:sz w:val="22"/>
                <w:szCs w:val="28"/>
              </w:rPr>
              <w:t>No LAP Plan</w:t>
            </w:r>
          </w:p>
        </w:tc>
      </w:tr>
      <w:tr w:rsidR="000B19E7" w:rsidRPr="00DD4E72" w:rsidTr="00483CBF">
        <w:trPr>
          <w:cantSplit/>
        </w:trPr>
        <w:tc>
          <w:tcPr>
            <w:tcW w:w="4338" w:type="dxa"/>
          </w:tcPr>
          <w:p w:rsidR="000B19E7" w:rsidRPr="00DD4E72" w:rsidRDefault="000B19E7" w:rsidP="000B19E7">
            <w:pPr>
              <w:numPr>
                <w:ilvl w:val="0"/>
                <w:numId w:val="11"/>
              </w:numPr>
              <w:rPr>
                <w:sz w:val="22"/>
                <w:szCs w:val="28"/>
              </w:rPr>
            </w:pPr>
            <w:r w:rsidRPr="00DD4E72">
              <w:rPr>
                <w:sz w:val="22"/>
                <w:szCs w:val="28"/>
              </w:rPr>
              <w:t>Provide Notice to LEP Persons</w:t>
            </w:r>
          </w:p>
        </w:tc>
        <w:tc>
          <w:tcPr>
            <w:tcW w:w="1530" w:type="dxa"/>
          </w:tcPr>
          <w:p w:rsidR="000B19E7" w:rsidRPr="00DD4E72" w:rsidRDefault="000B19E7" w:rsidP="00483CBF">
            <w:pPr>
              <w:jc w:val="center"/>
              <w:rPr>
                <w:sz w:val="22"/>
                <w:szCs w:val="28"/>
              </w:rPr>
            </w:pPr>
            <w:r>
              <w:rPr>
                <w:sz w:val="22"/>
                <w:szCs w:val="28"/>
              </w:rPr>
              <w:t>No</w:t>
            </w:r>
          </w:p>
        </w:tc>
        <w:tc>
          <w:tcPr>
            <w:tcW w:w="3438" w:type="dxa"/>
          </w:tcPr>
          <w:p w:rsidR="000B19E7" w:rsidRDefault="000B19E7" w:rsidP="00483CBF">
            <w:pPr>
              <w:jc w:val="center"/>
            </w:pPr>
            <w:r w:rsidRPr="006A0A0E">
              <w:rPr>
                <w:sz w:val="22"/>
                <w:szCs w:val="28"/>
              </w:rPr>
              <w:t>No LAP Plan</w:t>
            </w:r>
          </w:p>
        </w:tc>
      </w:tr>
      <w:tr w:rsidR="000B19E7" w:rsidRPr="00DD4E72" w:rsidTr="00483CBF">
        <w:trPr>
          <w:cantSplit/>
        </w:trPr>
        <w:tc>
          <w:tcPr>
            <w:tcW w:w="4338" w:type="dxa"/>
          </w:tcPr>
          <w:p w:rsidR="000B19E7" w:rsidRPr="00DD4E72" w:rsidRDefault="000B19E7" w:rsidP="000B19E7">
            <w:pPr>
              <w:numPr>
                <w:ilvl w:val="0"/>
                <w:numId w:val="11"/>
              </w:numPr>
              <w:rPr>
                <w:sz w:val="22"/>
                <w:szCs w:val="28"/>
              </w:rPr>
            </w:pPr>
            <w:r w:rsidRPr="00DD4E72">
              <w:rPr>
                <w:sz w:val="22"/>
                <w:szCs w:val="28"/>
              </w:rPr>
              <w:t>Monitor and Update the LAP</w:t>
            </w:r>
          </w:p>
        </w:tc>
        <w:tc>
          <w:tcPr>
            <w:tcW w:w="1530" w:type="dxa"/>
          </w:tcPr>
          <w:p w:rsidR="000B19E7" w:rsidRPr="00DD4E72" w:rsidRDefault="000B19E7" w:rsidP="00483CBF">
            <w:pPr>
              <w:jc w:val="center"/>
              <w:rPr>
                <w:sz w:val="22"/>
                <w:szCs w:val="28"/>
              </w:rPr>
            </w:pPr>
            <w:r>
              <w:rPr>
                <w:sz w:val="22"/>
                <w:szCs w:val="28"/>
              </w:rPr>
              <w:t>No</w:t>
            </w:r>
          </w:p>
        </w:tc>
        <w:tc>
          <w:tcPr>
            <w:tcW w:w="3438" w:type="dxa"/>
          </w:tcPr>
          <w:p w:rsidR="000B19E7" w:rsidRDefault="000B19E7" w:rsidP="00483CBF">
            <w:pPr>
              <w:jc w:val="center"/>
            </w:pPr>
            <w:r w:rsidRPr="006A0A0E">
              <w:rPr>
                <w:sz w:val="22"/>
                <w:szCs w:val="28"/>
              </w:rPr>
              <w:t>No LAP Plan</w:t>
            </w:r>
          </w:p>
        </w:tc>
      </w:tr>
    </w:tbl>
    <w:p w:rsidR="00664E30" w:rsidRDefault="00664E30" w:rsidP="00FC6992">
      <w:pPr>
        <w:spacing w:line="360" w:lineRule="auto"/>
        <w:rPr>
          <w:sz w:val="28"/>
          <w:szCs w:val="28"/>
        </w:rPr>
      </w:pPr>
    </w:p>
    <w:p w:rsidR="00F26C66" w:rsidRDefault="00552B51" w:rsidP="00FC6992">
      <w:pPr>
        <w:spacing w:line="360" w:lineRule="auto"/>
        <w:rPr>
          <w:sz w:val="28"/>
          <w:szCs w:val="28"/>
        </w:rPr>
      </w:pPr>
      <w:r>
        <w:rPr>
          <w:sz w:val="28"/>
          <w:szCs w:val="28"/>
        </w:rPr>
        <w:t xml:space="preserve">In response </w:t>
      </w:r>
      <w:r w:rsidR="008E716D">
        <w:rPr>
          <w:sz w:val="28"/>
          <w:szCs w:val="28"/>
        </w:rPr>
        <w:t xml:space="preserve">to </w:t>
      </w:r>
      <w:r>
        <w:rPr>
          <w:sz w:val="28"/>
          <w:szCs w:val="28"/>
        </w:rPr>
        <w:t xml:space="preserve">the Draft report in a letter dated September 30, 2011, </w:t>
      </w:r>
      <w:r w:rsidR="00752E59">
        <w:rPr>
          <w:sz w:val="28"/>
          <w:szCs w:val="28"/>
        </w:rPr>
        <w:t xml:space="preserve">SANDAG stated that it has taken the following steps to complete its </w:t>
      </w:r>
      <w:r w:rsidR="0060012B">
        <w:rPr>
          <w:sz w:val="28"/>
          <w:szCs w:val="28"/>
        </w:rPr>
        <w:t>four-factor</w:t>
      </w:r>
      <w:r w:rsidR="00752E59">
        <w:rPr>
          <w:sz w:val="28"/>
          <w:szCs w:val="28"/>
        </w:rPr>
        <w:t xml:space="preserve"> analysis and LAP:</w:t>
      </w:r>
    </w:p>
    <w:p w:rsidR="00A557D1" w:rsidRDefault="00A557D1" w:rsidP="00FC6992">
      <w:pPr>
        <w:spacing w:line="360" w:lineRule="auto"/>
        <w:rPr>
          <w:sz w:val="28"/>
          <w:szCs w:val="28"/>
        </w:rPr>
      </w:pPr>
    </w:p>
    <w:p w:rsidR="00752E59" w:rsidRPr="00A557D1" w:rsidRDefault="00752E59" w:rsidP="00A557D1">
      <w:pPr>
        <w:pStyle w:val="ListParagraph"/>
        <w:numPr>
          <w:ilvl w:val="0"/>
          <w:numId w:val="30"/>
        </w:numPr>
        <w:spacing w:after="240"/>
        <w:rPr>
          <w:i/>
          <w:sz w:val="28"/>
          <w:szCs w:val="28"/>
        </w:rPr>
      </w:pPr>
      <w:r w:rsidRPr="00A557D1">
        <w:rPr>
          <w:i/>
          <w:sz w:val="28"/>
          <w:szCs w:val="28"/>
        </w:rPr>
        <w:t>In May 2011 the SANDAG Board of Directors approved a new work element in the Overall Work Plan for FY 2012 dedicated to enhancing Title VI and Environmental Justice analysis and communications.  SANDAG planning, research, legal, and communications staffs are assigned to work on this effort.</w:t>
      </w:r>
    </w:p>
    <w:p w:rsidR="00752E59" w:rsidRPr="00A557D1" w:rsidRDefault="00752E59" w:rsidP="00A557D1">
      <w:pPr>
        <w:pStyle w:val="ListParagraph"/>
        <w:numPr>
          <w:ilvl w:val="0"/>
          <w:numId w:val="30"/>
        </w:numPr>
        <w:spacing w:after="240"/>
        <w:rPr>
          <w:i/>
          <w:sz w:val="28"/>
          <w:szCs w:val="28"/>
        </w:rPr>
      </w:pPr>
      <w:r w:rsidRPr="00A557D1">
        <w:rPr>
          <w:i/>
          <w:sz w:val="28"/>
          <w:szCs w:val="28"/>
        </w:rPr>
        <w:t>Several meetings were held with staff of the two transit operators in the region between April and September 2011 to coordinate exchange of information needed to conduct the analysis for Factors 2-4.</w:t>
      </w:r>
    </w:p>
    <w:p w:rsidR="00752E59" w:rsidRPr="00A557D1" w:rsidRDefault="00A557D1" w:rsidP="00A557D1">
      <w:pPr>
        <w:pStyle w:val="ListParagraph"/>
        <w:numPr>
          <w:ilvl w:val="0"/>
          <w:numId w:val="30"/>
        </w:numPr>
        <w:spacing w:after="240"/>
        <w:rPr>
          <w:i/>
          <w:sz w:val="28"/>
          <w:szCs w:val="28"/>
        </w:rPr>
      </w:pPr>
      <w:r w:rsidRPr="00A557D1">
        <w:rPr>
          <w:i/>
          <w:sz w:val="28"/>
          <w:szCs w:val="28"/>
        </w:rPr>
        <w:t>Schedule created to complete Factors 2-4 Analysis and Language Assistance Plan by June 30, 2012.</w:t>
      </w:r>
    </w:p>
    <w:p w:rsidR="00A557D1" w:rsidRPr="00A557D1" w:rsidRDefault="00A557D1" w:rsidP="00A557D1">
      <w:pPr>
        <w:pStyle w:val="ListParagraph"/>
        <w:numPr>
          <w:ilvl w:val="0"/>
          <w:numId w:val="30"/>
        </w:numPr>
        <w:spacing w:after="240"/>
        <w:rPr>
          <w:i/>
          <w:sz w:val="28"/>
          <w:szCs w:val="28"/>
        </w:rPr>
      </w:pPr>
      <w:r w:rsidRPr="00A557D1">
        <w:rPr>
          <w:i/>
          <w:sz w:val="28"/>
          <w:szCs w:val="28"/>
        </w:rPr>
        <w:lastRenderedPageBreak/>
        <w:t>A new employee position, entitled LEP Outreach Coordinator, has been approved and the recruitment to fill the position commenced in August 2011.  The Coordinator position will be filled by October 31, 2011 to coordinate efforts to complete items [1] and [3] above.</w:t>
      </w:r>
    </w:p>
    <w:p w:rsidR="00A557D1" w:rsidRPr="00A557D1" w:rsidRDefault="00A557D1" w:rsidP="00752E59">
      <w:pPr>
        <w:pStyle w:val="ListParagraph"/>
        <w:numPr>
          <w:ilvl w:val="0"/>
          <w:numId w:val="30"/>
        </w:numPr>
        <w:spacing w:line="360" w:lineRule="auto"/>
        <w:rPr>
          <w:i/>
          <w:sz w:val="28"/>
          <w:szCs w:val="28"/>
        </w:rPr>
      </w:pPr>
      <w:r w:rsidRPr="00A557D1">
        <w:rPr>
          <w:i/>
          <w:sz w:val="28"/>
          <w:szCs w:val="28"/>
        </w:rPr>
        <w:t xml:space="preserve">SANDAG staff attended the FTA Title VI and LEP training in Berkley, CA. </w:t>
      </w:r>
    </w:p>
    <w:p w:rsidR="00A557D1" w:rsidRDefault="00A557D1" w:rsidP="00925633">
      <w:pPr>
        <w:tabs>
          <w:tab w:val="left" w:pos="5159"/>
        </w:tabs>
        <w:spacing w:line="360" w:lineRule="auto"/>
        <w:rPr>
          <w:sz w:val="28"/>
          <w:szCs w:val="28"/>
        </w:rPr>
      </w:pPr>
    </w:p>
    <w:p w:rsidR="00A557D1" w:rsidRDefault="00A557D1" w:rsidP="00925633">
      <w:pPr>
        <w:tabs>
          <w:tab w:val="left" w:pos="5159"/>
        </w:tabs>
        <w:spacing w:line="360" w:lineRule="auto"/>
        <w:rPr>
          <w:sz w:val="28"/>
          <w:szCs w:val="28"/>
        </w:rPr>
      </w:pPr>
      <w:r>
        <w:rPr>
          <w:sz w:val="28"/>
          <w:szCs w:val="28"/>
        </w:rPr>
        <w:t xml:space="preserve">SANDAG also provided </w:t>
      </w:r>
      <w:r w:rsidR="00C47F39">
        <w:rPr>
          <w:sz w:val="28"/>
          <w:szCs w:val="28"/>
        </w:rPr>
        <w:t xml:space="preserve">the following </w:t>
      </w:r>
      <w:r>
        <w:rPr>
          <w:sz w:val="28"/>
          <w:szCs w:val="28"/>
        </w:rPr>
        <w:t>summary of the proposed schedule for completing its four-factor analysis and LAP:</w:t>
      </w:r>
    </w:p>
    <w:p w:rsidR="00A557D1" w:rsidRDefault="00A557D1" w:rsidP="00925633">
      <w:pPr>
        <w:tabs>
          <w:tab w:val="left" w:pos="5159"/>
        </w:tabs>
        <w:spacing w:line="360" w:lineRule="auto"/>
        <w:rPr>
          <w:sz w:val="28"/>
          <w:szCs w:val="28"/>
        </w:rPr>
      </w:pPr>
    </w:p>
    <w:tbl>
      <w:tblPr>
        <w:tblStyle w:val="TableGrid"/>
        <w:tblW w:w="0" w:type="auto"/>
        <w:tblInd w:w="468" w:type="dxa"/>
        <w:tblLook w:val="04A0"/>
      </w:tblPr>
      <w:tblGrid>
        <w:gridCol w:w="3150"/>
        <w:gridCol w:w="5958"/>
      </w:tblGrid>
      <w:tr w:rsidR="00A557D1" w:rsidTr="00786FE8">
        <w:tc>
          <w:tcPr>
            <w:tcW w:w="3150" w:type="dxa"/>
          </w:tcPr>
          <w:p w:rsidR="00A557D1" w:rsidRPr="00361CCC" w:rsidRDefault="00A557D1" w:rsidP="00925633">
            <w:pPr>
              <w:tabs>
                <w:tab w:val="left" w:pos="5159"/>
              </w:tabs>
              <w:spacing w:line="360" w:lineRule="auto"/>
              <w:rPr>
                <w:i/>
                <w:sz w:val="24"/>
                <w:szCs w:val="24"/>
              </w:rPr>
            </w:pPr>
            <w:r w:rsidRPr="00361CCC">
              <w:rPr>
                <w:i/>
                <w:sz w:val="24"/>
                <w:szCs w:val="24"/>
              </w:rPr>
              <w:t>August 2011</w:t>
            </w:r>
          </w:p>
        </w:tc>
        <w:tc>
          <w:tcPr>
            <w:tcW w:w="5958" w:type="dxa"/>
          </w:tcPr>
          <w:p w:rsidR="00A557D1" w:rsidRPr="00361CCC" w:rsidRDefault="00A557D1" w:rsidP="00925633">
            <w:pPr>
              <w:tabs>
                <w:tab w:val="left" w:pos="5159"/>
              </w:tabs>
              <w:spacing w:line="360" w:lineRule="auto"/>
              <w:rPr>
                <w:i/>
                <w:sz w:val="24"/>
                <w:szCs w:val="24"/>
              </w:rPr>
            </w:pPr>
            <w:r w:rsidRPr="00361CCC">
              <w:rPr>
                <w:i/>
                <w:sz w:val="24"/>
                <w:szCs w:val="24"/>
              </w:rPr>
              <w:t>Advertise for LEP Outreach Coordinator Position.</w:t>
            </w:r>
          </w:p>
        </w:tc>
      </w:tr>
      <w:tr w:rsidR="00A557D1" w:rsidTr="00786FE8">
        <w:tc>
          <w:tcPr>
            <w:tcW w:w="3150" w:type="dxa"/>
          </w:tcPr>
          <w:p w:rsidR="00A557D1" w:rsidRPr="00361CCC" w:rsidRDefault="00A557D1" w:rsidP="00925633">
            <w:pPr>
              <w:tabs>
                <w:tab w:val="left" w:pos="5159"/>
              </w:tabs>
              <w:spacing w:line="360" w:lineRule="auto"/>
              <w:rPr>
                <w:i/>
                <w:sz w:val="24"/>
                <w:szCs w:val="24"/>
              </w:rPr>
            </w:pPr>
            <w:r w:rsidRPr="00361CCC">
              <w:rPr>
                <w:i/>
                <w:sz w:val="24"/>
                <w:szCs w:val="24"/>
              </w:rPr>
              <w:t>September 2011</w:t>
            </w:r>
          </w:p>
        </w:tc>
        <w:tc>
          <w:tcPr>
            <w:tcW w:w="5958" w:type="dxa"/>
          </w:tcPr>
          <w:p w:rsidR="00A557D1" w:rsidRPr="00361CCC" w:rsidRDefault="00A557D1" w:rsidP="00361CCC">
            <w:pPr>
              <w:tabs>
                <w:tab w:val="left" w:pos="5159"/>
              </w:tabs>
              <w:rPr>
                <w:i/>
                <w:sz w:val="24"/>
                <w:szCs w:val="24"/>
              </w:rPr>
            </w:pPr>
            <w:r w:rsidRPr="00361CCC">
              <w:rPr>
                <w:i/>
                <w:sz w:val="24"/>
                <w:szCs w:val="24"/>
              </w:rPr>
              <w:t>SANDAG staff attend FTA Title VI and LEP training in Berkley, CA.</w:t>
            </w:r>
          </w:p>
        </w:tc>
      </w:tr>
      <w:tr w:rsidR="00A557D1" w:rsidTr="00786FE8">
        <w:tc>
          <w:tcPr>
            <w:tcW w:w="3150" w:type="dxa"/>
          </w:tcPr>
          <w:p w:rsidR="00A557D1" w:rsidRPr="00361CCC" w:rsidRDefault="00A557D1" w:rsidP="00925633">
            <w:pPr>
              <w:tabs>
                <w:tab w:val="left" w:pos="5159"/>
              </w:tabs>
              <w:spacing w:line="360" w:lineRule="auto"/>
              <w:rPr>
                <w:i/>
                <w:sz w:val="24"/>
                <w:szCs w:val="24"/>
              </w:rPr>
            </w:pPr>
            <w:r w:rsidRPr="00361CCC">
              <w:rPr>
                <w:i/>
                <w:sz w:val="24"/>
                <w:szCs w:val="24"/>
              </w:rPr>
              <w:t>October 2011</w:t>
            </w:r>
          </w:p>
        </w:tc>
        <w:tc>
          <w:tcPr>
            <w:tcW w:w="5958" w:type="dxa"/>
          </w:tcPr>
          <w:p w:rsidR="00A557D1" w:rsidRPr="00361CCC" w:rsidRDefault="00A557D1" w:rsidP="00361CCC">
            <w:pPr>
              <w:tabs>
                <w:tab w:val="left" w:pos="5159"/>
              </w:tabs>
              <w:rPr>
                <w:i/>
                <w:sz w:val="24"/>
                <w:szCs w:val="24"/>
              </w:rPr>
            </w:pPr>
            <w:r w:rsidRPr="00361CCC">
              <w:rPr>
                <w:i/>
                <w:sz w:val="24"/>
                <w:szCs w:val="24"/>
              </w:rPr>
              <w:t>LEP Outreach Coordinator joins SANDAG team.  Coordination with planning and research teams to identify LEP communities and to develop plan to conduct Factors 2-3 analysis.</w:t>
            </w:r>
          </w:p>
        </w:tc>
      </w:tr>
      <w:tr w:rsidR="00A557D1" w:rsidTr="00786FE8">
        <w:tc>
          <w:tcPr>
            <w:tcW w:w="3150" w:type="dxa"/>
          </w:tcPr>
          <w:p w:rsidR="00A557D1" w:rsidRPr="00361CCC" w:rsidRDefault="00A557D1" w:rsidP="00925633">
            <w:pPr>
              <w:tabs>
                <w:tab w:val="left" w:pos="5159"/>
              </w:tabs>
              <w:spacing w:line="360" w:lineRule="auto"/>
              <w:rPr>
                <w:i/>
                <w:sz w:val="24"/>
                <w:szCs w:val="24"/>
              </w:rPr>
            </w:pPr>
            <w:r w:rsidRPr="00361CCC">
              <w:rPr>
                <w:i/>
                <w:sz w:val="24"/>
                <w:szCs w:val="24"/>
              </w:rPr>
              <w:t>November 2011 – February 2012</w:t>
            </w:r>
          </w:p>
        </w:tc>
        <w:tc>
          <w:tcPr>
            <w:tcW w:w="5958" w:type="dxa"/>
          </w:tcPr>
          <w:p w:rsidR="00A557D1" w:rsidRPr="00361CCC" w:rsidRDefault="00361CCC" w:rsidP="00361CCC">
            <w:pPr>
              <w:tabs>
                <w:tab w:val="left" w:pos="5159"/>
              </w:tabs>
              <w:rPr>
                <w:i/>
                <w:sz w:val="24"/>
                <w:szCs w:val="24"/>
              </w:rPr>
            </w:pPr>
            <w:r w:rsidRPr="00361CCC">
              <w:rPr>
                <w:i/>
                <w:sz w:val="24"/>
                <w:szCs w:val="24"/>
              </w:rPr>
              <w:t>Implement outreach plan to determine frequency of contact and nature and importance of program.</w:t>
            </w:r>
          </w:p>
        </w:tc>
      </w:tr>
      <w:tr w:rsidR="00A557D1" w:rsidTr="00786FE8">
        <w:tc>
          <w:tcPr>
            <w:tcW w:w="3150" w:type="dxa"/>
          </w:tcPr>
          <w:p w:rsidR="00A557D1" w:rsidRPr="00361CCC" w:rsidRDefault="00361CCC" w:rsidP="00925633">
            <w:pPr>
              <w:tabs>
                <w:tab w:val="left" w:pos="5159"/>
              </w:tabs>
              <w:spacing w:line="360" w:lineRule="auto"/>
              <w:rPr>
                <w:i/>
                <w:sz w:val="24"/>
                <w:szCs w:val="24"/>
              </w:rPr>
            </w:pPr>
            <w:r w:rsidRPr="00361CCC">
              <w:rPr>
                <w:i/>
                <w:sz w:val="24"/>
                <w:szCs w:val="24"/>
              </w:rPr>
              <w:t>March 2012</w:t>
            </w:r>
          </w:p>
        </w:tc>
        <w:tc>
          <w:tcPr>
            <w:tcW w:w="5958" w:type="dxa"/>
          </w:tcPr>
          <w:p w:rsidR="00A557D1" w:rsidRPr="00361CCC" w:rsidRDefault="00361CCC" w:rsidP="00361CCC">
            <w:pPr>
              <w:tabs>
                <w:tab w:val="left" w:pos="5159"/>
              </w:tabs>
              <w:rPr>
                <w:i/>
                <w:sz w:val="24"/>
                <w:szCs w:val="24"/>
              </w:rPr>
            </w:pPr>
            <w:r w:rsidRPr="00361CCC">
              <w:rPr>
                <w:i/>
                <w:sz w:val="24"/>
                <w:szCs w:val="24"/>
              </w:rPr>
              <w:t>Produce reports for Factors 2 and 3.</w:t>
            </w:r>
          </w:p>
        </w:tc>
      </w:tr>
      <w:tr w:rsidR="00A557D1" w:rsidTr="00786FE8">
        <w:tc>
          <w:tcPr>
            <w:tcW w:w="3150" w:type="dxa"/>
          </w:tcPr>
          <w:p w:rsidR="00A557D1" w:rsidRPr="00361CCC" w:rsidRDefault="00361CCC" w:rsidP="00925633">
            <w:pPr>
              <w:tabs>
                <w:tab w:val="left" w:pos="5159"/>
              </w:tabs>
              <w:spacing w:line="360" w:lineRule="auto"/>
              <w:rPr>
                <w:i/>
                <w:sz w:val="24"/>
                <w:szCs w:val="24"/>
              </w:rPr>
            </w:pPr>
            <w:r w:rsidRPr="00361CCC">
              <w:rPr>
                <w:i/>
                <w:sz w:val="24"/>
                <w:szCs w:val="24"/>
              </w:rPr>
              <w:t>April 2012</w:t>
            </w:r>
          </w:p>
        </w:tc>
        <w:tc>
          <w:tcPr>
            <w:tcW w:w="5958" w:type="dxa"/>
          </w:tcPr>
          <w:p w:rsidR="00A557D1" w:rsidRPr="00361CCC" w:rsidRDefault="00361CCC" w:rsidP="00361CCC">
            <w:pPr>
              <w:tabs>
                <w:tab w:val="left" w:pos="5159"/>
              </w:tabs>
              <w:rPr>
                <w:i/>
                <w:sz w:val="24"/>
                <w:szCs w:val="24"/>
              </w:rPr>
            </w:pPr>
            <w:r w:rsidRPr="00361CCC">
              <w:rPr>
                <w:i/>
                <w:sz w:val="24"/>
                <w:szCs w:val="24"/>
              </w:rPr>
              <w:t>Analyze resources available and costs to develop Factor 4 report.</w:t>
            </w:r>
          </w:p>
        </w:tc>
      </w:tr>
      <w:tr w:rsidR="00A557D1" w:rsidTr="00786FE8">
        <w:tc>
          <w:tcPr>
            <w:tcW w:w="3150" w:type="dxa"/>
          </w:tcPr>
          <w:p w:rsidR="00A557D1" w:rsidRPr="00361CCC" w:rsidRDefault="00361CCC" w:rsidP="00925633">
            <w:pPr>
              <w:tabs>
                <w:tab w:val="left" w:pos="5159"/>
              </w:tabs>
              <w:spacing w:line="360" w:lineRule="auto"/>
              <w:rPr>
                <w:i/>
                <w:sz w:val="24"/>
                <w:szCs w:val="24"/>
              </w:rPr>
            </w:pPr>
            <w:r w:rsidRPr="00361CCC">
              <w:rPr>
                <w:i/>
                <w:sz w:val="24"/>
                <w:szCs w:val="24"/>
              </w:rPr>
              <w:t>May – June 2012</w:t>
            </w:r>
          </w:p>
        </w:tc>
        <w:tc>
          <w:tcPr>
            <w:tcW w:w="5958" w:type="dxa"/>
          </w:tcPr>
          <w:p w:rsidR="00A557D1" w:rsidRPr="00361CCC" w:rsidRDefault="00361CCC" w:rsidP="00361CCC">
            <w:pPr>
              <w:tabs>
                <w:tab w:val="left" w:pos="5159"/>
              </w:tabs>
              <w:rPr>
                <w:i/>
                <w:sz w:val="24"/>
                <w:szCs w:val="24"/>
              </w:rPr>
            </w:pPr>
            <w:r w:rsidRPr="00361CCC">
              <w:rPr>
                <w:i/>
                <w:sz w:val="24"/>
                <w:szCs w:val="24"/>
              </w:rPr>
              <w:t xml:space="preserve">Develop Language Assistance Plan based on completed </w:t>
            </w:r>
            <w:r w:rsidR="0060012B">
              <w:rPr>
                <w:i/>
                <w:sz w:val="24"/>
                <w:szCs w:val="24"/>
              </w:rPr>
              <w:t>Four-factor</w:t>
            </w:r>
            <w:r w:rsidRPr="00361CCC">
              <w:rPr>
                <w:i/>
                <w:sz w:val="24"/>
                <w:szCs w:val="24"/>
              </w:rPr>
              <w:t xml:space="preserve"> Analysis.  Follow SANDAG Public Participation Plan guidelines for securing input on LAP.  Present findings to SANDAG Board for review and approval.</w:t>
            </w:r>
          </w:p>
        </w:tc>
      </w:tr>
    </w:tbl>
    <w:p w:rsidR="00A557D1" w:rsidRDefault="00A557D1" w:rsidP="00925633">
      <w:pPr>
        <w:tabs>
          <w:tab w:val="left" w:pos="5159"/>
        </w:tabs>
        <w:spacing w:line="360" w:lineRule="auto"/>
        <w:rPr>
          <w:sz w:val="28"/>
          <w:szCs w:val="28"/>
        </w:rPr>
      </w:pPr>
    </w:p>
    <w:p w:rsidR="00C00537" w:rsidRDefault="00C00537" w:rsidP="00C00537">
      <w:pPr>
        <w:spacing w:line="360" w:lineRule="auto"/>
        <w:rPr>
          <w:sz w:val="28"/>
          <w:szCs w:val="28"/>
        </w:rPr>
      </w:pPr>
      <w:r w:rsidRPr="00CC3819">
        <w:rPr>
          <w:b/>
          <w:bCs/>
          <w:sz w:val="28"/>
          <w:szCs w:val="28"/>
        </w:rPr>
        <w:t>Corrective Actions and Schedules:</w:t>
      </w:r>
      <w:r w:rsidR="001D64DC">
        <w:rPr>
          <w:b/>
          <w:bCs/>
          <w:sz w:val="28"/>
          <w:szCs w:val="28"/>
        </w:rPr>
        <w:t xml:space="preserve"> </w:t>
      </w:r>
      <w:r w:rsidRPr="00CC3819">
        <w:rPr>
          <w:b/>
          <w:bCs/>
          <w:sz w:val="28"/>
          <w:szCs w:val="28"/>
        </w:rPr>
        <w:t xml:space="preserve"> </w:t>
      </w:r>
      <w:r w:rsidR="00CA12B2" w:rsidRPr="003A0B73">
        <w:rPr>
          <w:sz w:val="28"/>
          <w:szCs w:val="28"/>
        </w:rPr>
        <w:t>No</w:t>
      </w:r>
      <w:r w:rsidR="00CA12B2" w:rsidRPr="003A0B73">
        <w:rPr>
          <w:b/>
          <w:sz w:val="28"/>
          <w:szCs w:val="28"/>
        </w:rPr>
        <w:t xml:space="preserve"> </w:t>
      </w:r>
      <w:r w:rsidR="00CA12B2" w:rsidRPr="003A0B73">
        <w:rPr>
          <w:sz w:val="28"/>
          <w:szCs w:val="28"/>
        </w:rPr>
        <w:t>later than April 27, 2012</w:t>
      </w:r>
      <w:r w:rsidR="001D64DC" w:rsidRPr="00CC3819">
        <w:rPr>
          <w:sz w:val="28"/>
          <w:szCs w:val="28"/>
        </w:rPr>
        <w:t xml:space="preserve">, </w:t>
      </w:r>
      <w:r w:rsidR="001D64DC">
        <w:rPr>
          <w:sz w:val="28"/>
          <w:szCs w:val="28"/>
        </w:rPr>
        <w:t>SANDAG</w:t>
      </w:r>
      <w:r w:rsidR="001D64DC" w:rsidRPr="00CC3819">
        <w:rPr>
          <w:sz w:val="28"/>
          <w:szCs w:val="28"/>
        </w:rPr>
        <w:t xml:space="preserve"> must submit to the </w:t>
      </w:r>
      <w:r w:rsidR="001D64DC">
        <w:rPr>
          <w:sz w:val="28"/>
          <w:szCs w:val="28"/>
        </w:rPr>
        <w:t xml:space="preserve">FTA Equal Opportunity Specialist in the </w:t>
      </w:r>
      <w:r w:rsidR="001D64DC" w:rsidRPr="00CC3819">
        <w:rPr>
          <w:sz w:val="28"/>
          <w:szCs w:val="28"/>
        </w:rPr>
        <w:t>FTA Headquarters O</w:t>
      </w:r>
      <w:r w:rsidR="00925633">
        <w:rPr>
          <w:sz w:val="28"/>
          <w:szCs w:val="28"/>
        </w:rPr>
        <w:t xml:space="preserve">ffice of Civil Rights </w:t>
      </w:r>
      <w:r w:rsidR="00925633" w:rsidRPr="00925633">
        <w:rPr>
          <w:sz w:val="28"/>
          <w:szCs w:val="28"/>
        </w:rPr>
        <w:t xml:space="preserve">documentation that they have completed a LEP </w:t>
      </w:r>
      <w:r w:rsidR="0060012B">
        <w:rPr>
          <w:sz w:val="28"/>
          <w:szCs w:val="28"/>
        </w:rPr>
        <w:t>four-factor</w:t>
      </w:r>
      <w:r w:rsidR="00925633" w:rsidRPr="00925633">
        <w:rPr>
          <w:sz w:val="28"/>
          <w:szCs w:val="28"/>
        </w:rPr>
        <w:t xml:space="preserve"> </w:t>
      </w:r>
      <w:r w:rsidR="0060012B">
        <w:rPr>
          <w:sz w:val="28"/>
          <w:szCs w:val="28"/>
        </w:rPr>
        <w:t>analysis</w:t>
      </w:r>
      <w:r w:rsidR="00925633" w:rsidRPr="00925633">
        <w:rPr>
          <w:sz w:val="28"/>
          <w:szCs w:val="28"/>
        </w:rPr>
        <w:t xml:space="preserve"> and developed a Language Assistance Plan, as required by FTA Circular 4702.1A.</w:t>
      </w:r>
    </w:p>
    <w:p w:rsidR="00C00537" w:rsidRDefault="00C00537">
      <w:pPr>
        <w:spacing w:line="360" w:lineRule="auto"/>
        <w:rPr>
          <w:sz w:val="28"/>
          <w:szCs w:val="28"/>
        </w:rPr>
      </w:pPr>
    </w:p>
    <w:p w:rsidR="00F80A8D" w:rsidRDefault="00F80A8D">
      <w:pPr>
        <w:pStyle w:val="BHLevel2"/>
        <w:spacing w:line="360" w:lineRule="auto"/>
        <w:rPr>
          <w:sz w:val="28"/>
          <w:szCs w:val="28"/>
        </w:rPr>
      </w:pPr>
      <w:bookmarkStart w:id="14" w:name="_Toc315152507"/>
      <w:r>
        <w:rPr>
          <w:sz w:val="28"/>
          <w:szCs w:val="28"/>
        </w:rPr>
        <w:lastRenderedPageBreak/>
        <w:t>Title VI Complaint Procedures</w:t>
      </w:r>
      <w:bookmarkEnd w:id="14"/>
    </w:p>
    <w:p w:rsidR="00F80A8D" w:rsidRDefault="00F80A8D">
      <w:pPr>
        <w:rPr>
          <w:sz w:val="28"/>
          <w:szCs w:val="28"/>
        </w:rPr>
      </w:pPr>
      <w:r>
        <w:rPr>
          <w:b/>
          <w:sz w:val="28"/>
          <w:szCs w:val="28"/>
        </w:rPr>
        <w:t xml:space="preserve">Requirement: </w:t>
      </w:r>
      <w:r w:rsidR="005B1F1E">
        <w:rPr>
          <w:b/>
          <w:sz w:val="28"/>
          <w:szCs w:val="28"/>
        </w:rPr>
        <w:t xml:space="preserve"> </w:t>
      </w:r>
      <w:r>
        <w:rPr>
          <w:i/>
          <w:iCs/>
          <w:sz w:val="28"/>
        </w:rPr>
        <w:t>FTA recipients shall develop procedures for investigating and tracking Title VI complaints filed against them and make their procedures for filing a complaint available to members of the public upon request.</w:t>
      </w:r>
    </w:p>
    <w:p w:rsidR="00F80A8D" w:rsidRDefault="00F80A8D">
      <w:pPr>
        <w:spacing w:line="360" w:lineRule="auto"/>
        <w:rPr>
          <w:b/>
          <w:sz w:val="28"/>
          <w:szCs w:val="28"/>
        </w:rPr>
      </w:pPr>
    </w:p>
    <w:p w:rsidR="007138E6" w:rsidRDefault="00F80A8D" w:rsidP="007D228E">
      <w:pPr>
        <w:spacing w:line="360" w:lineRule="auto"/>
        <w:rPr>
          <w:sz w:val="28"/>
          <w:szCs w:val="28"/>
        </w:rPr>
      </w:pPr>
      <w:r>
        <w:rPr>
          <w:b/>
          <w:sz w:val="28"/>
          <w:szCs w:val="28"/>
        </w:rPr>
        <w:t>Findings</w:t>
      </w:r>
      <w:r w:rsidRPr="0038078B">
        <w:rPr>
          <w:b/>
          <w:sz w:val="28"/>
          <w:szCs w:val="28"/>
        </w:rPr>
        <w:t>:</w:t>
      </w:r>
      <w:r w:rsidRPr="0038078B">
        <w:rPr>
          <w:sz w:val="28"/>
          <w:szCs w:val="28"/>
        </w:rPr>
        <w:t xml:space="preserve">  During this Title VI Compliance Review of </w:t>
      </w:r>
      <w:r w:rsidR="005772CD">
        <w:rPr>
          <w:sz w:val="28"/>
          <w:szCs w:val="28"/>
        </w:rPr>
        <w:t>SANDAG</w:t>
      </w:r>
      <w:r w:rsidR="008C3DD1" w:rsidRPr="0038078B">
        <w:rPr>
          <w:sz w:val="28"/>
          <w:szCs w:val="28"/>
        </w:rPr>
        <w:t>,</w:t>
      </w:r>
      <w:r w:rsidR="001D64DC">
        <w:rPr>
          <w:sz w:val="28"/>
          <w:szCs w:val="28"/>
        </w:rPr>
        <w:t xml:space="preserve"> </w:t>
      </w:r>
      <w:r w:rsidRPr="0038078B">
        <w:rPr>
          <w:sz w:val="28"/>
          <w:szCs w:val="28"/>
        </w:rPr>
        <w:t xml:space="preserve">deficiencies were found regarding </w:t>
      </w:r>
      <w:r w:rsidR="005772CD">
        <w:rPr>
          <w:sz w:val="28"/>
          <w:szCs w:val="28"/>
        </w:rPr>
        <w:t>SANDAG</w:t>
      </w:r>
      <w:r w:rsidRPr="0038078B">
        <w:rPr>
          <w:sz w:val="28"/>
          <w:szCs w:val="28"/>
        </w:rPr>
        <w:t xml:space="preserve">’s compliance with FTA requirements for Title VI Complaint Procedures. </w:t>
      </w:r>
      <w:r w:rsidR="00B00E32">
        <w:rPr>
          <w:sz w:val="28"/>
          <w:szCs w:val="28"/>
        </w:rPr>
        <w:t xml:space="preserve"> </w:t>
      </w:r>
      <w:r w:rsidR="00B24518">
        <w:rPr>
          <w:sz w:val="28"/>
          <w:szCs w:val="28"/>
        </w:rPr>
        <w:t>Prior to the site visit, SANDAG provided two documents related to Title VI complaint processing:</w:t>
      </w:r>
      <w:r w:rsidR="006E416D">
        <w:rPr>
          <w:sz w:val="28"/>
          <w:szCs w:val="28"/>
        </w:rPr>
        <w:t xml:space="preserve"> </w:t>
      </w:r>
      <w:r w:rsidR="00B24518">
        <w:rPr>
          <w:sz w:val="28"/>
          <w:szCs w:val="28"/>
        </w:rPr>
        <w:t xml:space="preserve"> </w:t>
      </w:r>
      <w:r w:rsidR="00B24518" w:rsidRPr="00B24518">
        <w:rPr>
          <w:i/>
          <w:sz w:val="28"/>
          <w:szCs w:val="28"/>
        </w:rPr>
        <w:t xml:space="preserve">SANDAG Procedures for </w:t>
      </w:r>
      <w:r w:rsidR="007138E6">
        <w:rPr>
          <w:i/>
          <w:sz w:val="28"/>
          <w:szCs w:val="28"/>
        </w:rPr>
        <w:t>Tracking and Investigating</w:t>
      </w:r>
      <w:r w:rsidR="00B24518" w:rsidRPr="00B24518">
        <w:rPr>
          <w:i/>
          <w:sz w:val="28"/>
          <w:szCs w:val="28"/>
        </w:rPr>
        <w:t xml:space="preserve"> Title VI Complaints</w:t>
      </w:r>
      <w:r w:rsidR="007138E6">
        <w:rPr>
          <w:i/>
          <w:sz w:val="28"/>
          <w:szCs w:val="28"/>
        </w:rPr>
        <w:t xml:space="preserve"> (SPTITC)</w:t>
      </w:r>
      <w:r w:rsidR="00B24518" w:rsidRPr="00B24518">
        <w:rPr>
          <w:i/>
          <w:sz w:val="28"/>
          <w:szCs w:val="28"/>
        </w:rPr>
        <w:t xml:space="preserve"> </w:t>
      </w:r>
      <w:r w:rsidR="00B24518">
        <w:rPr>
          <w:sz w:val="28"/>
          <w:szCs w:val="28"/>
        </w:rPr>
        <w:t xml:space="preserve">and </w:t>
      </w:r>
      <w:r w:rsidR="00B24518" w:rsidRPr="00B24518">
        <w:rPr>
          <w:i/>
          <w:sz w:val="28"/>
          <w:szCs w:val="28"/>
        </w:rPr>
        <w:t xml:space="preserve">Board Policy </w:t>
      </w:r>
      <w:r w:rsidR="007D228E">
        <w:rPr>
          <w:i/>
          <w:sz w:val="28"/>
          <w:szCs w:val="28"/>
        </w:rPr>
        <w:t xml:space="preserve">No. </w:t>
      </w:r>
      <w:r w:rsidR="00B24518" w:rsidRPr="00B24518">
        <w:rPr>
          <w:i/>
          <w:sz w:val="28"/>
          <w:szCs w:val="28"/>
        </w:rPr>
        <w:t>009</w:t>
      </w:r>
      <w:r w:rsidR="007138E6">
        <w:rPr>
          <w:i/>
          <w:sz w:val="28"/>
          <w:szCs w:val="28"/>
        </w:rPr>
        <w:t xml:space="preserve"> (BP9)</w:t>
      </w:r>
      <w:r w:rsidR="00B24518">
        <w:rPr>
          <w:sz w:val="28"/>
          <w:szCs w:val="28"/>
        </w:rPr>
        <w:t xml:space="preserve">.  </w:t>
      </w:r>
      <w:r w:rsidR="007138E6">
        <w:rPr>
          <w:sz w:val="28"/>
          <w:szCs w:val="28"/>
        </w:rPr>
        <w:t xml:space="preserve">These two documents introduced conflicting information with respect to how Title VI complaints </w:t>
      </w:r>
      <w:r w:rsidR="003210E2">
        <w:rPr>
          <w:sz w:val="28"/>
          <w:szCs w:val="28"/>
        </w:rPr>
        <w:t>we</w:t>
      </w:r>
      <w:r w:rsidR="007138E6">
        <w:rPr>
          <w:sz w:val="28"/>
          <w:szCs w:val="28"/>
        </w:rPr>
        <w:t>re handled by SANDAG</w:t>
      </w:r>
      <w:r w:rsidR="007D228E">
        <w:rPr>
          <w:sz w:val="28"/>
          <w:szCs w:val="28"/>
        </w:rPr>
        <w:t>.  During the site visit, SANDAG explained that SPTITC was an unofficial internal document and BP9 represented SANDAG’s official Title VI complaint procedures.</w:t>
      </w:r>
    </w:p>
    <w:p w:rsidR="007D228E" w:rsidRDefault="007D228E" w:rsidP="007D228E">
      <w:pPr>
        <w:spacing w:line="360" w:lineRule="auto"/>
        <w:rPr>
          <w:sz w:val="28"/>
          <w:szCs w:val="28"/>
        </w:rPr>
      </w:pPr>
    </w:p>
    <w:p w:rsidR="007D228E" w:rsidRDefault="007D228E" w:rsidP="007D228E">
      <w:pPr>
        <w:spacing w:line="360" w:lineRule="auto"/>
        <w:rPr>
          <w:sz w:val="28"/>
          <w:szCs w:val="28"/>
        </w:rPr>
      </w:pPr>
      <w:r>
        <w:rPr>
          <w:sz w:val="28"/>
          <w:szCs w:val="28"/>
        </w:rPr>
        <w:t>SANDAG’s BP9 contained the following issues</w:t>
      </w:r>
      <w:r w:rsidR="00A54D1D">
        <w:rPr>
          <w:sz w:val="28"/>
          <w:szCs w:val="28"/>
        </w:rPr>
        <w:t xml:space="preserve"> with respect to FTA Circular 4702.1A.IV.2</w:t>
      </w:r>
      <w:r>
        <w:rPr>
          <w:sz w:val="28"/>
          <w:szCs w:val="28"/>
        </w:rPr>
        <w:t>:</w:t>
      </w:r>
    </w:p>
    <w:p w:rsidR="00A54D1D" w:rsidRDefault="007D228E" w:rsidP="007D228E">
      <w:pPr>
        <w:pStyle w:val="ListParagraph"/>
        <w:numPr>
          <w:ilvl w:val="1"/>
          <w:numId w:val="11"/>
        </w:numPr>
        <w:tabs>
          <w:tab w:val="left" w:pos="330"/>
        </w:tabs>
        <w:rPr>
          <w:sz w:val="28"/>
          <w:szCs w:val="28"/>
        </w:rPr>
      </w:pPr>
      <w:r w:rsidRPr="007D228E">
        <w:rPr>
          <w:sz w:val="28"/>
          <w:szCs w:val="28"/>
        </w:rPr>
        <w:t xml:space="preserve">Complaint procedures </w:t>
      </w:r>
      <w:r>
        <w:rPr>
          <w:sz w:val="28"/>
          <w:szCs w:val="28"/>
        </w:rPr>
        <w:t>d</w:t>
      </w:r>
      <w:r w:rsidR="003210E2">
        <w:rPr>
          <w:sz w:val="28"/>
          <w:szCs w:val="28"/>
        </w:rPr>
        <w:t>id</w:t>
      </w:r>
      <w:r>
        <w:rPr>
          <w:sz w:val="28"/>
          <w:szCs w:val="28"/>
        </w:rPr>
        <w:t xml:space="preserve"> not include a </w:t>
      </w:r>
      <w:r w:rsidRPr="007D228E">
        <w:rPr>
          <w:sz w:val="28"/>
          <w:szCs w:val="28"/>
        </w:rPr>
        <w:t>statement establishing applicability to discrimination complaints based on race, color or national origin.</w:t>
      </w:r>
      <w:r>
        <w:rPr>
          <w:sz w:val="28"/>
          <w:szCs w:val="28"/>
        </w:rPr>
        <w:t xml:space="preserve">  In </w:t>
      </w:r>
      <w:r w:rsidR="00A54D1D" w:rsidRPr="00A54D1D">
        <w:rPr>
          <w:sz w:val="28"/>
          <w:szCs w:val="28"/>
        </w:rPr>
        <w:t>p</w:t>
      </w:r>
      <w:r w:rsidRPr="00A54D1D">
        <w:rPr>
          <w:sz w:val="28"/>
          <w:szCs w:val="28"/>
        </w:rPr>
        <w:t xml:space="preserve">aragraph </w:t>
      </w:r>
      <w:r w:rsidR="00E34B0C">
        <w:rPr>
          <w:sz w:val="28"/>
          <w:szCs w:val="28"/>
        </w:rPr>
        <w:t>one</w:t>
      </w:r>
      <w:r w:rsidR="00E34B0C" w:rsidRPr="00A54D1D">
        <w:rPr>
          <w:sz w:val="28"/>
          <w:szCs w:val="28"/>
        </w:rPr>
        <w:t xml:space="preserve"> of</w:t>
      </w:r>
      <w:r w:rsidR="00A54D1D" w:rsidRPr="00A54D1D">
        <w:rPr>
          <w:sz w:val="28"/>
          <w:szCs w:val="28"/>
        </w:rPr>
        <w:t xml:space="preserve"> BP9</w:t>
      </w:r>
      <w:r w:rsidRPr="00A54D1D">
        <w:rPr>
          <w:sz w:val="28"/>
          <w:szCs w:val="28"/>
        </w:rPr>
        <w:t>,</w:t>
      </w:r>
      <w:r w:rsidRPr="007D228E">
        <w:rPr>
          <w:i/>
          <w:sz w:val="28"/>
          <w:szCs w:val="28"/>
        </w:rPr>
        <w:t xml:space="preserve"> Applicability</w:t>
      </w:r>
      <w:r>
        <w:rPr>
          <w:sz w:val="28"/>
          <w:szCs w:val="28"/>
        </w:rPr>
        <w:t xml:space="preserve">, </w:t>
      </w:r>
      <w:r w:rsidR="00A54D1D">
        <w:rPr>
          <w:sz w:val="28"/>
          <w:szCs w:val="28"/>
        </w:rPr>
        <w:t>SANDAG state</w:t>
      </w:r>
      <w:r w:rsidR="003210E2">
        <w:rPr>
          <w:sz w:val="28"/>
          <w:szCs w:val="28"/>
        </w:rPr>
        <w:t>d</w:t>
      </w:r>
      <w:r w:rsidR="00A54D1D">
        <w:rPr>
          <w:sz w:val="28"/>
          <w:szCs w:val="28"/>
        </w:rPr>
        <w:t>:</w:t>
      </w:r>
    </w:p>
    <w:p w:rsidR="00A54D1D" w:rsidRDefault="00A54D1D" w:rsidP="00A54D1D">
      <w:pPr>
        <w:pStyle w:val="ListParagraph"/>
        <w:tabs>
          <w:tab w:val="left" w:pos="330"/>
        </w:tabs>
        <w:ind w:left="1080"/>
        <w:rPr>
          <w:sz w:val="28"/>
          <w:szCs w:val="28"/>
        </w:rPr>
      </w:pPr>
    </w:p>
    <w:p w:rsidR="007D228E" w:rsidRPr="00A54D1D" w:rsidRDefault="00A54D1D" w:rsidP="00A54D1D">
      <w:pPr>
        <w:pStyle w:val="ListParagraph"/>
        <w:tabs>
          <w:tab w:val="left" w:pos="330"/>
        </w:tabs>
        <w:ind w:left="1440"/>
        <w:rPr>
          <w:i/>
          <w:sz w:val="28"/>
          <w:szCs w:val="28"/>
        </w:rPr>
      </w:pPr>
      <w:r w:rsidRPr="00A54D1D">
        <w:rPr>
          <w:i/>
          <w:sz w:val="28"/>
          <w:szCs w:val="28"/>
        </w:rPr>
        <w:t>BP9 is designed to address disputes concerning the following:</w:t>
      </w:r>
    </w:p>
    <w:p w:rsidR="00A54D1D" w:rsidRPr="00A54D1D" w:rsidRDefault="00A54D1D" w:rsidP="006E416D">
      <w:pPr>
        <w:pStyle w:val="ListParagraph"/>
        <w:numPr>
          <w:ilvl w:val="3"/>
          <w:numId w:val="11"/>
        </w:numPr>
        <w:tabs>
          <w:tab w:val="clear" w:pos="2520"/>
          <w:tab w:val="left" w:pos="330"/>
        </w:tabs>
        <w:ind w:left="2160"/>
        <w:rPr>
          <w:i/>
          <w:sz w:val="28"/>
          <w:szCs w:val="28"/>
        </w:rPr>
      </w:pPr>
      <w:r w:rsidRPr="00A54D1D">
        <w:rPr>
          <w:i/>
          <w:sz w:val="28"/>
          <w:szCs w:val="28"/>
        </w:rPr>
        <w:t>Disagreements regarding a requested service, accommodation, or modification of a SANDAG practice or requirement;</w:t>
      </w:r>
    </w:p>
    <w:p w:rsidR="00A54D1D" w:rsidRPr="00A54D1D" w:rsidRDefault="00A54D1D" w:rsidP="006E416D">
      <w:pPr>
        <w:pStyle w:val="ListParagraph"/>
        <w:numPr>
          <w:ilvl w:val="3"/>
          <w:numId w:val="11"/>
        </w:numPr>
        <w:tabs>
          <w:tab w:val="clear" w:pos="2520"/>
          <w:tab w:val="left" w:pos="330"/>
        </w:tabs>
        <w:ind w:left="2160"/>
        <w:rPr>
          <w:i/>
          <w:sz w:val="28"/>
          <w:szCs w:val="28"/>
        </w:rPr>
      </w:pPr>
      <w:r w:rsidRPr="00A54D1D">
        <w:rPr>
          <w:i/>
          <w:sz w:val="28"/>
          <w:szCs w:val="28"/>
        </w:rPr>
        <w:t>Inaccessibility of a program, publication, or activity;</w:t>
      </w:r>
    </w:p>
    <w:p w:rsidR="00A54D1D" w:rsidRPr="00A54D1D" w:rsidRDefault="00A54D1D" w:rsidP="006E416D">
      <w:pPr>
        <w:pStyle w:val="ListParagraph"/>
        <w:numPr>
          <w:ilvl w:val="3"/>
          <w:numId w:val="11"/>
        </w:numPr>
        <w:tabs>
          <w:tab w:val="clear" w:pos="2520"/>
          <w:tab w:val="left" w:pos="330"/>
        </w:tabs>
        <w:ind w:left="2160"/>
        <w:rPr>
          <w:i/>
          <w:sz w:val="28"/>
          <w:szCs w:val="28"/>
        </w:rPr>
      </w:pPr>
      <w:r w:rsidRPr="00A54D1D">
        <w:rPr>
          <w:i/>
          <w:sz w:val="28"/>
          <w:szCs w:val="28"/>
        </w:rPr>
        <w:t>Harassment or discrimination based on the basis of disability;</w:t>
      </w:r>
    </w:p>
    <w:p w:rsidR="00A54D1D" w:rsidRDefault="00A54D1D" w:rsidP="006E416D">
      <w:pPr>
        <w:pStyle w:val="ListParagraph"/>
        <w:numPr>
          <w:ilvl w:val="3"/>
          <w:numId w:val="11"/>
        </w:numPr>
        <w:tabs>
          <w:tab w:val="clear" w:pos="2520"/>
          <w:tab w:val="left" w:pos="330"/>
        </w:tabs>
        <w:ind w:left="2160"/>
        <w:rPr>
          <w:i/>
          <w:sz w:val="28"/>
          <w:szCs w:val="28"/>
        </w:rPr>
      </w:pPr>
      <w:r w:rsidRPr="00A54D1D">
        <w:rPr>
          <w:i/>
          <w:sz w:val="28"/>
          <w:szCs w:val="28"/>
        </w:rPr>
        <w:t>Violation of privacy in the context of disability.</w:t>
      </w:r>
    </w:p>
    <w:p w:rsidR="00A54D1D" w:rsidRPr="00A54D1D" w:rsidRDefault="00A54D1D" w:rsidP="00A54D1D">
      <w:pPr>
        <w:tabs>
          <w:tab w:val="left" w:pos="330"/>
        </w:tabs>
        <w:rPr>
          <w:i/>
          <w:sz w:val="28"/>
          <w:szCs w:val="28"/>
        </w:rPr>
      </w:pPr>
    </w:p>
    <w:p w:rsidR="007D228E" w:rsidRDefault="00A54D1D" w:rsidP="00A54D1D">
      <w:pPr>
        <w:pStyle w:val="ListParagraph"/>
        <w:numPr>
          <w:ilvl w:val="1"/>
          <w:numId w:val="11"/>
        </w:numPr>
        <w:rPr>
          <w:sz w:val="28"/>
          <w:szCs w:val="28"/>
        </w:rPr>
      </w:pPr>
      <w:r>
        <w:rPr>
          <w:sz w:val="28"/>
          <w:szCs w:val="28"/>
        </w:rPr>
        <w:t xml:space="preserve">Complainants </w:t>
      </w:r>
      <w:r w:rsidR="003210E2">
        <w:rPr>
          <w:sz w:val="28"/>
          <w:szCs w:val="28"/>
        </w:rPr>
        <w:t>we</w:t>
      </w:r>
      <w:r>
        <w:rPr>
          <w:sz w:val="28"/>
          <w:szCs w:val="28"/>
        </w:rPr>
        <w:t xml:space="preserve">re required to file complaints within 15 days of becoming aware of the SANDAG act or omission that </w:t>
      </w:r>
      <w:r w:rsidR="003210E2">
        <w:rPr>
          <w:sz w:val="28"/>
          <w:szCs w:val="28"/>
        </w:rPr>
        <w:t>wa</w:t>
      </w:r>
      <w:r>
        <w:rPr>
          <w:sz w:val="28"/>
          <w:szCs w:val="28"/>
        </w:rPr>
        <w:t xml:space="preserve">s the subject of </w:t>
      </w:r>
      <w:r>
        <w:rPr>
          <w:sz w:val="28"/>
          <w:szCs w:val="28"/>
        </w:rPr>
        <w:lastRenderedPageBreak/>
        <w:t xml:space="preserve">the complaint.  SANDAG must </w:t>
      </w:r>
      <w:r w:rsidR="003210E2">
        <w:rPr>
          <w:sz w:val="28"/>
          <w:szCs w:val="28"/>
        </w:rPr>
        <w:t>modify the</w:t>
      </w:r>
      <w:r>
        <w:rPr>
          <w:sz w:val="28"/>
          <w:szCs w:val="28"/>
        </w:rPr>
        <w:t xml:space="preserve"> time limits on when a complaint based on discrimination can be filed.</w:t>
      </w:r>
    </w:p>
    <w:p w:rsidR="00A54D1D" w:rsidRPr="00A54D1D" w:rsidRDefault="00A54D1D" w:rsidP="00A54D1D">
      <w:pPr>
        <w:ind w:left="720"/>
        <w:rPr>
          <w:sz w:val="28"/>
          <w:szCs w:val="28"/>
        </w:rPr>
      </w:pPr>
    </w:p>
    <w:p w:rsidR="00151EBA" w:rsidRDefault="00151EBA" w:rsidP="00151EBA">
      <w:pPr>
        <w:pStyle w:val="ListParagraph"/>
        <w:numPr>
          <w:ilvl w:val="1"/>
          <w:numId w:val="11"/>
        </w:numPr>
        <w:rPr>
          <w:sz w:val="28"/>
          <w:szCs w:val="28"/>
        </w:rPr>
      </w:pPr>
      <w:r>
        <w:rPr>
          <w:sz w:val="28"/>
          <w:szCs w:val="28"/>
        </w:rPr>
        <w:t>Paragraph 4.6 of BP9 state</w:t>
      </w:r>
      <w:r w:rsidR="003210E2">
        <w:rPr>
          <w:sz w:val="28"/>
          <w:szCs w:val="28"/>
        </w:rPr>
        <w:t>d</w:t>
      </w:r>
      <w:r>
        <w:rPr>
          <w:sz w:val="28"/>
          <w:szCs w:val="28"/>
        </w:rPr>
        <w:t xml:space="preserve"> that complainants c</w:t>
      </w:r>
      <w:r w:rsidR="003210E2">
        <w:rPr>
          <w:sz w:val="28"/>
          <w:szCs w:val="28"/>
        </w:rPr>
        <w:t>ould</w:t>
      </w:r>
      <w:r>
        <w:rPr>
          <w:sz w:val="28"/>
          <w:szCs w:val="28"/>
        </w:rPr>
        <w:t xml:space="preserve"> have representation when filing a complaint, but “an attorney is not an appropriate representative.”  SANDAG’s Office of General Counsel </w:t>
      </w:r>
      <w:r w:rsidR="003210E2">
        <w:rPr>
          <w:sz w:val="28"/>
          <w:szCs w:val="28"/>
        </w:rPr>
        <w:t>wa</w:t>
      </w:r>
      <w:r>
        <w:rPr>
          <w:sz w:val="28"/>
          <w:szCs w:val="28"/>
        </w:rPr>
        <w:t>s established as the Compliance Officer responsible for handling complaints. If SANDAG c</w:t>
      </w:r>
      <w:r w:rsidR="003210E2">
        <w:rPr>
          <w:sz w:val="28"/>
          <w:szCs w:val="28"/>
        </w:rPr>
        <w:t>ould</w:t>
      </w:r>
      <w:r>
        <w:rPr>
          <w:sz w:val="28"/>
          <w:szCs w:val="28"/>
        </w:rPr>
        <w:t xml:space="preserve"> have an attorney processing complaints on behalf of the agency, complainants should be allowed to be represented by an attorney. </w:t>
      </w:r>
    </w:p>
    <w:p w:rsidR="00151EBA" w:rsidRPr="00151EBA" w:rsidRDefault="00151EBA" w:rsidP="00151EBA">
      <w:pPr>
        <w:pStyle w:val="ListParagraph"/>
        <w:rPr>
          <w:sz w:val="28"/>
          <w:szCs w:val="28"/>
        </w:rPr>
      </w:pPr>
    </w:p>
    <w:p w:rsidR="00151EBA" w:rsidRPr="00151EBA" w:rsidRDefault="00151EBA" w:rsidP="00151EBA">
      <w:pPr>
        <w:pStyle w:val="ListParagraph"/>
        <w:numPr>
          <w:ilvl w:val="1"/>
          <w:numId w:val="11"/>
        </w:numPr>
        <w:rPr>
          <w:sz w:val="28"/>
          <w:szCs w:val="28"/>
        </w:rPr>
      </w:pPr>
      <w:r w:rsidRPr="00151EBA">
        <w:rPr>
          <w:sz w:val="28"/>
          <w:szCs w:val="28"/>
        </w:rPr>
        <w:t>SANDAG Title VI complaint procedures d</w:t>
      </w:r>
      <w:r w:rsidR="003210E2">
        <w:rPr>
          <w:sz w:val="28"/>
          <w:szCs w:val="28"/>
        </w:rPr>
        <w:t>id</w:t>
      </w:r>
      <w:r w:rsidRPr="00151EBA">
        <w:rPr>
          <w:sz w:val="28"/>
          <w:szCs w:val="28"/>
        </w:rPr>
        <w:t xml:space="preserve"> not clearly reference other outside agencies to which Title VI com</w:t>
      </w:r>
      <w:r>
        <w:rPr>
          <w:sz w:val="28"/>
          <w:szCs w:val="28"/>
        </w:rPr>
        <w:t>plaints can be filed (FTA, DOJ).</w:t>
      </w:r>
      <w:r w:rsidRPr="00151EBA">
        <w:rPr>
          <w:sz w:val="28"/>
          <w:szCs w:val="28"/>
        </w:rPr>
        <w:t xml:space="preserve"> </w:t>
      </w:r>
    </w:p>
    <w:p w:rsidR="00151EBA" w:rsidRDefault="00151EBA" w:rsidP="00E3609F"/>
    <w:p w:rsidR="00B26A92" w:rsidRDefault="00B26A92" w:rsidP="001F6025">
      <w:pPr>
        <w:spacing w:line="360" w:lineRule="auto"/>
        <w:rPr>
          <w:b/>
          <w:bCs/>
          <w:sz w:val="28"/>
          <w:szCs w:val="28"/>
        </w:rPr>
      </w:pPr>
    </w:p>
    <w:p w:rsidR="00373EA9" w:rsidRDefault="00373EA9" w:rsidP="001F6025">
      <w:pPr>
        <w:spacing w:line="360" w:lineRule="auto"/>
        <w:rPr>
          <w:sz w:val="28"/>
          <w:szCs w:val="28"/>
        </w:rPr>
      </w:pPr>
      <w:r>
        <w:rPr>
          <w:sz w:val="28"/>
          <w:szCs w:val="28"/>
        </w:rPr>
        <w:t xml:space="preserve">In response </w:t>
      </w:r>
      <w:r w:rsidR="008E716D">
        <w:rPr>
          <w:sz w:val="28"/>
          <w:szCs w:val="28"/>
        </w:rPr>
        <w:t xml:space="preserve">to </w:t>
      </w:r>
      <w:r>
        <w:rPr>
          <w:sz w:val="28"/>
          <w:szCs w:val="28"/>
        </w:rPr>
        <w:t>the Draft report in a letter dated September 30, 2011, SANDAG stated:</w:t>
      </w:r>
    </w:p>
    <w:p w:rsidR="00373EA9" w:rsidRDefault="00373EA9" w:rsidP="001F6025">
      <w:pPr>
        <w:spacing w:line="360" w:lineRule="auto"/>
        <w:rPr>
          <w:sz w:val="28"/>
          <w:szCs w:val="28"/>
        </w:rPr>
      </w:pPr>
    </w:p>
    <w:p w:rsidR="00373EA9" w:rsidRPr="00373EA9" w:rsidRDefault="00373EA9" w:rsidP="00373EA9">
      <w:pPr>
        <w:ind w:left="720"/>
        <w:rPr>
          <w:i/>
          <w:sz w:val="28"/>
          <w:szCs w:val="28"/>
        </w:rPr>
      </w:pPr>
      <w:r w:rsidRPr="00373EA9">
        <w:rPr>
          <w:i/>
          <w:sz w:val="28"/>
          <w:szCs w:val="28"/>
        </w:rPr>
        <w:t>SANDAG has revised its Board Policy No. 009:  Discrimination Complaint Procedures.  The revisions modify the Title VI complaint procedures to address all of the issues raised by the Title VI compliance review.  The revised Board policy is set for approval by the SANDAG Board of Directors at its October 28, 2011 meeting.</w:t>
      </w:r>
    </w:p>
    <w:p w:rsidR="00373EA9" w:rsidRDefault="00373EA9" w:rsidP="001F6025">
      <w:pPr>
        <w:spacing w:line="360" w:lineRule="auto"/>
        <w:rPr>
          <w:sz w:val="28"/>
          <w:szCs w:val="28"/>
        </w:rPr>
      </w:pPr>
    </w:p>
    <w:p w:rsidR="00373EA9" w:rsidRPr="00373EA9" w:rsidRDefault="00373EA9" w:rsidP="001F6025">
      <w:pPr>
        <w:spacing w:line="360" w:lineRule="auto"/>
        <w:rPr>
          <w:bCs/>
          <w:sz w:val="28"/>
          <w:szCs w:val="28"/>
        </w:rPr>
      </w:pPr>
      <w:r>
        <w:rPr>
          <w:bCs/>
          <w:sz w:val="28"/>
          <w:szCs w:val="28"/>
        </w:rPr>
        <w:t>SANDAG provided a draft o</w:t>
      </w:r>
      <w:r w:rsidR="00C47F39">
        <w:rPr>
          <w:bCs/>
          <w:sz w:val="28"/>
          <w:szCs w:val="28"/>
        </w:rPr>
        <w:t xml:space="preserve">f its revised Board Policy No. </w:t>
      </w:r>
      <w:r>
        <w:rPr>
          <w:bCs/>
          <w:sz w:val="28"/>
          <w:szCs w:val="28"/>
        </w:rPr>
        <w:t xml:space="preserve">009.  It was confirmed that the </w:t>
      </w:r>
      <w:r w:rsidR="007E1C00">
        <w:rPr>
          <w:bCs/>
          <w:sz w:val="28"/>
          <w:szCs w:val="28"/>
        </w:rPr>
        <w:t>draft addressed all of the issues raised in the Title VI compliance review.</w:t>
      </w:r>
    </w:p>
    <w:p w:rsidR="00373EA9" w:rsidRDefault="00373EA9" w:rsidP="001F6025">
      <w:pPr>
        <w:spacing w:line="360" w:lineRule="auto"/>
        <w:rPr>
          <w:b/>
          <w:bCs/>
          <w:sz w:val="28"/>
          <w:szCs w:val="28"/>
        </w:rPr>
      </w:pPr>
    </w:p>
    <w:p w:rsidR="001F6025" w:rsidRDefault="001F6025" w:rsidP="001F6025">
      <w:pPr>
        <w:spacing w:line="360" w:lineRule="auto"/>
        <w:rPr>
          <w:sz w:val="28"/>
          <w:szCs w:val="28"/>
        </w:rPr>
      </w:pPr>
      <w:r w:rsidRPr="00CC3819">
        <w:rPr>
          <w:b/>
          <w:bCs/>
          <w:sz w:val="28"/>
          <w:szCs w:val="28"/>
        </w:rPr>
        <w:t>Corrective Actions and Schedules:</w:t>
      </w:r>
      <w:r>
        <w:rPr>
          <w:b/>
          <w:bCs/>
          <w:sz w:val="28"/>
          <w:szCs w:val="28"/>
        </w:rPr>
        <w:t xml:space="preserve"> </w:t>
      </w:r>
      <w:r w:rsidRPr="00CC3819">
        <w:rPr>
          <w:b/>
          <w:bCs/>
          <w:sz w:val="28"/>
          <w:szCs w:val="28"/>
        </w:rPr>
        <w:t xml:space="preserve"> </w:t>
      </w:r>
      <w:r w:rsidR="00CA12B2" w:rsidRPr="003A0B73">
        <w:rPr>
          <w:bCs/>
          <w:sz w:val="28"/>
          <w:szCs w:val="28"/>
        </w:rPr>
        <w:t>No later than April 27, 2012</w:t>
      </w:r>
      <w:r w:rsidR="00B26A92">
        <w:rPr>
          <w:bCs/>
          <w:sz w:val="28"/>
          <w:szCs w:val="28"/>
        </w:rPr>
        <w:t xml:space="preserve">, </w:t>
      </w:r>
      <w:r w:rsidR="00B26A92" w:rsidRPr="00B26A92">
        <w:rPr>
          <w:sz w:val="28"/>
          <w:szCs w:val="28"/>
        </w:rPr>
        <w:t>SANDAG must submit to the FTA Equal Opportunity Specialist in FTA’s Headquarters Office of Civil Rights documentation that it</w:t>
      </w:r>
      <w:r w:rsidR="007E1C00">
        <w:rPr>
          <w:sz w:val="28"/>
          <w:szCs w:val="28"/>
        </w:rPr>
        <w:t xml:space="preserve">s Board of Directors </w:t>
      </w:r>
      <w:r w:rsidR="00B26A92" w:rsidRPr="00B26A92">
        <w:rPr>
          <w:sz w:val="28"/>
          <w:szCs w:val="28"/>
        </w:rPr>
        <w:t xml:space="preserve">has </w:t>
      </w:r>
      <w:r w:rsidR="007E1C00">
        <w:rPr>
          <w:sz w:val="28"/>
          <w:szCs w:val="28"/>
        </w:rPr>
        <w:t xml:space="preserve">approved its </w:t>
      </w:r>
      <w:r w:rsidR="00B26A92" w:rsidRPr="00B26A92">
        <w:rPr>
          <w:sz w:val="28"/>
          <w:szCs w:val="28"/>
        </w:rPr>
        <w:t>revise</w:t>
      </w:r>
      <w:r w:rsidR="00A23683">
        <w:rPr>
          <w:sz w:val="28"/>
          <w:szCs w:val="28"/>
        </w:rPr>
        <w:t>d Title VI Complaint Procedures.</w:t>
      </w:r>
    </w:p>
    <w:p w:rsidR="001F6025" w:rsidRDefault="001F6025" w:rsidP="001F6025">
      <w:pPr>
        <w:spacing w:line="360" w:lineRule="auto"/>
        <w:rPr>
          <w:sz w:val="28"/>
          <w:szCs w:val="28"/>
        </w:rPr>
      </w:pPr>
    </w:p>
    <w:p w:rsidR="00F80A8D" w:rsidRDefault="00F80A8D">
      <w:pPr>
        <w:pStyle w:val="BHLevel2"/>
        <w:spacing w:line="360" w:lineRule="auto"/>
        <w:rPr>
          <w:sz w:val="28"/>
          <w:szCs w:val="28"/>
        </w:rPr>
      </w:pPr>
      <w:bookmarkStart w:id="15" w:name="_Toc315152508"/>
      <w:r>
        <w:rPr>
          <w:sz w:val="28"/>
          <w:szCs w:val="28"/>
        </w:rPr>
        <w:lastRenderedPageBreak/>
        <w:t>Record of Title VI Investigations, Complaints, and Lawsuits</w:t>
      </w:r>
      <w:bookmarkEnd w:id="15"/>
    </w:p>
    <w:p w:rsidR="00F80A8D" w:rsidRDefault="00F80A8D">
      <w:pPr>
        <w:rPr>
          <w:i/>
          <w:iCs/>
          <w:kern w:val="32"/>
          <w:sz w:val="28"/>
        </w:rPr>
      </w:pPr>
      <w:r>
        <w:rPr>
          <w:b/>
          <w:sz w:val="28"/>
          <w:szCs w:val="28"/>
        </w:rPr>
        <w:t xml:space="preserve">Requirement: </w:t>
      </w:r>
      <w:r w:rsidR="005B1F1E">
        <w:rPr>
          <w:b/>
          <w:sz w:val="28"/>
          <w:szCs w:val="28"/>
        </w:rPr>
        <w:t xml:space="preserve"> </w:t>
      </w:r>
      <w:r>
        <w:rPr>
          <w:i/>
          <w:iCs/>
          <w:kern w:val="32"/>
          <w:sz w:val="28"/>
        </w:rPr>
        <w:t>FTA recipients shall prepare and maintain a list of any active investigations conducted by entities other than FTA, lawsuits, or complaints naming the recipients that allege discrimination on the basis of race, color, or national origin.  This list shall include the date that the investigation, lawsuit, or complaint was filed; a summary of the allegation(s); the status of the investigation, lawsuit, or complaint; and actions taken by the recipient in response to the investigation, lawsuit, or complaint.</w:t>
      </w:r>
    </w:p>
    <w:p w:rsidR="00F80A8D" w:rsidRDefault="00F80A8D">
      <w:pPr>
        <w:pStyle w:val="ReferenceLine"/>
        <w:spacing w:line="360" w:lineRule="auto"/>
        <w:rPr>
          <w:sz w:val="28"/>
          <w:szCs w:val="28"/>
        </w:rPr>
      </w:pPr>
    </w:p>
    <w:p w:rsidR="005B6E53" w:rsidRPr="00634C60" w:rsidRDefault="00F80A8D" w:rsidP="007E62E8">
      <w:pPr>
        <w:spacing w:line="360" w:lineRule="auto"/>
        <w:rPr>
          <w:sz w:val="28"/>
          <w:szCs w:val="28"/>
        </w:rPr>
      </w:pPr>
      <w:r>
        <w:rPr>
          <w:b/>
          <w:sz w:val="28"/>
          <w:szCs w:val="28"/>
        </w:rPr>
        <w:t>Findings:</w:t>
      </w:r>
      <w:r w:rsidR="005B1F1E">
        <w:rPr>
          <w:b/>
          <w:sz w:val="28"/>
          <w:szCs w:val="28"/>
        </w:rPr>
        <w:t xml:space="preserve"> </w:t>
      </w:r>
      <w:r>
        <w:rPr>
          <w:b/>
          <w:sz w:val="28"/>
          <w:szCs w:val="28"/>
        </w:rPr>
        <w:t xml:space="preserve"> </w:t>
      </w:r>
      <w:r>
        <w:rPr>
          <w:sz w:val="28"/>
          <w:szCs w:val="28"/>
        </w:rPr>
        <w:t xml:space="preserve">During this Title VI Compliance Review of </w:t>
      </w:r>
      <w:r w:rsidR="005772CD">
        <w:rPr>
          <w:sz w:val="28"/>
          <w:szCs w:val="28"/>
        </w:rPr>
        <w:t>SANDAG</w:t>
      </w:r>
      <w:r w:rsidR="00CA1585">
        <w:rPr>
          <w:sz w:val="28"/>
          <w:szCs w:val="28"/>
        </w:rPr>
        <w:t xml:space="preserve">, </w:t>
      </w:r>
      <w:r w:rsidR="005B6E53">
        <w:rPr>
          <w:sz w:val="28"/>
          <w:szCs w:val="28"/>
        </w:rPr>
        <w:t xml:space="preserve">no </w:t>
      </w:r>
      <w:r>
        <w:rPr>
          <w:sz w:val="28"/>
          <w:szCs w:val="28"/>
        </w:rPr>
        <w:t xml:space="preserve">deficiencies were found regarding </w:t>
      </w:r>
      <w:r w:rsidR="005772CD">
        <w:rPr>
          <w:sz w:val="28"/>
          <w:szCs w:val="28"/>
        </w:rPr>
        <w:t>SANDAG</w:t>
      </w:r>
      <w:r>
        <w:rPr>
          <w:sz w:val="28"/>
          <w:szCs w:val="28"/>
        </w:rPr>
        <w:t>’s compliance with FTA requirements for Record of Title VI Investigations, Complaints, and Lawsuits.</w:t>
      </w:r>
      <w:r w:rsidR="00DA1C54">
        <w:rPr>
          <w:sz w:val="28"/>
          <w:szCs w:val="28"/>
        </w:rPr>
        <w:t xml:space="preserve">  SANDAG provided</w:t>
      </w:r>
      <w:r w:rsidR="00E3609F">
        <w:rPr>
          <w:sz w:val="28"/>
          <w:szCs w:val="28"/>
        </w:rPr>
        <w:t xml:space="preserve"> </w:t>
      </w:r>
      <w:r w:rsidR="00DA1C54">
        <w:rPr>
          <w:sz w:val="28"/>
          <w:szCs w:val="28"/>
        </w:rPr>
        <w:t xml:space="preserve">its </w:t>
      </w:r>
      <w:r w:rsidR="00DA1C54" w:rsidRPr="00DA1C54">
        <w:rPr>
          <w:i/>
          <w:sz w:val="28"/>
          <w:szCs w:val="28"/>
        </w:rPr>
        <w:t>Title VI Complaint Tracking Log</w:t>
      </w:r>
      <w:r w:rsidR="00DA1C54">
        <w:rPr>
          <w:sz w:val="28"/>
          <w:szCs w:val="28"/>
        </w:rPr>
        <w:t>, which included all the elements required by FTA Circular 4702.1A.IV.3.</w:t>
      </w:r>
    </w:p>
    <w:p w:rsidR="00F80A8D" w:rsidRDefault="00F80A8D">
      <w:pPr>
        <w:spacing w:line="360" w:lineRule="auto"/>
        <w:rPr>
          <w:bCs/>
          <w:sz w:val="28"/>
          <w:szCs w:val="28"/>
        </w:rPr>
      </w:pPr>
    </w:p>
    <w:p w:rsidR="00F80A8D" w:rsidRDefault="00F80A8D">
      <w:pPr>
        <w:pStyle w:val="BHLevel2"/>
        <w:spacing w:line="360" w:lineRule="auto"/>
        <w:rPr>
          <w:sz w:val="28"/>
          <w:szCs w:val="28"/>
        </w:rPr>
      </w:pPr>
      <w:bookmarkStart w:id="16" w:name="_Toc315152509"/>
      <w:r>
        <w:rPr>
          <w:sz w:val="28"/>
          <w:szCs w:val="28"/>
        </w:rPr>
        <w:t>Notice to Beneficiaries of Protection Under Title VI</w:t>
      </w:r>
      <w:bookmarkEnd w:id="16"/>
    </w:p>
    <w:p w:rsidR="00F80A8D" w:rsidRDefault="00F80A8D">
      <w:pPr>
        <w:rPr>
          <w:sz w:val="28"/>
        </w:rPr>
      </w:pPr>
      <w:r>
        <w:rPr>
          <w:b/>
          <w:sz w:val="28"/>
          <w:szCs w:val="28"/>
        </w:rPr>
        <w:t xml:space="preserve">Requirement:  </w:t>
      </w:r>
      <w:r>
        <w:rPr>
          <w:bCs/>
          <w:i/>
          <w:iCs/>
          <w:sz w:val="28"/>
          <w:szCs w:val="28"/>
        </w:rPr>
        <w:t xml:space="preserve">FTA </w:t>
      </w:r>
      <w:r>
        <w:rPr>
          <w:bCs/>
          <w:i/>
          <w:iCs/>
          <w:sz w:val="28"/>
        </w:rPr>
        <w:t>r</w:t>
      </w:r>
      <w:r>
        <w:rPr>
          <w:i/>
          <w:iCs/>
          <w:sz w:val="28"/>
        </w:rPr>
        <w:t>ecipients shall provide information to the public regarding their Title VI obligations and apprise members of the public of the protections against discrimination afforded to them by Title VI.  Recipients shall disseminate this information to the public through measures that can include but shall not be limited to a posting on its Web site.</w:t>
      </w:r>
    </w:p>
    <w:p w:rsidR="00F80A8D" w:rsidRDefault="00F80A8D">
      <w:pPr>
        <w:spacing w:line="360" w:lineRule="auto"/>
        <w:rPr>
          <w:sz w:val="28"/>
          <w:szCs w:val="28"/>
        </w:rPr>
      </w:pPr>
    </w:p>
    <w:p w:rsidR="00085F3E" w:rsidRPr="006D3B06" w:rsidRDefault="00F80A8D" w:rsidP="0038078B">
      <w:pPr>
        <w:spacing w:line="360" w:lineRule="auto"/>
      </w:pPr>
      <w:r>
        <w:rPr>
          <w:b/>
          <w:sz w:val="28"/>
          <w:szCs w:val="28"/>
        </w:rPr>
        <w:t xml:space="preserve">Findings:  </w:t>
      </w:r>
      <w:r>
        <w:rPr>
          <w:sz w:val="28"/>
          <w:szCs w:val="28"/>
        </w:rPr>
        <w:t xml:space="preserve">During this Title VI Compliance Review of </w:t>
      </w:r>
      <w:r w:rsidR="005772CD">
        <w:rPr>
          <w:sz w:val="28"/>
          <w:szCs w:val="28"/>
        </w:rPr>
        <w:t>SANDAG</w:t>
      </w:r>
      <w:r w:rsidR="008C3DD1">
        <w:rPr>
          <w:sz w:val="28"/>
          <w:szCs w:val="28"/>
        </w:rPr>
        <w:t xml:space="preserve">, </w:t>
      </w:r>
      <w:r w:rsidRPr="00C7537A">
        <w:rPr>
          <w:sz w:val="28"/>
          <w:szCs w:val="28"/>
        </w:rPr>
        <w:t>deficiencies</w:t>
      </w:r>
      <w:r>
        <w:rPr>
          <w:sz w:val="28"/>
          <w:szCs w:val="28"/>
        </w:rPr>
        <w:t xml:space="preserve"> were found regarding </w:t>
      </w:r>
      <w:r w:rsidR="005772CD">
        <w:rPr>
          <w:sz w:val="28"/>
          <w:szCs w:val="28"/>
        </w:rPr>
        <w:t>SANDAG</w:t>
      </w:r>
      <w:r>
        <w:rPr>
          <w:sz w:val="28"/>
          <w:szCs w:val="28"/>
        </w:rPr>
        <w:t xml:space="preserve">’s compliance with FTA requirements for Notice </w:t>
      </w:r>
      <w:r w:rsidR="007C38C5">
        <w:rPr>
          <w:sz w:val="28"/>
          <w:szCs w:val="28"/>
        </w:rPr>
        <w:t>to Beneficiaries of Protection u</w:t>
      </w:r>
      <w:r>
        <w:rPr>
          <w:sz w:val="28"/>
          <w:szCs w:val="28"/>
        </w:rPr>
        <w:t xml:space="preserve">nder Title VI.  </w:t>
      </w:r>
      <w:r w:rsidR="000671C0">
        <w:rPr>
          <w:sz w:val="28"/>
          <w:szCs w:val="28"/>
        </w:rPr>
        <w:t xml:space="preserve">Prior to the site visit, </w:t>
      </w:r>
      <w:r w:rsidR="005772CD">
        <w:rPr>
          <w:sz w:val="28"/>
          <w:szCs w:val="28"/>
        </w:rPr>
        <w:t>SANDAG</w:t>
      </w:r>
      <w:r w:rsidR="003F018E">
        <w:rPr>
          <w:sz w:val="28"/>
          <w:szCs w:val="28"/>
        </w:rPr>
        <w:t xml:space="preserve"> provided a document </w:t>
      </w:r>
      <w:r w:rsidR="00ED2322">
        <w:rPr>
          <w:sz w:val="28"/>
          <w:szCs w:val="28"/>
        </w:rPr>
        <w:t>en</w:t>
      </w:r>
      <w:r w:rsidR="003F018E">
        <w:rPr>
          <w:sz w:val="28"/>
          <w:szCs w:val="28"/>
        </w:rPr>
        <w:t xml:space="preserve">titled, </w:t>
      </w:r>
      <w:r w:rsidR="006E416D">
        <w:rPr>
          <w:sz w:val="28"/>
          <w:szCs w:val="28"/>
        </w:rPr>
        <w:t>“</w:t>
      </w:r>
      <w:r w:rsidR="003F018E" w:rsidRPr="003F018E">
        <w:rPr>
          <w:i/>
          <w:sz w:val="28"/>
          <w:szCs w:val="28"/>
        </w:rPr>
        <w:t>Third Party Complaint Procedures for Title VI and Other Anti-Discrimination Statutes</w:t>
      </w:r>
      <w:r w:rsidR="00390C09">
        <w:rPr>
          <w:sz w:val="28"/>
          <w:szCs w:val="28"/>
        </w:rPr>
        <w:t>,</w:t>
      </w:r>
      <w:r w:rsidR="006E416D">
        <w:rPr>
          <w:sz w:val="28"/>
          <w:szCs w:val="28"/>
        </w:rPr>
        <w:t>”</w:t>
      </w:r>
      <w:r w:rsidR="00390C09">
        <w:rPr>
          <w:sz w:val="28"/>
          <w:szCs w:val="28"/>
        </w:rPr>
        <w:t xml:space="preserve"> which included its Title VI Notice</w:t>
      </w:r>
      <w:r w:rsidR="003F018E">
        <w:rPr>
          <w:sz w:val="28"/>
          <w:szCs w:val="28"/>
        </w:rPr>
        <w:t xml:space="preserve">.  This Notice did not </w:t>
      </w:r>
      <w:r w:rsidR="006D3B06">
        <w:rPr>
          <w:sz w:val="28"/>
          <w:szCs w:val="28"/>
        </w:rPr>
        <w:t>contain all of the elements required by FTA Circular 4702.1A</w:t>
      </w:r>
      <w:r w:rsidR="00390C09">
        <w:rPr>
          <w:sz w:val="28"/>
          <w:szCs w:val="28"/>
        </w:rPr>
        <w:t>.</w:t>
      </w:r>
      <w:r w:rsidR="006D3B06">
        <w:rPr>
          <w:sz w:val="28"/>
          <w:szCs w:val="28"/>
        </w:rPr>
        <w:t>IV</w:t>
      </w:r>
      <w:r w:rsidR="00390C09">
        <w:rPr>
          <w:sz w:val="28"/>
          <w:szCs w:val="28"/>
        </w:rPr>
        <w:t>.</w:t>
      </w:r>
      <w:r w:rsidR="006D3B06">
        <w:rPr>
          <w:sz w:val="28"/>
          <w:szCs w:val="28"/>
        </w:rPr>
        <w:t>5a, as illustrated in the following table:</w:t>
      </w:r>
    </w:p>
    <w:p w:rsidR="00085F3E" w:rsidRDefault="00085F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98"/>
        <w:gridCol w:w="2808"/>
      </w:tblGrid>
      <w:tr w:rsidR="00F80A8D" w:rsidTr="00C7537A">
        <w:trPr>
          <w:tblHeader/>
        </w:trPr>
        <w:tc>
          <w:tcPr>
            <w:tcW w:w="6498" w:type="dxa"/>
          </w:tcPr>
          <w:p w:rsidR="00F80A8D" w:rsidRDefault="00F80A8D">
            <w:pPr>
              <w:rPr>
                <w:b/>
                <w:bCs/>
                <w:sz w:val="24"/>
                <w:szCs w:val="28"/>
              </w:rPr>
            </w:pPr>
            <w:r>
              <w:rPr>
                <w:b/>
                <w:bCs/>
                <w:sz w:val="28"/>
                <w:szCs w:val="28"/>
              </w:rPr>
              <w:br w:type="page"/>
            </w:r>
            <w:r>
              <w:rPr>
                <w:b/>
                <w:bCs/>
                <w:sz w:val="24"/>
                <w:szCs w:val="28"/>
              </w:rPr>
              <w:t>Elements Required in Title VI Noti</w:t>
            </w:r>
            <w:r w:rsidR="00C93C11">
              <w:rPr>
                <w:b/>
                <w:bCs/>
                <w:sz w:val="24"/>
                <w:szCs w:val="28"/>
              </w:rPr>
              <w:t>ce to Beneficiaries</w:t>
            </w:r>
          </w:p>
          <w:p w:rsidR="00F80A8D" w:rsidRDefault="00F80A8D">
            <w:pPr>
              <w:rPr>
                <w:b/>
                <w:bCs/>
                <w:sz w:val="22"/>
                <w:szCs w:val="28"/>
              </w:rPr>
            </w:pPr>
            <w:r>
              <w:rPr>
                <w:b/>
                <w:bCs/>
                <w:sz w:val="22"/>
                <w:szCs w:val="28"/>
              </w:rPr>
              <w:t>(Per FTA Circular 4702.1A Chapter IV Section 5.a)</w:t>
            </w:r>
          </w:p>
        </w:tc>
        <w:tc>
          <w:tcPr>
            <w:tcW w:w="2808" w:type="dxa"/>
          </w:tcPr>
          <w:p w:rsidR="00F80A8D" w:rsidRDefault="00F80A8D" w:rsidP="00175368">
            <w:pPr>
              <w:jc w:val="center"/>
              <w:rPr>
                <w:b/>
                <w:bCs/>
                <w:sz w:val="24"/>
                <w:szCs w:val="28"/>
              </w:rPr>
            </w:pPr>
            <w:r>
              <w:rPr>
                <w:b/>
                <w:bCs/>
                <w:sz w:val="24"/>
                <w:szCs w:val="28"/>
              </w:rPr>
              <w:t xml:space="preserve">Included in </w:t>
            </w:r>
            <w:r w:rsidR="005772CD">
              <w:rPr>
                <w:b/>
                <w:bCs/>
                <w:sz w:val="24"/>
                <w:szCs w:val="28"/>
              </w:rPr>
              <w:t>SANDAG</w:t>
            </w:r>
            <w:r w:rsidR="00175368">
              <w:rPr>
                <w:b/>
                <w:bCs/>
                <w:sz w:val="24"/>
                <w:szCs w:val="28"/>
              </w:rPr>
              <w:t>’s Notice</w:t>
            </w:r>
            <w:r>
              <w:rPr>
                <w:b/>
                <w:bCs/>
                <w:sz w:val="24"/>
                <w:szCs w:val="28"/>
              </w:rPr>
              <w:t>?</w:t>
            </w:r>
          </w:p>
        </w:tc>
      </w:tr>
      <w:tr w:rsidR="00F80A8D" w:rsidTr="00C7537A">
        <w:tc>
          <w:tcPr>
            <w:tcW w:w="6498" w:type="dxa"/>
          </w:tcPr>
          <w:p w:rsidR="00F80A8D" w:rsidRDefault="00F80A8D">
            <w:pPr>
              <w:rPr>
                <w:sz w:val="22"/>
                <w:szCs w:val="28"/>
              </w:rPr>
            </w:pPr>
            <w:r>
              <w:rPr>
                <w:sz w:val="22"/>
                <w:szCs w:val="28"/>
              </w:rPr>
              <w:t>A statement that the agency operates programs without regard to race, color, and national origin</w:t>
            </w:r>
            <w:r w:rsidR="00DC2B23">
              <w:rPr>
                <w:sz w:val="22"/>
                <w:szCs w:val="28"/>
              </w:rPr>
              <w:t>.</w:t>
            </w:r>
          </w:p>
        </w:tc>
        <w:tc>
          <w:tcPr>
            <w:tcW w:w="2808" w:type="dxa"/>
            <w:tcBorders>
              <w:bottom w:val="single" w:sz="4" w:space="0" w:color="000000"/>
            </w:tcBorders>
          </w:tcPr>
          <w:p w:rsidR="00F80A8D" w:rsidRPr="00B95DAC" w:rsidRDefault="00FA3F3B">
            <w:pPr>
              <w:jc w:val="center"/>
              <w:rPr>
                <w:sz w:val="22"/>
                <w:szCs w:val="28"/>
              </w:rPr>
            </w:pPr>
            <w:r>
              <w:rPr>
                <w:sz w:val="22"/>
                <w:szCs w:val="28"/>
              </w:rPr>
              <w:t>Yes</w:t>
            </w:r>
          </w:p>
        </w:tc>
      </w:tr>
      <w:tr w:rsidR="00F80A8D" w:rsidTr="00C7537A">
        <w:tc>
          <w:tcPr>
            <w:tcW w:w="6498" w:type="dxa"/>
          </w:tcPr>
          <w:p w:rsidR="00F80A8D" w:rsidRDefault="00F80A8D">
            <w:pPr>
              <w:rPr>
                <w:sz w:val="22"/>
                <w:szCs w:val="28"/>
              </w:rPr>
            </w:pPr>
            <w:r>
              <w:rPr>
                <w:sz w:val="22"/>
                <w:szCs w:val="28"/>
              </w:rPr>
              <w:t>A description of the procedures that members of the public should follow in order to request additional information on the recipient’s nondiscrimination obligations</w:t>
            </w:r>
            <w:r w:rsidR="00DC2B23">
              <w:rPr>
                <w:sz w:val="22"/>
                <w:szCs w:val="28"/>
              </w:rPr>
              <w:t>.</w:t>
            </w:r>
          </w:p>
        </w:tc>
        <w:tc>
          <w:tcPr>
            <w:tcW w:w="2808" w:type="dxa"/>
          </w:tcPr>
          <w:p w:rsidR="00F80A8D" w:rsidRPr="00B95DAC" w:rsidRDefault="00FA3F3B">
            <w:pPr>
              <w:jc w:val="center"/>
              <w:rPr>
                <w:sz w:val="22"/>
                <w:szCs w:val="28"/>
              </w:rPr>
            </w:pPr>
            <w:r>
              <w:rPr>
                <w:sz w:val="22"/>
                <w:szCs w:val="28"/>
              </w:rPr>
              <w:t>No</w:t>
            </w:r>
          </w:p>
        </w:tc>
      </w:tr>
      <w:tr w:rsidR="00F80A8D" w:rsidTr="00C7537A">
        <w:tc>
          <w:tcPr>
            <w:tcW w:w="6498" w:type="dxa"/>
          </w:tcPr>
          <w:p w:rsidR="00F80A8D" w:rsidRDefault="00F80A8D">
            <w:pPr>
              <w:rPr>
                <w:sz w:val="22"/>
                <w:szCs w:val="28"/>
              </w:rPr>
            </w:pPr>
            <w:r>
              <w:rPr>
                <w:sz w:val="22"/>
                <w:szCs w:val="28"/>
              </w:rPr>
              <w:t>A description of the procedures that members of the public should follow in order to file a discrimination complaint against the recipient.</w:t>
            </w:r>
          </w:p>
        </w:tc>
        <w:tc>
          <w:tcPr>
            <w:tcW w:w="2808" w:type="dxa"/>
          </w:tcPr>
          <w:p w:rsidR="00F80A8D" w:rsidRPr="00B95DAC" w:rsidRDefault="00FA3F3B">
            <w:pPr>
              <w:jc w:val="center"/>
              <w:rPr>
                <w:sz w:val="22"/>
                <w:szCs w:val="28"/>
              </w:rPr>
            </w:pPr>
            <w:r>
              <w:rPr>
                <w:sz w:val="22"/>
                <w:szCs w:val="28"/>
              </w:rPr>
              <w:t>Yes</w:t>
            </w:r>
          </w:p>
        </w:tc>
      </w:tr>
    </w:tbl>
    <w:p w:rsidR="00DA1C54" w:rsidRDefault="00DA1C54" w:rsidP="001F6025">
      <w:pPr>
        <w:spacing w:line="360" w:lineRule="auto"/>
        <w:rPr>
          <w:b/>
          <w:bCs/>
          <w:sz w:val="28"/>
          <w:szCs w:val="28"/>
        </w:rPr>
      </w:pPr>
    </w:p>
    <w:p w:rsidR="00B52857" w:rsidRPr="00B52857" w:rsidRDefault="00B52857" w:rsidP="001F6025">
      <w:pPr>
        <w:spacing w:line="360" w:lineRule="auto"/>
        <w:rPr>
          <w:bCs/>
          <w:sz w:val="28"/>
          <w:szCs w:val="28"/>
        </w:rPr>
      </w:pPr>
      <w:r>
        <w:rPr>
          <w:bCs/>
          <w:sz w:val="28"/>
          <w:szCs w:val="28"/>
        </w:rPr>
        <w:t xml:space="preserve">In addition, SANDAG </w:t>
      </w:r>
      <w:r w:rsidR="00EC1DFE">
        <w:rPr>
          <w:bCs/>
          <w:sz w:val="28"/>
          <w:szCs w:val="28"/>
        </w:rPr>
        <w:t>did not disseminate</w:t>
      </w:r>
      <w:r>
        <w:rPr>
          <w:bCs/>
          <w:sz w:val="28"/>
          <w:szCs w:val="28"/>
        </w:rPr>
        <w:t xml:space="preserve"> its Notice in ways other than on its website.</w:t>
      </w:r>
    </w:p>
    <w:p w:rsidR="00242631" w:rsidRDefault="00242631" w:rsidP="001F6025">
      <w:pPr>
        <w:spacing w:line="360" w:lineRule="auto"/>
        <w:rPr>
          <w:sz w:val="28"/>
          <w:szCs w:val="28"/>
        </w:rPr>
      </w:pPr>
    </w:p>
    <w:p w:rsidR="006900AA" w:rsidRDefault="00242631" w:rsidP="00655A50">
      <w:pPr>
        <w:spacing w:line="360" w:lineRule="auto"/>
        <w:rPr>
          <w:sz w:val="28"/>
          <w:szCs w:val="28"/>
        </w:rPr>
      </w:pPr>
      <w:r>
        <w:rPr>
          <w:sz w:val="28"/>
          <w:szCs w:val="28"/>
        </w:rPr>
        <w:t xml:space="preserve">In response </w:t>
      </w:r>
      <w:r w:rsidR="008E716D">
        <w:rPr>
          <w:sz w:val="28"/>
          <w:szCs w:val="28"/>
        </w:rPr>
        <w:t xml:space="preserve">to </w:t>
      </w:r>
      <w:r>
        <w:rPr>
          <w:sz w:val="28"/>
          <w:szCs w:val="28"/>
        </w:rPr>
        <w:t>the Draft report in a letter dated September 30, 2011, SANDAG provided a revised Notice that included all the elements required by FTA Circular 470</w:t>
      </w:r>
      <w:r w:rsidR="00760F74">
        <w:rPr>
          <w:sz w:val="28"/>
          <w:szCs w:val="28"/>
        </w:rPr>
        <w:t xml:space="preserve">2.1A.  SANDAG stated that its revised Notice was available on its website at </w:t>
      </w:r>
      <w:hyperlink r:id="rId13" w:history="1">
        <w:r w:rsidR="00760F74" w:rsidRPr="00655F0F">
          <w:rPr>
            <w:rStyle w:val="Hyperlink"/>
            <w:sz w:val="28"/>
            <w:szCs w:val="28"/>
          </w:rPr>
          <w:t>www.sandag.org/notices</w:t>
        </w:r>
      </w:hyperlink>
      <w:r w:rsidR="00760F74">
        <w:rPr>
          <w:sz w:val="28"/>
          <w:szCs w:val="28"/>
        </w:rPr>
        <w:t xml:space="preserve">, but the Review team did not see the Notice at this website address.  In addition, when attempting to search for the term “Title </w:t>
      </w:r>
      <w:r w:rsidR="00655A50">
        <w:rPr>
          <w:sz w:val="28"/>
          <w:szCs w:val="28"/>
        </w:rPr>
        <w:t>VI” on SANDAG’s website, the Review team did not see the revised Notice</w:t>
      </w:r>
      <w:r w:rsidR="00C47F39">
        <w:rPr>
          <w:sz w:val="28"/>
          <w:szCs w:val="28"/>
        </w:rPr>
        <w:t xml:space="preserve"> in the search results</w:t>
      </w:r>
      <w:r w:rsidR="00655A50">
        <w:rPr>
          <w:sz w:val="28"/>
          <w:szCs w:val="28"/>
        </w:rPr>
        <w:t xml:space="preserve">.  </w:t>
      </w:r>
      <w:r w:rsidR="00760F74">
        <w:rPr>
          <w:sz w:val="28"/>
          <w:szCs w:val="28"/>
        </w:rPr>
        <w:t>SANDAG also stated that its revised Notice was included in all SANDAG Board of Directors and Policy Advisory Committee agendas.  A review of the agendas posted on SANDAG’s website confirmed t</w:t>
      </w:r>
      <w:r w:rsidR="00655A50">
        <w:rPr>
          <w:sz w:val="28"/>
          <w:szCs w:val="28"/>
        </w:rPr>
        <w:t>he revised Notice was included on Board and Advisory Committee agendas.</w:t>
      </w:r>
      <w:r w:rsidR="006277B1">
        <w:rPr>
          <w:sz w:val="28"/>
          <w:szCs w:val="28"/>
        </w:rPr>
        <w:t xml:space="preserve">  </w:t>
      </w:r>
      <w:r w:rsidR="006900AA">
        <w:rPr>
          <w:sz w:val="28"/>
          <w:szCs w:val="28"/>
        </w:rPr>
        <w:t xml:space="preserve">SANDAG also </w:t>
      </w:r>
      <w:r w:rsidR="006277B1">
        <w:rPr>
          <w:sz w:val="28"/>
          <w:szCs w:val="28"/>
        </w:rPr>
        <w:t>stated the following:</w:t>
      </w:r>
    </w:p>
    <w:p w:rsidR="006900AA" w:rsidRDefault="006900AA" w:rsidP="00655A50">
      <w:pPr>
        <w:spacing w:line="360" w:lineRule="auto"/>
        <w:rPr>
          <w:sz w:val="28"/>
          <w:szCs w:val="28"/>
        </w:rPr>
      </w:pPr>
    </w:p>
    <w:p w:rsidR="006900AA" w:rsidRPr="00CE7406" w:rsidRDefault="006277B1" w:rsidP="00CE7406">
      <w:pPr>
        <w:ind w:left="720"/>
        <w:rPr>
          <w:i/>
          <w:sz w:val="28"/>
          <w:szCs w:val="28"/>
        </w:rPr>
      </w:pPr>
      <w:r>
        <w:rPr>
          <w:i/>
          <w:sz w:val="28"/>
          <w:szCs w:val="28"/>
        </w:rPr>
        <w:t>The SANDAG c</w:t>
      </w:r>
      <w:r w:rsidR="006900AA" w:rsidRPr="00CE7406">
        <w:rPr>
          <w:i/>
          <w:sz w:val="28"/>
          <w:szCs w:val="28"/>
        </w:rPr>
        <w:t xml:space="preserve">ommitment to non-discrimination and compliance with Title VI obligations also is or will be included </w:t>
      </w:r>
      <w:r w:rsidR="00CE7406" w:rsidRPr="00CE7406">
        <w:rPr>
          <w:i/>
          <w:sz w:val="28"/>
          <w:szCs w:val="28"/>
        </w:rPr>
        <w:t xml:space="preserve">in the Regional Transportation Plan, Regional Transportation Improvement Plan (RTIP), SANDAG Board Policy No. 025, which contains the SANDAG Public Participation Plan, and other reports and documents.  SANDAG will disseminate a statement of non-discrimination in reports, brochures, newsletters, fliers, and other materials…SANDAG will translate the notice into languages other than </w:t>
      </w:r>
      <w:r w:rsidR="00CE7406" w:rsidRPr="00CE7406">
        <w:rPr>
          <w:i/>
          <w:sz w:val="28"/>
          <w:szCs w:val="28"/>
        </w:rPr>
        <w:lastRenderedPageBreak/>
        <w:t xml:space="preserve">English following completion of the </w:t>
      </w:r>
      <w:r w:rsidR="0060012B">
        <w:rPr>
          <w:i/>
          <w:sz w:val="28"/>
          <w:szCs w:val="28"/>
        </w:rPr>
        <w:t>Four-factor</w:t>
      </w:r>
      <w:r w:rsidR="00CE7406" w:rsidRPr="00CE7406">
        <w:rPr>
          <w:i/>
          <w:sz w:val="28"/>
          <w:szCs w:val="28"/>
        </w:rPr>
        <w:t xml:space="preserve"> Analysis and development of the Language Assistance Plan.</w:t>
      </w:r>
    </w:p>
    <w:p w:rsidR="006900AA" w:rsidRDefault="006900AA" w:rsidP="00655A50">
      <w:pPr>
        <w:spacing w:line="360" w:lineRule="auto"/>
        <w:rPr>
          <w:sz w:val="28"/>
          <w:szCs w:val="28"/>
        </w:rPr>
      </w:pPr>
    </w:p>
    <w:p w:rsidR="00655A50" w:rsidRDefault="00CE7406" w:rsidP="00655A50">
      <w:pPr>
        <w:spacing w:line="360" w:lineRule="auto"/>
        <w:rPr>
          <w:sz w:val="28"/>
          <w:szCs w:val="28"/>
        </w:rPr>
      </w:pPr>
      <w:r>
        <w:rPr>
          <w:sz w:val="28"/>
          <w:szCs w:val="28"/>
        </w:rPr>
        <w:t xml:space="preserve">While </w:t>
      </w:r>
      <w:r w:rsidR="00655A50">
        <w:rPr>
          <w:sz w:val="28"/>
          <w:szCs w:val="28"/>
        </w:rPr>
        <w:t xml:space="preserve">SANDAG is advised to </w:t>
      </w:r>
      <w:r>
        <w:rPr>
          <w:sz w:val="28"/>
          <w:szCs w:val="28"/>
        </w:rPr>
        <w:t>confirm its revised Notice is posted on its website, these actions are sufficient to close t</w:t>
      </w:r>
      <w:r w:rsidR="00655A50">
        <w:rPr>
          <w:sz w:val="28"/>
          <w:szCs w:val="28"/>
        </w:rPr>
        <w:t xml:space="preserve">he deficiency in </w:t>
      </w:r>
      <w:r w:rsidR="00353980">
        <w:rPr>
          <w:sz w:val="28"/>
          <w:szCs w:val="28"/>
        </w:rPr>
        <w:t xml:space="preserve">Notice to Beneficiaries of Protection </w:t>
      </w:r>
      <w:proofErr w:type="gramStart"/>
      <w:r w:rsidR="00353980">
        <w:rPr>
          <w:sz w:val="28"/>
          <w:szCs w:val="28"/>
        </w:rPr>
        <w:t>Under</w:t>
      </w:r>
      <w:proofErr w:type="gramEnd"/>
      <w:r w:rsidR="00353980">
        <w:rPr>
          <w:sz w:val="28"/>
          <w:szCs w:val="28"/>
        </w:rPr>
        <w:t xml:space="preserve"> Title VI</w:t>
      </w:r>
      <w:r w:rsidR="00655A50">
        <w:rPr>
          <w:sz w:val="28"/>
          <w:szCs w:val="28"/>
        </w:rPr>
        <w:t>.</w:t>
      </w:r>
    </w:p>
    <w:p w:rsidR="009065D9" w:rsidRDefault="009065D9" w:rsidP="006D3B06">
      <w:pPr>
        <w:rPr>
          <w:sz w:val="28"/>
          <w:szCs w:val="28"/>
        </w:rPr>
      </w:pPr>
    </w:p>
    <w:p w:rsidR="00F80A8D" w:rsidRDefault="00F80A8D">
      <w:pPr>
        <w:pStyle w:val="BHLevel2"/>
        <w:spacing w:line="360" w:lineRule="auto"/>
        <w:rPr>
          <w:sz w:val="28"/>
          <w:szCs w:val="28"/>
        </w:rPr>
      </w:pPr>
      <w:bookmarkStart w:id="17" w:name="_Toc315152510"/>
      <w:r>
        <w:rPr>
          <w:sz w:val="28"/>
          <w:szCs w:val="28"/>
        </w:rPr>
        <w:t>Annual Title VI Certification and Assurance</w:t>
      </w:r>
      <w:bookmarkEnd w:id="17"/>
    </w:p>
    <w:p w:rsidR="00F80A8D" w:rsidRDefault="00F80A8D">
      <w:pPr>
        <w:rPr>
          <w:i/>
          <w:iCs/>
          <w:sz w:val="28"/>
        </w:rPr>
      </w:pPr>
      <w:r>
        <w:rPr>
          <w:b/>
          <w:sz w:val="28"/>
          <w:szCs w:val="28"/>
        </w:rPr>
        <w:t xml:space="preserve">Requirement:  </w:t>
      </w:r>
      <w:r>
        <w:rPr>
          <w:bCs/>
          <w:i/>
          <w:iCs/>
          <w:sz w:val="28"/>
          <w:szCs w:val="28"/>
        </w:rPr>
        <w:t>FTA</w:t>
      </w:r>
      <w:r>
        <w:rPr>
          <w:b/>
          <w:sz w:val="28"/>
          <w:szCs w:val="28"/>
        </w:rPr>
        <w:t xml:space="preserve"> </w:t>
      </w:r>
      <w:r>
        <w:rPr>
          <w:i/>
          <w:iCs/>
          <w:sz w:val="28"/>
        </w:rPr>
        <w:t>recipients shall submit its annual Title VI certification and assurance as part of its Annual Certifications and Assurances submission to FTA (in the FTA web based Transportation Electronic Award Management (TEAM) grants management system.</w:t>
      </w:r>
    </w:p>
    <w:p w:rsidR="00F80A8D" w:rsidRDefault="00F80A8D">
      <w:pPr>
        <w:spacing w:line="360" w:lineRule="auto"/>
        <w:rPr>
          <w:sz w:val="28"/>
          <w:szCs w:val="28"/>
        </w:rPr>
      </w:pPr>
    </w:p>
    <w:p w:rsidR="00F80A8D" w:rsidRDefault="00F80A8D">
      <w:pPr>
        <w:spacing w:line="360" w:lineRule="auto"/>
        <w:rPr>
          <w:sz w:val="28"/>
          <w:szCs w:val="28"/>
        </w:rPr>
      </w:pPr>
      <w:r>
        <w:rPr>
          <w:b/>
          <w:sz w:val="28"/>
          <w:szCs w:val="28"/>
        </w:rPr>
        <w:t>Findings:</w:t>
      </w:r>
      <w:r>
        <w:rPr>
          <w:sz w:val="28"/>
          <w:szCs w:val="28"/>
        </w:rPr>
        <w:t xml:space="preserve"> </w:t>
      </w:r>
      <w:r w:rsidR="005B1F1E">
        <w:rPr>
          <w:sz w:val="28"/>
          <w:szCs w:val="28"/>
        </w:rPr>
        <w:t xml:space="preserve"> </w:t>
      </w:r>
      <w:r>
        <w:rPr>
          <w:sz w:val="28"/>
          <w:szCs w:val="28"/>
        </w:rPr>
        <w:t xml:space="preserve">During this Title VI Compliance Review of </w:t>
      </w:r>
      <w:r w:rsidR="005772CD">
        <w:rPr>
          <w:sz w:val="28"/>
          <w:szCs w:val="28"/>
        </w:rPr>
        <w:t>SANDAG</w:t>
      </w:r>
      <w:r>
        <w:rPr>
          <w:sz w:val="28"/>
          <w:szCs w:val="28"/>
        </w:rPr>
        <w:t xml:space="preserve">, no deficiencies were found regarding </w:t>
      </w:r>
      <w:r w:rsidR="005772CD">
        <w:rPr>
          <w:sz w:val="28"/>
          <w:szCs w:val="28"/>
        </w:rPr>
        <w:t>SANDAG</w:t>
      </w:r>
      <w:r>
        <w:rPr>
          <w:sz w:val="28"/>
          <w:szCs w:val="28"/>
        </w:rPr>
        <w:t xml:space="preserve">’s compliance with FTA requirements for Annual Title VI </w:t>
      </w:r>
      <w:r w:rsidR="00B57586">
        <w:rPr>
          <w:sz w:val="28"/>
          <w:szCs w:val="28"/>
        </w:rPr>
        <w:t xml:space="preserve">Certification and Assurance.  The FTA Civil Rights Assurance is incorporated in the Annual Certifications and Assurances submitted annually to FTA through the Transportation Electronic Award and Management (TEAM) system.  </w:t>
      </w:r>
      <w:r w:rsidR="005772CD">
        <w:rPr>
          <w:sz w:val="28"/>
          <w:szCs w:val="28"/>
        </w:rPr>
        <w:t>SANDAG</w:t>
      </w:r>
      <w:r w:rsidR="00B57586">
        <w:rPr>
          <w:sz w:val="28"/>
          <w:szCs w:val="28"/>
        </w:rPr>
        <w:t xml:space="preserve"> executed its FY 201</w:t>
      </w:r>
      <w:r w:rsidR="00ED2322">
        <w:rPr>
          <w:sz w:val="28"/>
          <w:szCs w:val="28"/>
        </w:rPr>
        <w:t>1</w:t>
      </w:r>
      <w:r w:rsidR="00B57586">
        <w:rPr>
          <w:sz w:val="28"/>
          <w:szCs w:val="28"/>
        </w:rPr>
        <w:t xml:space="preserve"> Annual Certifications and Assurances in TEAM on </w:t>
      </w:r>
      <w:r w:rsidR="006E416D">
        <w:rPr>
          <w:sz w:val="28"/>
          <w:szCs w:val="28"/>
        </w:rPr>
        <w:t xml:space="preserve">November 2, </w:t>
      </w:r>
      <w:r w:rsidR="005100E7">
        <w:rPr>
          <w:sz w:val="28"/>
          <w:szCs w:val="28"/>
        </w:rPr>
        <w:t>2010</w:t>
      </w:r>
      <w:r w:rsidR="00B57586">
        <w:rPr>
          <w:sz w:val="28"/>
          <w:szCs w:val="28"/>
        </w:rPr>
        <w:t xml:space="preserve">.  </w:t>
      </w:r>
      <w:r w:rsidR="005772CD">
        <w:rPr>
          <w:sz w:val="28"/>
          <w:szCs w:val="28"/>
        </w:rPr>
        <w:t>SANDAG</w:t>
      </w:r>
      <w:r w:rsidR="00B57586">
        <w:rPr>
          <w:sz w:val="28"/>
          <w:szCs w:val="28"/>
        </w:rPr>
        <w:t xml:space="preserve"> checked as applicable,</w:t>
      </w:r>
      <w:r w:rsidR="00B57586" w:rsidRPr="00FE6C52">
        <w:rPr>
          <w:b/>
          <w:sz w:val="28"/>
          <w:szCs w:val="28"/>
        </w:rPr>
        <w:t xml:space="preserve"> </w:t>
      </w:r>
      <w:r w:rsidR="00B57586" w:rsidRPr="00FE6C52">
        <w:rPr>
          <w:i/>
          <w:sz w:val="28"/>
          <w:szCs w:val="28"/>
        </w:rPr>
        <w:t>01. Certifications and Assurances required of all applicants</w:t>
      </w:r>
      <w:r w:rsidR="00B57586">
        <w:rPr>
          <w:sz w:val="28"/>
          <w:szCs w:val="28"/>
        </w:rPr>
        <w:t xml:space="preserve">.  This is the category where the nondiscrimination assurance is located.  </w:t>
      </w:r>
    </w:p>
    <w:p w:rsidR="006C2D53" w:rsidRDefault="006C2D53">
      <w:pPr>
        <w:spacing w:line="360" w:lineRule="auto"/>
        <w:rPr>
          <w:sz w:val="28"/>
          <w:szCs w:val="28"/>
        </w:rPr>
      </w:pPr>
    </w:p>
    <w:p w:rsidR="00F80A8D" w:rsidRDefault="00F80A8D">
      <w:pPr>
        <w:pStyle w:val="BHLevel2"/>
        <w:spacing w:line="360" w:lineRule="auto"/>
        <w:rPr>
          <w:sz w:val="28"/>
          <w:szCs w:val="28"/>
        </w:rPr>
      </w:pPr>
      <w:bookmarkStart w:id="18" w:name="_Toc315152511"/>
      <w:r>
        <w:rPr>
          <w:sz w:val="28"/>
          <w:szCs w:val="28"/>
        </w:rPr>
        <w:t>Environmental Justice Analysis of Construction Projects</w:t>
      </w:r>
      <w:bookmarkEnd w:id="18"/>
    </w:p>
    <w:p w:rsidR="00F80A8D" w:rsidRDefault="00F80A8D">
      <w:pPr>
        <w:rPr>
          <w:i/>
          <w:iCs/>
          <w:sz w:val="28"/>
        </w:rPr>
      </w:pPr>
      <w:r>
        <w:rPr>
          <w:b/>
          <w:sz w:val="28"/>
          <w:szCs w:val="28"/>
        </w:rPr>
        <w:t xml:space="preserve">Guidance: </w:t>
      </w:r>
      <w:r>
        <w:rPr>
          <w:b/>
          <w:i/>
          <w:iCs/>
          <w:sz w:val="28"/>
          <w:szCs w:val="28"/>
        </w:rPr>
        <w:t xml:space="preserve"> </w:t>
      </w:r>
      <w:r>
        <w:rPr>
          <w:bCs/>
          <w:i/>
          <w:iCs/>
          <w:sz w:val="28"/>
          <w:szCs w:val="28"/>
        </w:rPr>
        <w:t>FTA</w:t>
      </w:r>
      <w:r>
        <w:rPr>
          <w:b/>
          <w:i/>
          <w:iCs/>
          <w:sz w:val="28"/>
          <w:szCs w:val="28"/>
        </w:rPr>
        <w:t xml:space="preserve"> </w:t>
      </w:r>
      <w:r>
        <w:rPr>
          <w:bCs/>
          <w:i/>
          <w:iCs/>
          <w:sz w:val="28"/>
          <w:szCs w:val="28"/>
        </w:rPr>
        <w:t>r</w:t>
      </w:r>
      <w:r>
        <w:rPr>
          <w:i/>
          <w:iCs/>
          <w:sz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w:t>
      </w:r>
      <w:r>
        <w:rPr>
          <w:i/>
          <w:iCs/>
          <w:sz w:val="28"/>
        </w:rPr>
        <w:lastRenderedPageBreak/>
        <w:t xml:space="preserve">documentation for a categorical exclusion (CE), recipients can meet this requirement by completing and submitting FTA’s standard CE checklist, which includes a section on community disruption and environmental justice. </w:t>
      </w:r>
    </w:p>
    <w:p w:rsidR="00F80A8D" w:rsidRDefault="00F80A8D">
      <w:pPr>
        <w:spacing w:line="360" w:lineRule="auto"/>
        <w:rPr>
          <w:sz w:val="28"/>
          <w:szCs w:val="28"/>
        </w:rPr>
      </w:pPr>
    </w:p>
    <w:p w:rsidR="00502690" w:rsidRDefault="00F80A8D" w:rsidP="00D73550">
      <w:pPr>
        <w:spacing w:line="360" w:lineRule="auto"/>
        <w:rPr>
          <w:sz w:val="28"/>
          <w:szCs w:val="28"/>
        </w:rPr>
      </w:pPr>
      <w:r>
        <w:rPr>
          <w:b/>
          <w:sz w:val="28"/>
          <w:szCs w:val="28"/>
        </w:rPr>
        <w:t>Findings:</w:t>
      </w:r>
      <w:r>
        <w:rPr>
          <w:sz w:val="28"/>
          <w:szCs w:val="28"/>
        </w:rPr>
        <w:t xml:space="preserve"> </w:t>
      </w:r>
      <w:r w:rsidR="005B1F1E">
        <w:rPr>
          <w:sz w:val="28"/>
          <w:szCs w:val="28"/>
        </w:rPr>
        <w:t xml:space="preserve"> </w:t>
      </w:r>
      <w:r>
        <w:rPr>
          <w:sz w:val="28"/>
          <w:szCs w:val="28"/>
        </w:rPr>
        <w:t xml:space="preserve">During this Title VI Compliance Review of </w:t>
      </w:r>
      <w:r w:rsidR="005772CD">
        <w:rPr>
          <w:sz w:val="28"/>
          <w:szCs w:val="28"/>
        </w:rPr>
        <w:t>SANDAG</w:t>
      </w:r>
      <w:r>
        <w:rPr>
          <w:sz w:val="28"/>
          <w:szCs w:val="28"/>
        </w:rPr>
        <w:t xml:space="preserve">, </w:t>
      </w:r>
      <w:r w:rsidR="00A92E80">
        <w:rPr>
          <w:sz w:val="28"/>
          <w:szCs w:val="28"/>
        </w:rPr>
        <w:t xml:space="preserve">no </w:t>
      </w:r>
      <w:r w:rsidR="00913B7A">
        <w:rPr>
          <w:sz w:val="28"/>
          <w:szCs w:val="28"/>
        </w:rPr>
        <w:t>deficiencies were found</w:t>
      </w:r>
      <w:r w:rsidR="003A78A3">
        <w:rPr>
          <w:sz w:val="28"/>
          <w:szCs w:val="28"/>
        </w:rPr>
        <w:t xml:space="preserve"> </w:t>
      </w:r>
      <w:r>
        <w:rPr>
          <w:sz w:val="28"/>
          <w:szCs w:val="28"/>
        </w:rPr>
        <w:t xml:space="preserve">regarding </w:t>
      </w:r>
      <w:r w:rsidR="005772CD">
        <w:rPr>
          <w:sz w:val="28"/>
          <w:szCs w:val="28"/>
        </w:rPr>
        <w:t>SANDAG</w:t>
      </w:r>
      <w:r>
        <w:rPr>
          <w:sz w:val="28"/>
          <w:szCs w:val="28"/>
        </w:rPr>
        <w:t>’s compliance with FTA guidance for Environmental Justice (EJ) Anal</w:t>
      </w:r>
      <w:r w:rsidR="00502690">
        <w:rPr>
          <w:sz w:val="28"/>
          <w:szCs w:val="28"/>
        </w:rPr>
        <w:t>yses of Construction Projects.  Prior to the site visit, SANDAG provided EJ documentation for four construction projects, as follows:</w:t>
      </w:r>
    </w:p>
    <w:p w:rsidR="00502690" w:rsidRPr="00502690" w:rsidRDefault="00502690" w:rsidP="00E3540D">
      <w:pPr>
        <w:pStyle w:val="ListParagraph"/>
        <w:numPr>
          <w:ilvl w:val="0"/>
          <w:numId w:val="28"/>
        </w:numPr>
        <w:rPr>
          <w:sz w:val="28"/>
          <w:szCs w:val="28"/>
          <w:u w:val="single"/>
        </w:rPr>
      </w:pPr>
      <w:r w:rsidRPr="00502690">
        <w:rPr>
          <w:sz w:val="28"/>
          <w:szCs w:val="28"/>
          <w:u w:val="single"/>
        </w:rPr>
        <w:t>Del Mar Bluffs Stabilization Project</w:t>
      </w:r>
      <w:r w:rsidR="006E416D">
        <w:rPr>
          <w:sz w:val="28"/>
          <w:szCs w:val="28"/>
          <w:u w:val="single"/>
        </w:rPr>
        <w:t xml:space="preserve"> </w:t>
      </w:r>
      <w:r w:rsidRPr="00502690">
        <w:rPr>
          <w:sz w:val="28"/>
          <w:szCs w:val="28"/>
          <w:u w:val="single"/>
        </w:rPr>
        <w:t>– C</w:t>
      </w:r>
      <w:r w:rsidR="00A73090">
        <w:rPr>
          <w:sz w:val="28"/>
          <w:szCs w:val="28"/>
          <w:u w:val="single"/>
        </w:rPr>
        <w:t xml:space="preserve">ategorical </w:t>
      </w:r>
      <w:r w:rsidRPr="00502690">
        <w:rPr>
          <w:sz w:val="28"/>
          <w:szCs w:val="28"/>
          <w:u w:val="single"/>
        </w:rPr>
        <w:t>E</w:t>
      </w:r>
      <w:r w:rsidR="00A73090">
        <w:rPr>
          <w:sz w:val="28"/>
          <w:szCs w:val="28"/>
          <w:u w:val="single"/>
        </w:rPr>
        <w:t>xclusion (CE)</w:t>
      </w:r>
    </w:p>
    <w:p w:rsidR="00A73090" w:rsidRDefault="00A73090" w:rsidP="00A73090">
      <w:pPr>
        <w:spacing w:after="200" w:line="276" w:lineRule="auto"/>
        <w:ind w:left="720"/>
        <w:contextualSpacing/>
        <w:rPr>
          <w:sz w:val="28"/>
          <w:szCs w:val="28"/>
        </w:rPr>
      </w:pPr>
    </w:p>
    <w:p w:rsidR="00502690" w:rsidRDefault="00A73090" w:rsidP="00A73090">
      <w:pPr>
        <w:spacing w:after="200" w:line="276" w:lineRule="auto"/>
        <w:ind w:left="720"/>
        <w:contextualSpacing/>
        <w:rPr>
          <w:sz w:val="28"/>
          <w:szCs w:val="28"/>
        </w:rPr>
      </w:pPr>
      <w:r>
        <w:rPr>
          <w:sz w:val="28"/>
          <w:szCs w:val="28"/>
        </w:rPr>
        <w:t xml:space="preserve">CE </w:t>
      </w:r>
      <w:r w:rsidR="001B054A">
        <w:rPr>
          <w:sz w:val="28"/>
          <w:szCs w:val="28"/>
        </w:rPr>
        <w:t xml:space="preserve">for this construction project </w:t>
      </w:r>
      <w:r>
        <w:rPr>
          <w:sz w:val="28"/>
          <w:szCs w:val="28"/>
        </w:rPr>
        <w:t>considered</w:t>
      </w:r>
      <w:r w:rsidR="00502690" w:rsidRPr="00A73090">
        <w:rPr>
          <w:sz w:val="28"/>
          <w:szCs w:val="28"/>
        </w:rPr>
        <w:t xml:space="preserve"> impacts on </w:t>
      </w:r>
      <w:r>
        <w:rPr>
          <w:sz w:val="28"/>
          <w:szCs w:val="28"/>
        </w:rPr>
        <w:t xml:space="preserve">minority and </w:t>
      </w:r>
      <w:r w:rsidR="00502690" w:rsidRPr="00A73090">
        <w:rPr>
          <w:sz w:val="28"/>
          <w:szCs w:val="28"/>
        </w:rPr>
        <w:t xml:space="preserve">low/income communities. </w:t>
      </w:r>
      <w:r w:rsidR="00E34B0C">
        <w:rPr>
          <w:sz w:val="28"/>
          <w:szCs w:val="28"/>
        </w:rPr>
        <w:t xml:space="preserve"> </w:t>
      </w:r>
      <w:r>
        <w:rPr>
          <w:sz w:val="28"/>
          <w:szCs w:val="28"/>
        </w:rPr>
        <w:t>The i</w:t>
      </w:r>
      <w:r w:rsidR="00502690" w:rsidRPr="00A73090">
        <w:rPr>
          <w:sz w:val="28"/>
          <w:szCs w:val="28"/>
        </w:rPr>
        <w:t xml:space="preserve">mpacts </w:t>
      </w:r>
      <w:r>
        <w:rPr>
          <w:sz w:val="28"/>
          <w:szCs w:val="28"/>
        </w:rPr>
        <w:t xml:space="preserve">were </w:t>
      </w:r>
      <w:r w:rsidR="00502690" w:rsidRPr="00A73090">
        <w:rPr>
          <w:sz w:val="28"/>
          <w:szCs w:val="28"/>
        </w:rPr>
        <w:t>limited to short-term construction-related noise.</w:t>
      </w:r>
      <w:r>
        <w:rPr>
          <w:sz w:val="28"/>
          <w:szCs w:val="28"/>
        </w:rPr>
        <w:t xml:space="preserve"> SANDAG’s </w:t>
      </w:r>
      <w:r w:rsidR="00502690" w:rsidRPr="00A73090">
        <w:rPr>
          <w:sz w:val="28"/>
          <w:szCs w:val="28"/>
        </w:rPr>
        <w:t xml:space="preserve">Analysis of demographics revealed that residents of the impacted area (Coastal Del Mar) are predominately non-low-income, non-minority. U.S. Census data indicated that the annual household income was $81,000 and nearly 19 out of 20 Del Mar residents are </w:t>
      </w:r>
      <w:r>
        <w:rPr>
          <w:sz w:val="28"/>
          <w:szCs w:val="28"/>
        </w:rPr>
        <w:t>non-minority</w:t>
      </w:r>
      <w:r w:rsidR="00502690" w:rsidRPr="00A73090">
        <w:rPr>
          <w:sz w:val="28"/>
          <w:szCs w:val="28"/>
        </w:rPr>
        <w:t>.</w:t>
      </w:r>
    </w:p>
    <w:p w:rsidR="00A73090" w:rsidRDefault="00A73090" w:rsidP="00A73090">
      <w:pPr>
        <w:spacing w:after="200" w:line="276" w:lineRule="auto"/>
        <w:contextualSpacing/>
        <w:rPr>
          <w:sz w:val="28"/>
          <w:szCs w:val="28"/>
        </w:rPr>
      </w:pPr>
    </w:p>
    <w:p w:rsidR="00A73090" w:rsidRPr="00A73090" w:rsidRDefault="00AD630C" w:rsidP="00E3540D">
      <w:pPr>
        <w:pStyle w:val="ListParagraph"/>
        <w:numPr>
          <w:ilvl w:val="0"/>
          <w:numId w:val="28"/>
        </w:numPr>
        <w:rPr>
          <w:sz w:val="28"/>
          <w:szCs w:val="28"/>
        </w:rPr>
      </w:pPr>
      <w:r>
        <w:rPr>
          <w:sz w:val="28"/>
          <w:szCs w:val="28"/>
          <w:u w:val="single"/>
        </w:rPr>
        <w:t>Los</w:t>
      </w:r>
      <w:r w:rsidR="00A73090" w:rsidRPr="00A73090">
        <w:rPr>
          <w:sz w:val="28"/>
          <w:szCs w:val="28"/>
          <w:u w:val="single"/>
        </w:rPr>
        <w:t xml:space="preserve"> Angeles San Diego (LOSSAN) Rail Corridor Improvements – </w:t>
      </w:r>
      <w:r w:rsidR="00AF0BFC">
        <w:rPr>
          <w:sz w:val="28"/>
          <w:szCs w:val="28"/>
          <w:u w:val="single"/>
        </w:rPr>
        <w:t>Environmental Impact Report/Environmental Impact Statement (</w:t>
      </w:r>
      <w:r w:rsidR="00A73090" w:rsidRPr="00A73090">
        <w:rPr>
          <w:sz w:val="28"/>
          <w:szCs w:val="28"/>
          <w:u w:val="single"/>
        </w:rPr>
        <w:t>EIR/EIS</w:t>
      </w:r>
      <w:r w:rsidR="00AF0BFC">
        <w:rPr>
          <w:sz w:val="28"/>
          <w:szCs w:val="28"/>
          <w:u w:val="single"/>
        </w:rPr>
        <w:t>)</w:t>
      </w:r>
    </w:p>
    <w:p w:rsidR="00AF0BFC" w:rsidRDefault="00AF0BFC" w:rsidP="00A73090">
      <w:pPr>
        <w:spacing w:after="200" w:line="276" w:lineRule="auto"/>
        <w:ind w:left="720"/>
        <w:contextualSpacing/>
        <w:rPr>
          <w:sz w:val="28"/>
          <w:szCs w:val="28"/>
        </w:rPr>
      </w:pPr>
    </w:p>
    <w:p w:rsidR="00F04AA1" w:rsidRDefault="00AF0BFC" w:rsidP="00A73090">
      <w:pPr>
        <w:spacing w:after="200" w:line="276" w:lineRule="auto"/>
        <w:ind w:left="720"/>
        <w:contextualSpacing/>
        <w:rPr>
          <w:sz w:val="28"/>
          <w:szCs w:val="28"/>
        </w:rPr>
      </w:pPr>
      <w:r>
        <w:rPr>
          <w:sz w:val="28"/>
          <w:szCs w:val="28"/>
        </w:rPr>
        <w:t>During the site visit, SANDAG explained that this EIR/EIS was a high/level programmatic document</w:t>
      </w:r>
      <w:r w:rsidR="00F04AA1">
        <w:rPr>
          <w:sz w:val="28"/>
          <w:szCs w:val="28"/>
        </w:rPr>
        <w:t xml:space="preserve"> prepared by Caltrans</w:t>
      </w:r>
      <w:r>
        <w:rPr>
          <w:sz w:val="28"/>
          <w:szCs w:val="28"/>
        </w:rPr>
        <w:t xml:space="preserve"> for the </w:t>
      </w:r>
      <w:r w:rsidR="00F04AA1">
        <w:rPr>
          <w:sz w:val="28"/>
          <w:szCs w:val="28"/>
        </w:rPr>
        <w:t xml:space="preserve">planned </w:t>
      </w:r>
      <w:r>
        <w:rPr>
          <w:sz w:val="28"/>
          <w:szCs w:val="28"/>
        </w:rPr>
        <w:t xml:space="preserve">construction of </w:t>
      </w:r>
      <w:r w:rsidR="00F04AA1">
        <w:rPr>
          <w:sz w:val="28"/>
          <w:szCs w:val="28"/>
        </w:rPr>
        <w:t>m</w:t>
      </w:r>
      <w:r>
        <w:rPr>
          <w:sz w:val="28"/>
          <w:szCs w:val="28"/>
        </w:rPr>
        <w:t xml:space="preserve">ulti-jurisdictional </w:t>
      </w:r>
      <w:r w:rsidR="00F04AA1">
        <w:rPr>
          <w:sz w:val="28"/>
          <w:szCs w:val="28"/>
        </w:rPr>
        <w:t xml:space="preserve">heavy </w:t>
      </w:r>
      <w:r>
        <w:rPr>
          <w:sz w:val="28"/>
          <w:szCs w:val="28"/>
        </w:rPr>
        <w:t xml:space="preserve">rail improvements </w:t>
      </w:r>
      <w:r w:rsidR="00F04AA1">
        <w:rPr>
          <w:sz w:val="28"/>
          <w:szCs w:val="28"/>
        </w:rPr>
        <w:t>along an existing alignment from Los Angeles to San Diego.  SANDAG received a $40 million FTA Grant (CA-95-X129-01) for the construction of its portion of the alignment.</w:t>
      </w:r>
      <w:r w:rsidR="00E34B0C">
        <w:rPr>
          <w:sz w:val="28"/>
          <w:szCs w:val="28"/>
        </w:rPr>
        <w:t xml:space="preserve"> </w:t>
      </w:r>
      <w:r w:rsidR="00F04AA1">
        <w:rPr>
          <w:sz w:val="28"/>
          <w:szCs w:val="28"/>
        </w:rPr>
        <w:t xml:space="preserve"> The Caltrans EIR/EIS </w:t>
      </w:r>
      <w:r w:rsidR="00AD630C">
        <w:rPr>
          <w:sz w:val="28"/>
          <w:szCs w:val="28"/>
        </w:rPr>
        <w:t>include</w:t>
      </w:r>
      <w:r w:rsidR="00752A92">
        <w:rPr>
          <w:sz w:val="28"/>
          <w:szCs w:val="28"/>
        </w:rPr>
        <w:t>d</w:t>
      </w:r>
      <w:r w:rsidR="00AD630C">
        <w:rPr>
          <w:sz w:val="28"/>
          <w:szCs w:val="28"/>
        </w:rPr>
        <w:t xml:space="preserve"> the Title VI EJ considerations taken by Caltrans in the development of the EIR/EIS for the entire project, and </w:t>
      </w:r>
      <w:r w:rsidR="00F04AA1">
        <w:rPr>
          <w:sz w:val="28"/>
          <w:szCs w:val="28"/>
        </w:rPr>
        <w:t>outline</w:t>
      </w:r>
      <w:r w:rsidR="00752A92">
        <w:rPr>
          <w:sz w:val="28"/>
          <w:szCs w:val="28"/>
        </w:rPr>
        <w:t>d</w:t>
      </w:r>
      <w:r w:rsidR="00F04AA1">
        <w:rPr>
          <w:sz w:val="28"/>
          <w:szCs w:val="28"/>
        </w:rPr>
        <w:t xml:space="preserve"> </w:t>
      </w:r>
      <w:r w:rsidR="00AD630C">
        <w:rPr>
          <w:sz w:val="28"/>
          <w:szCs w:val="28"/>
        </w:rPr>
        <w:t xml:space="preserve">the steps each jurisdiction should take to satisfy the Title VI EJ requirements for their respective </w:t>
      </w:r>
      <w:r w:rsidR="00DE3DC0">
        <w:rPr>
          <w:sz w:val="28"/>
          <w:szCs w:val="28"/>
        </w:rPr>
        <w:t xml:space="preserve">portions of the </w:t>
      </w:r>
      <w:r w:rsidR="00AD630C">
        <w:rPr>
          <w:sz w:val="28"/>
          <w:szCs w:val="28"/>
        </w:rPr>
        <w:t>project.</w:t>
      </w:r>
      <w:r w:rsidR="00DE3DC0">
        <w:rPr>
          <w:sz w:val="28"/>
          <w:szCs w:val="28"/>
        </w:rPr>
        <w:t xml:space="preserve">  This outline included the following steps per FTA Circular 4702.1A:</w:t>
      </w:r>
    </w:p>
    <w:p w:rsidR="00DE3DC0" w:rsidRDefault="00DE3DC0" w:rsidP="00A73090">
      <w:pPr>
        <w:spacing w:after="200" w:line="276" w:lineRule="auto"/>
        <w:ind w:left="720"/>
        <w:contextualSpacing/>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78"/>
      </w:tblGrid>
      <w:tr w:rsidR="00DE3DC0" w:rsidTr="0073227E">
        <w:trPr>
          <w:tblHeader/>
          <w:jc w:val="center"/>
        </w:trPr>
        <w:tc>
          <w:tcPr>
            <w:tcW w:w="8478" w:type="dxa"/>
          </w:tcPr>
          <w:p w:rsidR="00DE3DC0" w:rsidRDefault="00DE3DC0" w:rsidP="0073227E">
            <w:pPr>
              <w:rPr>
                <w:b/>
                <w:bCs/>
                <w:sz w:val="24"/>
                <w:szCs w:val="28"/>
              </w:rPr>
            </w:pPr>
            <w:r>
              <w:rPr>
                <w:b/>
                <w:bCs/>
                <w:sz w:val="28"/>
                <w:szCs w:val="28"/>
              </w:rPr>
              <w:br w:type="page"/>
            </w:r>
            <w:r>
              <w:rPr>
                <w:b/>
                <w:bCs/>
                <w:sz w:val="24"/>
                <w:szCs w:val="28"/>
              </w:rPr>
              <w:t>Elements Required in Environmental Justice Analysis of Construction Projects</w:t>
            </w:r>
          </w:p>
          <w:p w:rsidR="00DE3DC0" w:rsidRDefault="00DE3DC0" w:rsidP="0073227E">
            <w:pPr>
              <w:rPr>
                <w:b/>
                <w:bCs/>
                <w:sz w:val="22"/>
                <w:szCs w:val="28"/>
              </w:rPr>
            </w:pPr>
            <w:r>
              <w:rPr>
                <w:b/>
                <w:bCs/>
                <w:sz w:val="22"/>
                <w:szCs w:val="28"/>
              </w:rPr>
              <w:t>(Per FTA Circular 4702.1A Chapter IV, 8a-f)</w:t>
            </w:r>
          </w:p>
        </w:tc>
      </w:tr>
      <w:tr w:rsidR="00DE3DC0" w:rsidTr="0073227E">
        <w:trPr>
          <w:jc w:val="center"/>
        </w:trPr>
        <w:tc>
          <w:tcPr>
            <w:tcW w:w="8478" w:type="dxa"/>
          </w:tcPr>
          <w:p w:rsidR="00DE3DC0" w:rsidRDefault="00DE3DC0" w:rsidP="0073227E">
            <w:pPr>
              <w:numPr>
                <w:ilvl w:val="0"/>
                <w:numId w:val="16"/>
              </w:numPr>
              <w:rPr>
                <w:sz w:val="22"/>
                <w:szCs w:val="22"/>
              </w:rPr>
            </w:pPr>
            <w:r>
              <w:rPr>
                <w:sz w:val="22"/>
                <w:szCs w:val="22"/>
              </w:rPr>
              <w:t>A description of the low-income and minority population within the study area affected by the project, and a discussion of the method used to identify this population</w:t>
            </w:r>
          </w:p>
        </w:tc>
      </w:tr>
      <w:tr w:rsidR="00DE3DC0" w:rsidTr="0073227E">
        <w:trPr>
          <w:trHeight w:val="845"/>
          <w:jc w:val="center"/>
        </w:trPr>
        <w:tc>
          <w:tcPr>
            <w:tcW w:w="8478" w:type="dxa"/>
          </w:tcPr>
          <w:p w:rsidR="00DE3DC0" w:rsidRDefault="00DE3DC0" w:rsidP="0073227E">
            <w:pPr>
              <w:pStyle w:val="Outlinea"/>
              <w:numPr>
                <w:ilvl w:val="0"/>
                <w:numId w:val="16"/>
              </w:numPr>
              <w:spacing w:after="0"/>
              <w:rPr>
                <w:sz w:val="22"/>
                <w:szCs w:val="28"/>
              </w:rPr>
            </w:pPr>
            <w:r>
              <w:t>A discussion of all adverse effects of the project both during and after construction that would affect the identified minority and low-income population.</w:t>
            </w:r>
          </w:p>
        </w:tc>
      </w:tr>
      <w:tr w:rsidR="00DE3DC0" w:rsidTr="0073227E">
        <w:trPr>
          <w:jc w:val="center"/>
        </w:trPr>
        <w:tc>
          <w:tcPr>
            <w:tcW w:w="8478" w:type="dxa"/>
          </w:tcPr>
          <w:p w:rsidR="00DE3DC0" w:rsidRDefault="00DE3DC0" w:rsidP="0073227E">
            <w:pPr>
              <w:numPr>
                <w:ilvl w:val="0"/>
                <w:numId w:val="16"/>
              </w:numPr>
              <w:rPr>
                <w:sz w:val="22"/>
                <w:szCs w:val="22"/>
              </w:rPr>
            </w:pPr>
            <w:r>
              <w:rPr>
                <w:sz w:val="22"/>
                <w:szCs w:val="22"/>
              </w:rPr>
              <w:t>A discussion of all positive effects that would affect the identified minority and low-income population, such as an improvement in transit service, mobility, or accessibility.</w:t>
            </w:r>
          </w:p>
        </w:tc>
      </w:tr>
      <w:tr w:rsidR="00DE3DC0" w:rsidTr="0073227E">
        <w:trPr>
          <w:jc w:val="center"/>
        </w:trPr>
        <w:tc>
          <w:tcPr>
            <w:tcW w:w="8478" w:type="dxa"/>
          </w:tcPr>
          <w:p w:rsidR="00DE3DC0" w:rsidRDefault="00DE3DC0" w:rsidP="0073227E">
            <w:pPr>
              <w:numPr>
                <w:ilvl w:val="0"/>
                <w:numId w:val="16"/>
              </w:numPr>
              <w:rPr>
                <w:sz w:val="22"/>
                <w:szCs w:val="22"/>
              </w:rPr>
            </w:pPr>
            <w:r>
              <w:rPr>
                <w:sz w:val="22"/>
                <w:szCs w:val="22"/>
              </w:rPr>
              <w:t>A description of all mitigation and environmental enhancement actions incorporated into the project to address the adverse effects, including, but not limited to, any special features of the relocation program that go beyond the requirements of the Uniform Relocation Act and address adverse community effects such as separation or cohesion issues; and the replacement of the community resources destroyed by the project.</w:t>
            </w:r>
          </w:p>
        </w:tc>
      </w:tr>
      <w:tr w:rsidR="00DE3DC0" w:rsidTr="0073227E">
        <w:trPr>
          <w:jc w:val="center"/>
        </w:trPr>
        <w:tc>
          <w:tcPr>
            <w:tcW w:w="8478" w:type="dxa"/>
          </w:tcPr>
          <w:p w:rsidR="00DE3DC0" w:rsidRDefault="00DE3DC0" w:rsidP="0073227E">
            <w:pPr>
              <w:numPr>
                <w:ilvl w:val="0"/>
                <w:numId w:val="16"/>
              </w:numPr>
              <w:rPr>
                <w:sz w:val="22"/>
                <w:szCs w:val="22"/>
              </w:rPr>
            </w:pPr>
            <w:r>
              <w:rPr>
                <w:sz w:val="22"/>
                <w:szCs w:val="22"/>
              </w:rPr>
              <w:t>A discussion of the remaining effects, if any, and why further mitigation is not proposed.</w:t>
            </w:r>
          </w:p>
        </w:tc>
      </w:tr>
      <w:tr w:rsidR="00DE3DC0" w:rsidTr="0073227E">
        <w:trPr>
          <w:jc w:val="center"/>
        </w:trPr>
        <w:tc>
          <w:tcPr>
            <w:tcW w:w="8478" w:type="dxa"/>
          </w:tcPr>
          <w:p w:rsidR="00DE3DC0" w:rsidRDefault="00DE3DC0" w:rsidP="0073227E">
            <w:pPr>
              <w:numPr>
                <w:ilvl w:val="0"/>
                <w:numId w:val="16"/>
              </w:numPr>
              <w:rPr>
                <w:sz w:val="22"/>
                <w:szCs w:val="22"/>
              </w:rPr>
            </w:pPr>
            <w:r>
              <w:rPr>
                <w:sz w:val="22"/>
                <w:szCs w:val="22"/>
              </w:rPr>
              <w:t>For projects that traverse predominantly minority and low-income and predominantly non-minority and non-low-income areas, a comparison of mitigation and environmental enhancement actions that affect predominantly low-income and minority areas with mitigation implemented in predominantly non-minority or non-low-income areas.</w:t>
            </w:r>
          </w:p>
        </w:tc>
      </w:tr>
    </w:tbl>
    <w:p w:rsidR="00DE3DC0" w:rsidRDefault="00DE3DC0" w:rsidP="00A73090">
      <w:pPr>
        <w:spacing w:after="200" w:line="276" w:lineRule="auto"/>
        <w:ind w:left="720"/>
        <w:contextualSpacing/>
        <w:rPr>
          <w:sz w:val="28"/>
          <w:szCs w:val="28"/>
        </w:rPr>
      </w:pPr>
    </w:p>
    <w:p w:rsidR="00811A0C" w:rsidRDefault="00DE3DC0" w:rsidP="00AC2D6D">
      <w:pPr>
        <w:spacing w:after="200" w:line="360" w:lineRule="auto"/>
        <w:ind w:left="720"/>
        <w:contextualSpacing/>
        <w:rPr>
          <w:sz w:val="28"/>
          <w:szCs w:val="28"/>
        </w:rPr>
      </w:pPr>
      <w:r>
        <w:rPr>
          <w:sz w:val="28"/>
          <w:szCs w:val="28"/>
        </w:rPr>
        <w:t>At the time of the site visit, SANDAG reported that the development of the EIS for its portion of the LOSSAN project had not begun.  SANDAG was instructed to make sure that it included</w:t>
      </w:r>
      <w:r w:rsidR="00AC2D6D">
        <w:rPr>
          <w:sz w:val="28"/>
          <w:szCs w:val="28"/>
        </w:rPr>
        <w:t xml:space="preserve"> all six of the EJ Analysis elements in the table above</w:t>
      </w:r>
      <w:r>
        <w:rPr>
          <w:sz w:val="28"/>
          <w:szCs w:val="28"/>
        </w:rPr>
        <w:t xml:space="preserve"> </w:t>
      </w:r>
      <w:r w:rsidR="00AC2D6D">
        <w:rPr>
          <w:sz w:val="28"/>
          <w:szCs w:val="28"/>
        </w:rPr>
        <w:t xml:space="preserve">for </w:t>
      </w:r>
      <w:r w:rsidR="00811A0C">
        <w:rPr>
          <w:sz w:val="28"/>
          <w:szCs w:val="28"/>
        </w:rPr>
        <w:t>all future construction projects that require an EA or EIS, including those associated with the LOSSAN project.</w:t>
      </w:r>
    </w:p>
    <w:p w:rsidR="003579CC" w:rsidRPr="001B054A" w:rsidRDefault="003579CC" w:rsidP="003579CC">
      <w:pPr>
        <w:pStyle w:val="ListParagraph"/>
        <w:numPr>
          <w:ilvl w:val="0"/>
          <w:numId w:val="16"/>
        </w:numPr>
        <w:spacing w:after="200" w:line="360" w:lineRule="auto"/>
        <w:contextualSpacing/>
        <w:rPr>
          <w:sz w:val="28"/>
          <w:szCs w:val="28"/>
          <w:u w:val="single"/>
        </w:rPr>
      </w:pPr>
      <w:r w:rsidRPr="001B054A">
        <w:rPr>
          <w:sz w:val="28"/>
          <w:szCs w:val="28"/>
          <w:u w:val="single"/>
        </w:rPr>
        <w:t xml:space="preserve">The </w:t>
      </w:r>
      <w:proofErr w:type="spellStart"/>
      <w:r w:rsidRPr="001B054A">
        <w:rPr>
          <w:sz w:val="28"/>
          <w:szCs w:val="28"/>
          <w:u w:val="single"/>
        </w:rPr>
        <w:t>SuperLoop</w:t>
      </w:r>
      <w:proofErr w:type="spellEnd"/>
      <w:r w:rsidRPr="001B054A">
        <w:rPr>
          <w:sz w:val="28"/>
          <w:szCs w:val="28"/>
          <w:u w:val="single"/>
        </w:rPr>
        <w:t xml:space="preserve"> Transit Project – documented Categorical Exclusion (</w:t>
      </w:r>
      <w:proofErr w:type="spellStart"/>
      <w:r w:rsidRPr="001B054A">
        <w:rPr>
          <w:sz w:val="28"/>
          <w:szCs w:val="28"/>
          <w:u w:val="single"/>
        </w:rPr>
        <w:t>dCE</w:t>
      </w:r>
      <w:proofErr w:type="spellEnd"/>
      <w:r w:rsidRPr="001B054A">
        <w:rPr>
          <w:sz w:val="28"/>
          <w:szCs w:val="28"/>
          <w:u w:val="single"/>
        </w:rPr>
        <w:t>)</w:t>
      </w:r>
    </w:p>
    <w:p w:rsidR="001B054A" w:rsidRDefault="001B054A" w:rsidP="001B054A">
      <w:pPr>
        <w:pStyle w:val="ListParagraph"/>
        <w:spacing w:after="200" w:line="360" w:lineRule="auto"/>
        <w:contextualSpacing/>
        <w:rPr>
          <w:sz w:val="28"/>
          <w:szCs w:val="28"/>
        </w:rPr>
      </w:pPr>
      <w:r>
        <w:rPr>
          <w:sz w:val="28"/>
          <w:szCs w:val="28"/>
        </w:rPr>
        <w:t xml:space="preserve">The </w:t>
      </w:r>
      <w:proofErr w:type="spellStart"/>
      <w:r>
        <w:rPr>
          <w:sz w:val="28"/>
          <w:szCs w:val="28"/>
        </w:rPr>
        <w:t>dCE</w:t>
      </w:r>
      <w:proofErr w:type="spellEnd"/>
      <w:r>
        <w:rPr>
          <w:sz w:val="28"/>
          <w:szCs w:val="28"/>
        </w:rPr>
        <w:t xml:space="preserve"> for this construction project included a demographic analysis of the affected area</w:t>
      </w:r>
      <w:r w:rsidR="006105B1">
        <w:rPr>
          <w:sz w:val="28"/>
          <w:szCs w:val="28"/>
        </w:rPr>
        <w:t xml:space="preserve"> compared to the demographics of the entire service area</w:t>
      </w:r>
      <w:r>
        <w:rPr>
          <w:sz w:val="28"/>
          <w:szCs w:val="28"/>
        </w:rPr>
        <w:t xml:space="preserve">.  From its analysis, SANDAG determined that minorities would not be disproportionately affected by the construction project and low-income persons would be slightly more affected than non-low-income persons.  </w:t>
      </w:r>
      <w:r>
        <w:rPr>
          <w:sz w:val="28"/>
          <w:szCs w:val="28"/>
        </w:rPr>
        <w:lastRenderedPageBreak/>
        <w:t xml:space="preserve">SANDAG stated that the slightly higher poverty rate in the affected area was attributed to the large University of California San Diego student population, a group that would ultimately benefit from </w:t>
      </w:r>
      <w:r w:rsidR="00671501">
        <w:rPr>
          <w:sz w:val="28"/>
          <w:szCs w:val="28"/>
        </w:rPr>
        <w:t xml:space="preserve">the </w:t>
      </w:r>
      <w:r w:rsidR="00E34B0C">
        <w:rPr>
          <w:sz w:val="28"/>
          <w:szCs w:val="28"/>
        </w:rPr>
        <w:t>project;</w:t>
      </w:r>
      <w:r w:rsidR="00671501">
        <w:rPr>
          <w:sz w:val="28"/>
          <w:szCs w:val="28"/>
        </w:rPr>
        <w:t xml:space="preserve"> therefore, SANDAG concluded that the project would not disproportionately affect low-income populations.</w:t>
      </w:r>
    </w:p>
    <w:p w:rsidR="00546D46" w:rsidRDefault="00546D46" w:rsidP="00D3791B">
      <w:pPr>
        <w:pStyle w:val="ListParagraph"/>
        <w:spacing w:after="200"/>
        <w:contextualSpacing/>
        <w:rPr>
          <w:sz w:val="28"/>
          <w:szCs w:val="28"/>
        </w:rPr>
      </w:pPr>
    </w:p>
    <w:p w:rsidR="00546D46" w:rsidRPr="00546D46" w:rsidRDefault="00546D46" w:rsidP="00546D46">
      <w:pPr>
        <w:pStyle w:val="ListParagraph"/>
        <w:numPr>
          <w:ilvl w:val="0"/>
          <w:numId w:val="16"/>
        </w:numPr>
        <w:spacing w:after="200" w:line="360" w:lineRule="auto"/>
        <w:contextualSpacing/>
        <w:rPr>
          <w:sz w:val="28"/>
          <w:szCs w:val="28"/>
          <w:u w:val="single"/>
        </w:rPr>
      </w:pPr>
      <w:r w:rsidRPr="00546D46">
        <w:rPr>
          <w:sz w:val="28"/>
          <w:szCs w:val="28"/>
          <w:u w:val="single"/>
        </w:rPr>
        <w:t>Mid-City Rapid Bus Project</w:t>
      </w:r>
      <w:r>
        <w:rPr>
          <w:sz w:val="28"/>
          <w:szCs w:val="28"/>
          <w:u w:val="single"/>
        </w:rPr>
        <w:t xml:space="preserve"> - </w:t>
      </w:r>
      <w:proofErr w:type="spellStart"/>
      <w:r>
        <w:rPr>
          <w:sz w:val="28"/>
          <w:szCs w:val="28"/>
          <w:u w:val="single"/>
        </w:rPr>
        <w:t>dCE</w:t>
      </w:r>
      <w:proofErr w:type="spellEnd"/>
    </w:p>
    <w:p w:rsidR="00546D46" w:rsidRPr="00546D46" w:rsidRDefault="006105B1" w:rsidP="00546D46">
      <w:pPr>
        <w:pStyle w:val="ListParagraph"/>
        <w:spacing w:after="200" w:line="360" w:lineRule="auto"/>
        <w:contextualSpacing/>
        <w:rPr>
          <w:sz w:val="28"/>
          <w:szCs w:val="28"/>
        </w:rPr>
      </w:pPr>
      <w:r>
        <w:rPr>
          <w:sz w:val="28"/>
          <w:szCs w:val="28"/>
        </w:rPr>
        <w:t xml:space="preserve">While this </w:t>
      </w:r>
      <w:proofErr w:type="spellStart"/>
      <w:r>
        <w:rPr>
          <w:sz w:val="28"/>
          <w:szCs w:val="28"/>
        </w:rPr>
        <w:t>dCE</w:t>
      </w:r>
      <w:proofErr w:type="spellEnd"/>
      <w:r>
        <w:rPr>
          <w:sz w:val="28"/>
          <w:szCs w:val="28"/>
        </w:rPr>
        <w:t xml:space="preserve"> included a paragraph on EJ and a statement that no minorities or low-income persons would be affected by the construction project, it did not include a demographic analysis of the affected area.  During the site visit, SANDAG stated that</w:t>
      </w:r>
      <w:r w:rsidR="00752A92">
        <w:rPr>
          <w:sz w:val="28"/>
          <w:szCs w:val="28"/>
        </w:rPr>
        <w:t>,</w:t>
      </w:r>
      <w:r>
        <w:rPr>
          <w:sz w:val="28"/>
          <w:szCs w:val="28"/>
        </w:rPr>
        <w:t xml:space="preserve"> while the project runs through a minority community, it primarily serves a homogenous non-minority community, non-low-income community.  SANDAG was instructed to include a demographic analysis of the affect area in all future </w:t>
      </w:r>
      <w:proofErr w:type="spellStart"/>
      <w:r>
        <w:rPr>
          <w:sz w:val="28"/>
          <w:szCs w:val="28"/>
        </w:rPr>
        <w:t>dCEs</w:t>
      </w:r>
      <w:proofErr w:type="spellEnd"/>
      <w:r>
        <w:rPr>
          <w:sz w:val="28"/>
          <w:szCs w:val="28"/>
        </w:rPr>
        <w:t xml:space="preserve"> to assure itself that minority and low-income persons are not disproportionately impacted negatively by its construction projects.</w:t>
      </w:r>
    </w:p>
    <w:p w:rsidR="00F80A8D" w:rsidRDefault="00F80A8D">
      <w:pPr>
        <w:spacing w:line="360" w:lineRule="auto"/>
        <w:rPr>
          <w:sz w:val="28"/>
          <w:szCs w:val="28"/>
        </w:rPr>
      </w:pPr>
    </w:p>
    <w:p w:rsidR="00F80A8D" w:rsidRDefault="00F80A8D">
      <w:pPr>
        <w:pStyle w:val="BHLevel2"/>
        <w:spacing w:line="360" w:lineRule="auto"/>
        <w:rPr>
          <w:sz w:val="28"/>
          <w:szCs w:val="28"/>
        </w:rPr>
      </w:pPr>
      <w:bookmarkStart w:id="19" w:name="_Toc315152512"/>
      <w:r>
        <w:rPr>
          <w:sz w:val="28"/>
          <w:szCs w:val="28"/>
        </w:rPr>
        <w:t>Submit Title VI Program</w:t>
      </w:r>
      <w:bookmarkEnd w:id="19"/>
    </w:p>
    <w:p w:rsidR="00F80A8D" w:rsidRDefault="00F80A8D">
      <w:pPr>
        <w:rPr>
          <w:i/>
          <w:iCs/>
          <w:sz w:val="28"/>
          <w:szCs w:val="28"/>
        </w:rPr>
      </w:pPr>
      <w:r>
        <w:rPr>
          <w:b/>
          <w:sz w:val="28"/>
          <w:szCs w:val="28"/>
        </w:rPr>
        <w:t xml:space="preserve">Requirement:  </w:t>
      </w:r>
      <w:r>
        <w:rPr>
          <w:i/>
          <w:iCs/>
          <w:sz w:val="28"/>
          <w:szCs w:val="28"/>
        </w:rPr>
        <w:t xml:space="preserve">FTA recipients </w:t>
      </w:r>
      <w:r w:rsidR="002C4E6D">
        <w:rPr>
          <w:i/>
          <w:iCs/>
          <w:sz w:val="28"/>
          <w:szCs w:val="28"/>
        </w:rPr>
        <w:t xml:space="preserve">that are State Departments of Transportation or Other Administrating Agency </w:t>
      </w:r>
      <w:r>
        <w:rPr>
          <w:i/>
          <w:iCs/>
          <w:sz w:val="28"/>
          <w:szCs w:val="28"/>
        </w:rPr>
        <w:t>are required to document their compliance with the general reporting requirements by submitting a Title VI Program to FTA’s Regional Civil Rights Officer once every three years.</w:t>
      </w:r>
    </w:p>
    <w:p w:rsidR="00F80A8D" w:rsidRDefault="00F80A8D">
      <w:pPr>
        <w:spacing w:line="360" w:lineRule="auto"/>
        <w:rPr>
          <w:sz w:val="28"/>
          <w:szCs w:val="28"/>
        </w:rPr>
      </w:pPr>
    </w:p>
    <w:p w:rsidR="00300EFE" w:rsidRDefault="00F80A8D" w:rsidP="0006796C">
      <w:pPr>
        <w:spacing w:line="360" w:lineRule="auto"/>
        <w:rPr>
          <w:sz w:val="28"/>
          <w:szCs w:val="28"/>
        </w:rPr>
      </w:pPr>
      <w:r>
        <w:rPr>
          <w:b/>
          <w:sz w:val="28"/>
          <w:szCs w:val="28"/>
        </w:rPr>
        <w:t>Findings:</w:t>
      </w:r>
      <w:r>
        <w:rPr>
          <w:sz w:val="28"/>
          <w:szCs w:val="28"/>
        </w:rPr>
        <w:t xml:space="preserve"> </w:t>
      </w:r>
      <w:r w:rsidR="005B1F1E">
        <w:rPr>
          <w:sz w:val="28"/>
          <w:szCs w:val="28"/>
        </w:rPr>
        <w:t xml:space="preserve"> </w:t>
      </w:r>
      <w:r>
        <w:rPr>
          <w:sz w:val="28"/>
          <w:szCs w:val="28"/>
        </w:rPr>
        <w:t xml:space="preserve">During this Title VI Compliance Review of </w:t>
      </w:r>
      <w:r w:rsidR="005772CD">
        <w:rPr>
          <w:sz w:val="28"/>
          <w:szCs w:val="28"/>
        </w:rPr>
        <w:t>SANDAG</w:t>
      </w:r>
      <w:r>
        <w:rPr>
          <w:sz w:val="28"/>
          <w:szCs w:val="28"/>
        </w:rPr>
        <w:t>,</w:t>
      </w:r>
      <w:r w:rsidR="007E62E8">
        <w:rPr>
          <w:sz w:val="28"/>
          <w:szCs w:val="28"/>
        </w:rPr>
        <w:t xml:space="preserve"> no</w:t>
      </w:r>
      <w:r>
        <w:rPr>
          <w:sz w:val="28"/>
          <w:szCs w:val="28"/>
        </w:rPr>
        <w:t xml:space="preserve"> deficiencies were found regarding </w:t>
      </w:r>
      <w:r w:rsidR="005772CD">
        <w:rPr>
          <w:sz w:val="28"/>
          <w:szCs w:val="28"/>
        </w:rPr>
        <w:t>SANDAG</w:t>
      </w:r>
      <w:r>
        <w:rPr>
          <w:sz w:val="28"/>
          <w:szCs w:val="28"/>
        </w:rPr>
        <w:t xml:space="preserve">’s compliance with FTA requirements to Submit Title VI Program.  </w:t>
      </w:r>
      <w:r w:rsidR="001016C1" w:rsidRPr="001016C1">
        <w:rPr>
          <w:sz w:val="28"/>
          <w:szCs w:val="28"/>
        </w:rPr>
        <w:t xml:space="preserve">In its most recent </w:t>
      </w:r>
      <w:r w:rsidR="001016C1" w:rsidRPr="001016C1">
        <w:rPr>
          <w:i/>
          <w:sz w:val="28"/>
          <w:szCs w:val="28"/>
        </w:rPr>
        <w:t>Title VI Compliance Report</w:t>
      </w:r>
      <w:r w:rsidR="001016C1" w:rsidRPr="001016C1">
        <w:rPr>
          <w:sz w:val="28"/>
          <w:szCs w:val="28"/>
        </w:rPr>
        <w:t xml:space="preserve">, dated May 2009, </w:t>
      </w:r>
      <w:r w:rsidR="001016C1" w:rsidRPr="001016C1">
        <w:rPr>
          <w:sz w:val="28"/>
          <w:szCs w:val="28"/>
        </w:rPr>
        <w:lastRenderedPageBreak/>
        <w:t>SANDAG included all elements required by FTA Circular 4702.1A</w:t>
      </w:r>
      <w:r w:rsidR="001016C1">
        <w:rPr>
          <w:sz w:val="28"/>
          <w:szCs w:val="28"/>
        </w:rPr>
        <w:t>.IV.7, as described in the following table:</w:t>
      </w:r>
    </w:p>
    <w:p w:rsidR="007C4FFE" w:rsidRDefault="007C4FFE" w:rsidP="0006796C">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88"/>
        <w:gridCol w:w="1818"/>
      </w:tblGrid>
      <w:tr w:rsidR="007C4FFE" w:rsidTr="00814CBE">
        <w:trPr>
          <w:cantSplit/>
          <w:tblHeader/>
        </w:trPr>
        <w:tc>
          <w:tcPr>
            <w:tcW w:w="9306" w:type="dxa"/>
            <w:gridSpan w:val="2"/>
          </w:tcPr>
          <w:p w:rsidR="007C4FFE" w:rsidRDefault="007C4FFE" w:rsidP="00814CBE">
            <w:pPr>
              <w:jc w:val="center"/>
              <w:rPr>
                <w:b/>
                <w:sz w:val="22"/>
                <w:szCs w:val="28"/>
              </w:rPr>
            </w:pPr>
            <w:r>
              <w:rPr>
                <w:b/>
                <w:sz w:val="24"/>
                <w:szCs w:val="28"/>
              </w:rPr>
              <w:t>ELEMENTS REQUIRED FOR TITLE VI PROGRAM</w:t>
            </w:r>
          </w:p>
        </w:tc>
      </w:tr>
      <w:tr w:rsidR="007C4FFE" w:rsidTr="00814CBE">
        <w:trPr>
          <w:cantSplit/>
          <w:tblHeader/>
        </w:trPr>
        <w:tc>
          <w:tcPr>
            <w:tcW w:w="7488" w:type="dxa"/>
          </w:tcPr>
          <w:p w:rsidR="007C4FFE" w:rsidRDefault="007C4FFE" w:rsidP="00814CBE">
            <w:pPr>
              <w:rPr>
                <w:b/>
                <w:iCs/>
                <w:caps/>
                <w:sz w:val="24"/>
                <w:szCs w:val="24"/>
              </w:rPr>
            </w:pPr>
            <w:r>
              <w:rPr>
                <w:b/>
                <w:iCs/>
                <w:caps/>
                <w:sz w:val="24"/>
                <w:szCs w:val="24"/>
              </w:rPr>
              <w:t xml:space="preserve">GENERAL REQUIREMENTS </w:t>
            </w:r>
          </w:p>
          <w:p w:rsidR="007C4FFE" w:rsidRDefault="007C4FFE" w:rsidP="00814CBE">
            <w:r>
              <w:rPr>
                <w:b/>
                <w:bCs/>
                <w:sz w:val="24"/>
                <w:szCs w:val="28"/>
              </w:rPr>
              <w:t>(Per FTA C. 4702.1A, IV, 7. a. (1) – (5))</w:t>
            </w:r>
          </w:p>
        </w:tc>
        <w:tc>
          <w:tcPr>
            <w:tcW w:w="1818" w:type="dxa"/>
          </w:tcPr>
          <w:p w:rsidR="007C4FFE" w:rsidRDefault="007C4FFE" w:rsidP="00814CBE">
            <w:pPr>
              <w:jc w:val="center"/>
              <w:rPr>
                <w:b/>
                <w:sz w:val="22"/>
                <w:szCs w:val="28"/>
              </w:rPr>
            </w:pPr>
            <w:r>
              <w:rPr>
                <w:b/>
                <w:sz w:val="22"/>
                <w:szCs w:val="28"/>
              </w:rPr>
              <w:t xml:space="preserve">In </w:t>
            </w:r>
            <w:r w:rsidR="005772CD">
              <w:rPr>
                <w:b/>
                <w:sz w:val="22"/>
                <w:szCs w:val="28"/>
              </w:rPr>
              <w:t>SANDAG</w:t>
            </w:r>
            <w:r>
              <w:rPr>
                <w:b/>
                <w:sz w:val="22"/>
                <w:szCs w:val="28"/>
              </w:rPr>
              <w:t xml:space="preserve"> Title VI Program Submittal?</w:t>
            </w:r>
          </w:p>
        </w:tc>
      </w:tr>
      <w:tr w:rsidR="007C4FFE" w:rsidTr="00814CBE">
        <w:trPr>
          <w:cantSplit/>
        </w:trPr>
        <w:tc>
          <w:tcPr>
            <w:tcW w:w="7488" w:type="dxa"/>
          </w:tcPr>
          <w:p w:rsidR="007C4FFE" w:rsidRPr="006C2D53" w:rsidRDefault="007C4FFE" w:rsidP="00814CBE">
            <w:pPr>
              <w:numPr>
                <w:ilvl w:val="0"/>
                <w:numId w:val="13"/>
              </w:numPr>
              <w:rPr>
                <w:sz w:val="22"/>
                <w:szCs w:val="22"/>
              </w:rPr>
            </w:pPr>
            <w:r w:rsidRPr="006C2D53">
              <w:rPr>
                <w:sz w:val="22"/>
                <w:szCs w:val="22"/>
              </w:rPr>
              <w:t>A summary of public outreach and involvement activities undertaken since the last submission and a description of steps taken to ensure that minority and low-income people had meaningful access to these activities.</w:t>
            </w:r>
          </w:p>
        </w:tc>
        <w:tc>
          <w:tcPr>
            <w:tcW w:w="1818" w:type="dxa"/>
            <w:vAlign w:val="center"/>
          </w:tcPr>
          <w:p w:rsidR="007C4FFE" w:rsidRDefault="00FA3F3B" w:rsidP="00814CBE">
            <w:pPr>
              <w:jc w:val="center"/>
              <w:rPr>
                <w:sz w:val="22"/>
                <w:szCs w:val="28"/>
              </w:rPr>
            </w:pPr>
            <w:r>
              <w:rPr>
                <w:sz w:val="22"/>
                <w:szCs w:val="28"/>
              </w:rPr>
              <w:t>Yes</w:t>
            </w:r>
          </w:p>
        </w:tc>
      </w:tr>
      <w:tr w:rsidR="007C4FFE" w:rsidTr="00814CBE">
        <w:trPr>
          <w:cantSplit/>
        </w:trPr>
        <w:tc>
          <w:tcPr>
            <w:tcW w:w="7488" w:type="dxa"/>
          </w:tcPr>
          <w:p w:rsidR="007C4FFE" w:rsidRPr="006C2D53" w:rsidRDefault="007C4FFE" w:rsidP="00814CBE">
            <w:pPr>
              <w:numPr>
                <w:ilvl w:val="0"/>
                <w:numId w:val="13"/>
              </w:numPr>
              <w:rPr>
                <w:sz w:val="22"/>
                <w:szCs w:val="22"/>
              </w:rPr>
            </w:pPr>
            <w:r w:rsidRPr="006C2D53">
              <w:rPr>
                <w:sz w:val="22"/>
                <w:szCs w:val="22"/>
              </w:rPr>
              <w:t>A copy of the agency’s plan for providing language assistance for persons with limited English proficiency that was based on the DOT LEP Guidance or a copy of the agency’s alternative framework for providing language assistance.</w:t>
            </w:r>
          </w:p>
        </w:tc>
        <w:tc>
          <w:tcPr>
            <w:tcW w:w="1818" w:type="dxa"/>
            <w:vAlign w:val="center"/>
          </w:tcPr>
          <w:p w:rsidR="007C4FFE" w:rsidRDefault="00FA3F3B" w:rsidP="00814CBE">
            <w:pPr>
              <w:jc w:val="center"/>
              <w:rPr>
                <w:sz w:val="22"/>
                <w:szCs w:val="28"/>
              </w:rPr>
            </w:pPr>
            <w:r>
              <w:rPr>
                <w:sz w:val="22"/>
                <w:szCs w:val="28"/>
              </w:rPr>
              <w:t>Yes</w:t>
            </w:r>
          </w:p>
        </w:tc>
      </w:tr>
      <w:tr w:rsidR="007C4FFE" w:rsidTr="00814CBE">
        <w:trPr>
          <w:cantSplit/>
        </w:trPr>
        <w:tc>
          <w:tcPr>
            <w:tcW w:w="7488" w:type="dxa"/>
          </w:tcPr>
          <w:p w:rsidR="007C4FFE" w:rsidRPr="006C2D53" w:rsidRDefault="007C4FFE" w:rsidP="00814CBE">
            <w:pPr>
              <w:numPr>
                <w:ilvl w:val="0"/>
                <w:numId w:val="13"/>
              </w:numPr>
              <w:rPr>
                <w:sz w:val="22"/>
                <w:szCs w:val="22"/>
              </w:rPr>
            </w:pPr>
            <w:r w:rsidRPr="006C2D53">
              <w:rPr>
                <w:sz w:val="22"/>
                <w:szCs w:val="22"/>
              </w:rPr>
              <w:t>A copy of the agency procedures for tracking and investigating Title VI complaints.</w:t>
            </w:r>
          </w:p>
        </w:tc>
        <w:tc>
          <w:tcPr>
            <w:tcW w:w="1818" w:type="dxa"/>
            <w:vAlign w:val="center"/>
          </w:tcPr>
          <w:p w:rsidR="007C4FFE" w:rsidRDefault="00FA3F3B" w:rsidP="00814CBE">
            <w:pPr>
              <w:jc w:val="center"/>
              <w:rPr>
                <w:sz w:val="22"/>
                <w:szCs w:val="28"/>
              </w:rPr>
            </w:pPr>
            <w:r>
              <w:rPr>
                <w:sz w:val="22"/>
                <w:szCs w:val="28"/>
              </w:rPr>
              <w:t>Yes</w:t>
            </w:r>
          </w:p>
        </w:tc>
      </w:tr>
      <w:tr w:rsidR="007C4FFE" w:rsidTr="00814CBE">
        <w:trPr>
          <w:cantSplit/>
        </w:trPr>
        <w:tc>
          <w:tcPr>
            <w:tcW w:w="7488" w:type="dxa"/>
          </w:tcPr>
          <w:p w:rsidR="007C4FFE" w:rsidRPr="006C2D53" w:rsidRDefault="007C4FFE" w:rsidP="00814CBE">
            <w:pPr>
              <w:numPr>
                <w:ilvl w:val="0"/>
                <w:numId w:val="13"/>
              </w:numPr>
              <w:rPr>
                <w:sz w:val="22"/>
                <w:szCs w:val="22"/>
              </w:rPr>
            </w:pPr>
            <w:r w:rsidRPr="006C2D53">
              <w:rPr>
                <w:sz w:val="22"/>
                <w:szCs w:val="22"/>
              </w:rPr>
              <w:t>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department of which the entity is a part.</w:t>
            </w:r>
          </w:p>
        </w:tc>
        <w:tc>
          <w:tcPr>
            <w:tcW w:w="1818" w:type="dxa"/>
            <w:vAlign w:val="center"/>
          </w:tcPr>
          <w:p w:rsidR="007C4FFE" w:rsidRDefault="00FA3F3B" w:rsidP="00814CBE">
            <w:pPr>
              <w:jc w:val="center"/>
              <w:rPr>
                <w:sz w:val="22"/>
                <w:szCs w:val="28"/>
              </w:rPr>
            </w:pPr>
            <w:r>
              <w:rPr>
                <w:sz w:val="22"/>
                <w:szCs w:val="28"/>
              </w:rPr>
              <w:t>Yes</w:t>
            </w:r>
          </w:p>
        </w:tc>
      </w:tr>
      <w:tr w:rsidR="007C4FFE" w:rsidTr="00814CBE">
        <w:trPr>
          <w:cantSplit/>
        </w:trPr>
        <w:tc>
          <w:tcPr>
            <w:tcW w:w="7488" w:type="dxa"/>
          </w:tcPr>
          <w:p w:rsidR="007C4FFE" w:rsidRPr="006C2D53" w:rsidRDefault="007C4FFE" w:rsidP="00814CBE">
            <w:pPr>
              <w:numPr>
                <w:ilvl w:val="0"/>
                <w:numId w:val="13"/>
              </w:numPr>
              <w:rPr>
                <w:sz w:val="22"/>
                <w:szCs w:val="22"/>
              </w:rPr>
            </w:pPr>
            <w:r w:rsidRPr="006C2D53">
              <w:rPr>
                <w:sz w:val="22"/>
                <w:szCs w:val="22"/>
              </w:rPr>
              <w:t>A copy of the agency’s notice to the public that it complies with Title VI and instructions to the public on how to file a discrimination complaint.</w:t>
            </w:r>
          </w:p>
        </w:tc>
        <w:tc>
          <w:tcPr>
            <w:tcW w:w="1818" w:type="dxa"/>
            <w:vAlign w:val="center"/>
          </w:tcPr>
          <w:p w:rsidR="007C4FFE" w:rsidRDefault="00FA3F3B" w:rsidP="00814CBE">
            <w:pPr>
              <w:jc w:val="center"/>
              <w:rPr>
                <w:sz w:val="22"/>
                <w:szCs w:val="28"/>
              </w:rPr>
            </w:pPr>
            <w:r>
              <w:rPr>
                <w:sz w:val="22"/>
                <w:szCs w:val="28"/>
              </w:rPr>
              <w:t>Yes</w:t>
            </w:r>
          </w:p>
        </w:tc>
      </w:tr>
    </w:tbl>
    <w:p w:rsidR="007E62E8" w:rsidRDefault="007E62E8" w:rsidP="00D7762B">
      <w:pPr>
        <w:spacing w:line="360" w:lineRule="auto"/>
        <w:rPr>
          <w:sz w:val="28"/>
          <w:szCs w:val="28"/>
        </w:rPr>
      </w:pPr>
    </w:p>
    <w:p w:rsidR="008D1286" w:rsidRDefault="00F05AEC" w:rsidP="00D7762B">
      <w:pPr>
        <w:spacing w:line="360" w:lineRule="auto"/>
        <w:rPr>
          <w:sz w:val="28"/>
          <w:szCs w:val="28"/>
        </w:rPr>
      </w:pPr>
      <w:r>
        <w:rPr>
          <w:sz w:val="28"/>
          <w:szCs w:val="28"/>
        </w:rPr>
        <w:t xml:space="preserve">  </w:t>
      </w:r>
    </w:p>
    <w:p w:rsidR="00C5609F" w:rsidRDefault="00C5609F">
      <w:pPr>
        <w:rPr>
          <w:b/>
          <w:sz w:val="28"/>
          <w:szCs w:val="28"/>
        </w:rPr>
      </w:pPr>
      <w:r>
        <w:rPr>
          <w:b/>
          <w:sz w:val="28"/>
          <w:szCs w:val="28"/>
        </w:rPr>
        <w:br w:type="page"/>
      </w:r>
    </w:p>
    <w:p w:rsidR="00CB33F0" w:rsidRPr="00CB33F0" w:rsidRDefault="00CB33F0" w:rsidP="00CB33F0">
      <w:pPr>
        <w:pStyle w:val="BodyTextIndent2"/>
        <w:ind w:firstLine="0"/>
        <w:rPr>
          <w:b/>
          <w:sz w:val="28"/>
          <w:szCs w:val="28"/>
        </w:rPr>
      </w:pPr>
      <w:r w:rsidRPr="00CB33F0">
        <w:rPr>
          <w:b/>
          <w:sz w:val="28"/>
          <w:szCs w:val="28"/>
        </w:rPr>
        <w:lastRenderedPageBreak/>
        <w:t xml:space="preserve">FINDINGS OF THE PROGRAM-SPECIFIC REQUIREMENTS </w:t>
      </w:r>
      <w:r w:rsidR="003C68B7">
        <w:rPr>
          <w:b/>
          <w:sz w:val="28"/>
          <w:szCs w:val="28"/>
        </w:rPr>
        <w:t xml:space="preserve">AND GUIDELINES </w:t>
      </w:r>
      <w:r w:rsidRPr="00CB33F0">
        <w:rPr>
          <w:b/>
          <w:sz w:val="28"/>
          <w:szCs w:val="28"/>
        </w:rPr>
        <w:t xml:space="preserve">FOR </w:t>
      </w:r>
      <w:r w:rsidR="007E62E8">
        <w:rPr>
          <w:b/>
          <w:sz w:val="28"/>
          <w:szCs w:val="28"/>
        </w:rPr>
        <w:t>RECIPIENTS SERVING LARGE URBAN</w:t>
      </w:r>
      <w:r w:rsidR="00752A92">
        <w:rPr>
          <w:b/>
          <w:sz w:val="28"/>
          <w:szCs w:val="28"/>
        </w:rPr>
        <w:t>IZED</w:t>
      </w:r>
      <w:r w:rsidR="007E62E8">
        <w:rPr>
          <w:b/>
          <w:sz w:val="28"/>
          <w:szCs w:val="28"/>
        </w:rPr>
        <w:t xml:space="preserve"> AREAS</w:t>
      </w:r>
      <w:r w:rsidRPr="00CB33F0">
        <w:rPr>
          <w:b/>
          <w:sz w:val="28"/>
          <w:szCs w:val="28"/>
        </w:rPr>
        <w:t xml:space="preserve"> </w:t>
      </w:r>
    </w:p>
    <w:p w:rsidR="00CB33F0" w:rsidRPr="00CB33F0" w:rsidRDefault="00CB33F0" w:rsidP="00CB33F0">
      <w:pPr>
        <w:pStyle w:val="BodyTextIndent2"/>
        <w:rPr>
          <w:sz w:val="28"/>
          <w:szCs w:val="28"/>
        </w:rPr>
      </w:pPr>
    </w:p>
    <w:p w:rsidR="00F80A8D" w:rsidRDefault="00CB33F0" w:rsidP="00CB33F0">
      <w:pPr>
        <w:spacing w:line="360" w:lineRule="auto"/>
        <w:rPr>
          <w:sz w:val="28"/>
          <w:szCs w:val="28"/>
        </w:rPr>
      </w:pPr>
      <w:r w:rsidRPr="00CB33F0">
        <w:rPr>
          <w:sz w:val="28"/>
          <w:szCs w:val="28"/>
        </w:rPr>
        <w:t>This section covers</w:t>
      </w:r>
      <w:r w:rsidR="00752A92">
        <w:rPr>
          <w:sz w:val="28"/>
          <w:szCs w:val="28"/>
        </w:rPr>
        <w:t xml:space="preserve"> one area of</w:t>
      </w:r>
      <w:r w:rsidRPr="00CB33F0">
        <w:rPr>
          <w:sz w:val="28"/>
          <w:szCs w:val="28"/>
        </w:rPr>
        <w:t xml:space="preserve"> </w:t>
      </w:r>
      <w:r w:rsidR="003C68B7">
        <w:rPr>
          <w:sz w:val="28"/>
          <w:szCs w:val="28"/>
        </w:rPr>
        <w:t>the P</w:t>
      </w:r>
      <w:r w:rsidRPr="00CB33F0">
        <w:rPr>
          <w:sz w:val="28"/>
          <w:szCs w:val="28"/>
        </w:rPr>
        <w:t>rogram-</w:t>
      </w:r>
      <w:r w:rsidR="003C68B7">
        <w:rPr>
          <w:sz w:val="28"/>
          <w:szCs w:val="28"/>
        </w:rPr>
        <w:t>S</w:t>
      </w:r>
      <w:r w:rsidRPr="00CB33F0">
        <w:rPr>
          <w:sz w:val="28"/>
          <w:szCs w:val="28"/>
        </w:rPr>
        <w:t>pecific</w:t>
      </w:r>
      <w:r w:rsidR="003C68B7">
        <w:rPr>
          <w:sz w:val="28"/>
          <w:szCs w:val="28"/>
        </w:rPr>
        <w:t xml:space="preserve"> Requirements and</w:t>
      </w:r>
      <w:r w:rsidRPr="00CB33F0">
        <w:rPr>
          <w:sz w:val="28"/>
          <w:szCs w:val="28"/>
        </w:rPr>
        <w:t xml:space="preserve"> </w:t>
      </w:r>
      <w:r w:rsidR="003C68B7">
        <w:rPr>
          <w:sz w:val="28"/>
          <w:szCs w:val="28"/>
        </w:rPr>
        <w:t>G</w:t>
      </w:r>
      <w:r w:rsidRPr="00CB33F0">
        <w:rPr>
          <w:sz w:val="28"/>
          <w:szCs w:val="28"/>
        </w:rPr>
        <w:t>uide</w:t>
      </w:r>
      <w:r w:rsidR="003C68B7">
        <w:rPr>
          <w:sz w:val="28"/>
          <w:szCs w:val="28"/>
        </w:rPr>
        <w:t>lines</w:t>
      </w:r>
      <w:r w:rsidRPr="00CB33F0">
        <w:rPr>
          <w:sz w:val="28"/>
          <w:szCs w:val="28"/>
        </w:rPr>
        <w:t xml:space="preserve"> for </w:t>
      </w:r>
      <w:r w:rsidR="00693EC2">
        <w:rPr>
          <w:sz w:val="28"/>
          <w:szCs w:val="28"/>
        </w:rPr>
        <w:t xml:space="preserve">recipients that provide service to geographic areas with a population of 200,000 people or greater </w:t>
      </w:r>
      <w:proofErr w:type="gramStart"/>
      <w:r w:rsidR="00693EC2">
        <w:rPr>
          <w:sz w:val="28"/>
          <w:szCs w:val="28"/>
        </w:rPr>
        <w:t>under</w:t>
      </w:r>
      <w:proofErr w:type="gramEnd"/>
      <w:r w:rsidR="00693EC2">
        <w:rPr>
          <w:sz w:val="28"/>
          <w:szCs w:val="28"/>
        </w:rPr>
        <w:t xml:space="preserve"> 49 U.S.C 5307. </w:t>
      </w:r>
    </w:p>
    <w:p w:rsidR="00BF0F95" w:rsidRPr="00CB33F0" w:rsidRDefault="00BF0F95" w:rsidP="00CB33F0">
      <w:pPr>
        <w:spacing w:line="360" w:lineRule="auto"/>
        <w:rPr>
          <w:sz w:val="28"/>
          <w:szCs w:val="28"/>
        </w:rPr>
      </w:pPr>
    </w:p>
    <w:p w:rsidR="00693EC2" w:rsidRDefault="00693EC2" w:rsidP="00693EC2">
      <w:pPr>
        <w:pStyle w:val="BHLevel2"/>
        <w:rPr>
          <w:sz w:val="28"/>
          <w:szCs w:val="28"/>
        </w:rPr>
      </w:pPr>
      <w:bookmarkStart w:id="20" w:name="_Toc201633552"/>
      <w:bookmarkStart w:id="21" w:name="_Toc315152513"/>
      <w:r>
        <w:rPr>
          <w:sz w:val="28"/>
          <w:szCs w:val="28"/>
        </w:rPr>
        <w:t>Evaluation of Service and Fare Changes</w:t>
      </w:r>
      <w:bookmarkEnd w:id="20"/>
      <w:bookmarkEnd w:id="21"/>
    </w:p>
    <w:p w:rsidR="00693EC2" w:rsidRDefault="00693EC2" w:rsidP="00693EC2">
      <w:pPr>
        <w:pStyle w:val="BodyTextIndent2"/>
        <w:ind w:firstLine="0"/>
        <w:rPr>
          <w:rFonts w:cs="Arial"/>
          <w:i/>
          <w:iCs/>
          <w:spacing w:val="4"/>
        </w:rPr>
      </w:pPr>
      <w:r>
        <w:rPr>
          <w:b/>
          <w:sz w:val="28"/>
          <w:szCs w:val="28"/>
        </w:rPr>
        <w:t xml:space="preserve">Requirement:  </w:t>
      </w:r>
      <w:r>
        <w:rPr>
          <w:bCs/>
          <w:i/>
          <w:iCs/>
          <w:sz w:val="28"/>
          <w:szCs w:val="28"/>
        </w:rPr>
        <w:t xml:space="preserve">FTA </w:t>
      </w:r>
      <w:r>
        <w:rPr>
          <w:bCs/>
          <w:i/>
          <w:iCs/>
          <w:sz w:val="28"/>
        </w:rPr>
        <w:t xml:space="preserve">recipients shall </w:t>
      </w:r>
      <w:r>
        <w:rPr>
          <w:rFonts w:cs="Arial"/>
          <w:bCs/>
          <w:i/>
          <w:iCs/>
          <w:spacing w:val="4"/>
          <w:sz w:val="28"/>
        </w:rPr>
        <w:t>evaluate significant system-wide service and fare changes and proposed improvements at the planning and programming stages to determine whether those changes have a discriminatory impact.  For service changes, this requirement applies to “major service changes” only.  Recipients should have established guidelines or thresholds for what it considers a “major” change.</w:t>
      </w:r>
    </w:p>
    <w:p w:rsidR="00693EC2" w:rsidRDefault="00693EC2" w:rsidP="00693EC2">
      <w:pPr>
        <w:spacing w:line="360" w:lineRule="auto"/>
        <w:rPr>
          <w:sz w:val="28"/>
          <w:szCs w:val="28"/>
        </w:rPr>
      </w:pPr>
    </w:p>
    <w:p w:rsidR="00693EC2" w:rsidRDefault="00693EC2" w:rsidP="00693EC2">
      <w:pPr>
        <w:spacing w:line="360" w:lineRule="auto"/>
        <w:rPr>
          <w:sz w:val="28"/>
          <w:szCs w:val="28"/>
        </w:rPr>
      </w:pPr>
      <w:r>
        <w:rPr>
          <w:b/>
          <w:sz w:val="28"/>
          <w:szCs w:val="28"/>
        </w:rPr>
        <w:t xml:space="preserve">Findings: </w:t>
      </w:r>
      <w:r w:rsidR="005B1F1E">
        <w:rPr>
          <w:b/>
          <w:sz w:val="28"/>
          <w:szCs w:val="28"/>
        </w:rPr>
        <w:t xml:space="preserve"> </w:t>
      </w:r>
      <w:r>
        <w:rPr>
          <w:sz w:val="28"/>
          <w:szCs w:val="28"/>
        </w:rPr>
        <w:t xml:space="preserve">During this Title VI Compliance Review of SANDAG, deficiencies were found regarding SANDAG’s compliance with FTA requirements for Evaluation of Service and Fare Changes. </w:t>
      </w:r>
      <w:r w:rsidR="006E416D">
        <w:rPr>
          <w:sz w:val="28"/>
          <w:szCs w:val="28"/>
        </w:rPr>
        <w:t xml:space="preserve"> </w:t>
      </w:r>
      <w:r w:rsidR="0073227E">
        <w:rPr>
          <w:sz w:val="28"/>
          <w:szCs w:val="28"/>
        </w:rPr>
        <w:t>SANDAG did not have a process to evaluate significant system-wide service changes and did not have a threshold for what it considered a “major” change.</w:t>
      </w:r>
    </w:p>
    <w:p w:rsidR="00663A6D" w:rsidRDefault="00663A6D" w:rsidP="00693EC2">
      <w:pPr>
        <w:spacing w:line="360" w:lineRule="auto"/>
        <w:rPr>
          <w:sz w:val="28"/>
          <w:szCs w:val="28"/>
        </w:rPr>
      </w:pPr>
    </w:p>
    <w:p w:rsidR="00663A6D" w:rsidRDefault="00663A6D" w:rsidP="00693EC2">
      <w:pPr>
        <w:spacing w:line="360" w:lineRule="auto"/>
        <w:rPr>
          <w:sz w:val="28"/>
          <w:szCs w:val="28"/>
        </w:rPr>
      </w:pPr>
      <w:r>
        <w:rPr>
          <w:sz w:val="28"/>
          <w:szCs w:val="28"/>
        </w:rPr>
        <w:t>The table below summarizes the elements required for the evaluation of service and fare changes as described in FTA C 4702.1A: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06"/>
      </w:tblGrid>
      <w:tr w:rsidR="00663A6D" w:rsidRPr="00352BAF" w:rsidTr="00295271">
        <w:trPr>
          <w:trHeight w:val="828"/>
        </w:trPr>
        <w:tc>
          <w:tcPr>
            <w:tcW w:w="9306" w:type="dxa"/>
          </w:tcPr>
          <w:p w:rsidR="00663A6D" w:rsidRPr="00352BAF" w:rsidRDefault="00663A6D" w:rsidP="00295271">
            <w:pPr>
              <w:rPr>
                <w:b/>
                <w:bCs/>
                <w:sz w:val="24"/>
                <w:szCs w:val="28"/>
              </w:rPr>
            </w:pPr>
            <w:r w:rsidRPr="00352BAF">
              <w:rPr>
                <w:b/>
                <w:bCs/>
                <w:sz w:val="24"/>
                <w:szCs w:val="28"/>
              </w:rPr>
              <w:t xml:space="preserve">Elements Required for Evaluation of Service and Fare Changes (Per FTA C. 4702.1A, V, </w:t>
            </w:r>
            <w:proofErr w:type="gramStart"/>
            <w:r w:rsidRPr="00352BAF">
              <w:rPr>
                <w:b/>
                <w:bCs/>
                <w:sz w:val="24"/>
                <w:szCs w:val="28"/>
              </w:rPr>
              <w:t>4.a</w:t>
            </w:r>
            <w:proofErr w:type="gramEnd"/>
            <w:r w:rsidRPr="00352BAF">
              <w:rPr>
                <w:b/>
                <w:bCs/>
                <w:sz w:val="24"/>
                <w:szCs w:val="28"/>
              </w:rPr>
              <w:t>.)</w:t>
            </w:r>
          </w:p>
          <w:p w:rsidR="00663A6D" w:rsidRPr="00352BAF" w:rsidRDefault="00663A6D" w:rsidP="00295271">
            <w:pPr>
              <w:jc w:val="center"/>
              <w:rPr>
                <w:b/>
                <w:bCs/>
                <w:sz w:val="24"/>
                <w:szCs w:val="28"/>
              </w:rPr>
            </w:pPr>
          </w:p>
        </w:tc>
      </w:tr>
      <w:tr w:rsidR="00663A6D" w:rsidRPr="00352BAF" w:rsidTr="00295271">
        <w:tc>
          <w:tcPr>
            <w:tcW w:w="9306" w:type="dxa"/>
          </w:tcPr>
          <w:p w:rsidR="00663A6D" w:rsidRPr="00352BAF" w:rsidRDefault="00663A6D" w:rsidP="00295271">
            <w:pPr>
              <w:rPr>
                <w:sz w:val="22"/>
                <w:szCs w:val="28"/>
              </w:rPr>
            </w:pPr>
            <w:r w:rsidRPr="00352BAF">
              <w:rPr>
                <w:sz w:val="22"/>
                <w:szCs w:val="28"/>
              </w:rPr>
              <w:t>Assess the effects of the proposed fare or service change on minority and low-income populations.</w:t>
            </w:r>
          </w:p>
        </w:tc>
      </w:tr>
      <w:tr w:rsidR="00663A6D" w:rsidRPr="00352BAF" w:rsidTr="00295271">
        <w:tc>
          <w:tcPr>
            <w:tcW w:w="9306" w:type="dxa"/>
          </w:tcPr>
          <w:p w:rsidR="00663A6D" w:rsidRPr="00352BAF" w:rsidRDefault="00663A6D" w:rsidP="00D3791B">
            <w:pPr>
              <w:numPr>
                <w:ilvl w:val="0"/>
                <w:numId w:val="18"/>
              </w:numPr>
              <w:rPr>
                <w:sz w:val="22"/>
                <w:szCs w:val="28"/>
              </w:rPr>
            </w:pPr>
            <w:r w:rsidRPr="00352BAF">
              <w:rPr>
                <w:sz w:val="22"/>
                <w:szCs w:val="28"/>
                <w:u w:val="single"/>
              </w:rPr>
              <w:t>Service changes</w:t>
            </w:r>
            <w:r w:rsidRPr="00352BAF">
              <w:rPr>
                <w:sz w:val="22"/>
                <w:szCs w:val="28"/>
              </w:rPr>
              <w:t xml:space="preserve"> – produce maps of service changes overlaid on a demographic map of the service area</w:t>
            </w:r>
          </w:p>
        </w:tc>
      </w:tr>
      <w:tr w:rsidR="00663A6D" w:rsidRPr="00352BAF" w:rsidTr="00295271">
        <w:tc>
          <w:tcPr>
            <w:tcW w:w="9306" w:type="dxa"/>
          </w:tcPr>
          <w:p w:rsidR="00663A6D" w:rsidRPr="00352BAF" w:rsidRDefault="00663A6D" w:rsidP="00D3791B">
            <w:pPr>
              <w:numPr>
                <w:ilvl w:val="0"/>
                <w:numId w:val="18"/>
              </w:numPr>
              <w:rPr>
                <w:sz w:val="22"/>
                <w:szCs w:val="28"/>
              </w:rPr>
            </w:pPr>
            <w:r w:rsidRPr="00352BAF">
              <w:rPr>
                <w:sz w:val="22"/>
                <w:szCs w:val="28"/>
                <w:u w:val="single"/>
              </w:rPr>
              <w:t>Span of service</w:t>
            </w:r>
            <w:r w:rsidRPr="00352BAF">
              <w:rPr>
                <w:sz w:val="22"/>
                <w:szCs w:val="28"/>
              </w:rPr>
              <w:t xml:space="preserve"> – Analyze available data from surveys that indicate whether minority and low-income riders are more likely to be impacted</w:t>
            </w:r>
          </w:p>
        </w:tc>
      </w:tr>
      <w:tr w:rsidR="00663A6D" w:rsidRPr="00352BAF" w:rsidTr="00295271">
        <w:tc>
          <w:tcPr>
            <w:tcW w:w="9306" w:type="dxa"/>
          </w:tcPr>
          <w:p w:rsidR="00663A6D" w:rsidRPr="00352BAF" w:rsidRDefault="00663A6D" w:rsidP="00D3791B">
            <w:pPr>
              <w:numPr>
                <w:ilvl w:val="0"/>
                <w:numId w:val="18"/>
              </w:numPr>
              <w:rPr>
                <w:sz w:val="22"/>
                <w:szCs w:val="28"/>
              </w:rPr>
            </w:pPr>
            <w:r w:rsidRPr="00352BAF">
              <w:rPr>
                <w:sz w:val="22"/>
                <w:szCs w:val="28"/>
                <w:u w:val="single"/>
              </w:rPr>
              <w:lastRenderedPageBreak/>
              <w:t>Fare changes</w:t>
            </w:r>
            <w:r w:rsidRPr="00352BAF">
              <w:rPr>
                <w:sz w:val="22"/>
                <w:szCs w:val="28"/>
              </w:rPr>
              <w:t xml:space="preserve"> - Analyze available data from surveys that indicate whether minority and low-income riders are more likely to be impacted</w:t>
            </w:r>
          </w:p>
        </w:tc>
      </w:tr>
      <w:tr w:rsidR="00663A6D" w:rsidRPr="00352BAF" w:rsidTr="00295271">
        <w:tc>
          <w:tcPr>
            <w:tcW w:w="9306" w:type="dxa"/>
          </w:tcPr>
          <w:p w:rsidR="00663A6D" w:rsidRPr="00352BAF" w:rsidRDefault="00663A6D" w:rsidP="00D3791B">
            <w:pPr>
              <w:rPr>
                <w:sz w:val="22"/>
                <w:szCs w:val="28"/>
              </w:rPr>
            </w:pPr>
            <w:r w:rsidRPr="00352BAF">
              <w:rPr>
                <w:sz w:val="22"/>
                <w:szCs w:val="28"/>
              </w:rPr>
              <w:t>Assess the alternatives available for people affected by the fare increase of major service change.</w:t>
            </w:r>
          </w:p>
        </w:tc>
      </w:tr>
      <w:tr w:rsidR="00663A6D" w:rsidRPr="00352BAF" w:rsidTr="00295271">
        <w:tc>
          <w:tcPr>
            <w:tcW w:w="9306" w:type="dxa"/>
          </w:tcPr>
          <w:p w:rsidR="00663A6D" w:rsidRPr="00352BAF" w:rsidRDefault="00663A6D" w:rsidP="00D3791B">
            <w:pPr>
              <w:numPr>
                <w:ilvl w:val="0"/>
                <w:numId w:val="19"/>
              </w:numPr>
              <w:rPr>
                <w:sz w:val="22"/>
                <w:szCs w:val="28"/>
              </w:rPr>
            </w:pPr>
            <w:r w:rsidRPr="00352BAF">
              <w:rPr>
                <w:sz w:val="22"/>
                <w:szCs w:val="28"/>
                <w:u w:val="single"/>
              </w:rPr>
              <w:t>Service changes</w:t>
            </w:r>
            <w:r w:rsidRPr="00352BAF">
              <w:rPr>
                <w:sz w:val="22"/>
                <w:szCs w:val="28"/>
              </w:rPr>
              <w:t xml:space="preserve"> – Analyze what, if any, modes of transit are available for people affected by the service expansion or reduction.  Analysis should compare travel time and costs to the rider of the alternatives.</w:t>
            </w:r>
          </w:p>
        </w:tc>
      </w:tr>
      <w:tr w:rsidR="00663A6D" w:rsidRPr="00352BAF" w:rsidTr="00295271">
        <w:tc>
          <w:tcPr>
            <w:tcW w:w="9306" w:type="dxa"/>
          </w:tcPr>
          <w:p w:rsidR="00663A6D" w:rsidRPr="00352BAF" w:rsidRDefault="00663A6D" w:rsidP="00D3791B">
            <w:pPr>
              <w:numPr>
                <w:ilvl w:val="0"/>
                <w:numId w:val="19"/>
              </w:numPr>
              <w:rPr>
                <w:sz w:val="22"/>
                <w:szCs w:val="28"/>
              </w:rPr>
            </w:pPr>
            <w:r w:rsidRPr="00352BAF">
              <w:rPr>
                <w:sz w:val="22"/>
                <w:szCs w:val="28"/>
                <w:u w:val="single"/>
              </w:rPr>
              <w:t>Fare changes</w:t>
            </w:r>
            <w:r w:rsidRPr="00352BAF">
              <w:rPr>
                <w:sz w:val="22"/>
                <w:szCs w:val="28"/>
              </w:rPr>
              <w:t xml:space="preserve"> – Analyze what, if any, alternative transit modes, fare payment types or fare payment media are available for people affected by the fare change.  Analysis should compare fares paid under the change with fares that would be paid through available alternatives.</w:t>
            </w:r>
          </w:p>
        </w:tc>
      </w:tr>
      <w:tr w:rsidR="00663A6D" w:rsidRPr="00352BAF" w:rsidTr="00295271">
        <w:tc>
          <w:tcPr>
            <w:tcW w:w="9306" w:type="dxa"/>
          </w:tcPr>
          <w:p w:rsidR="00663A6D" w:rsidRPr="00352BAF" w:rsidRDefault="00663A6D" w:rsidP="00D3791B">
            <w:pPr>
              <w:rPr>
                <w:sz w:val="22"/>
                <w:szCs w:val="28"/>
              </w:rPr>
            </w:pPr>
            <w:r w:rsidRPr="00352BAF">
              <w:rPr>
                <w:sz w:val="22"/>
                <w:szCs w:val="28"/>
              </w:rPr>
              <w:t>Describe actions the agency proposes to minimize, mitigate, or offset any adverse effects of changes on minority and low-income populations.</w:t>
            </w:r>
          </w:p>
        </w:tc>
      </w:tr>
      <w:tr w:rsidR="00663A6D" w:rsidRPr="00352BAF" w:rsidTr="00295271">
        <w:tc>
          <w:tcPr>
            <w:tcW w:w="9306" w:type="dxa"/>
          </w:tcPr>
          <w:p w:rsidR="00663A6D" w:rsidRPr="00352BAF" w:rsidRDefault="00663A6D" w:rsidP="00D3791B">
            <w:pPr>
              <w:rPr>
                <w:sz w:val="22"/>
                <w:szCs w:val="28"/>
              </w:rPr>
            </w:pPr>
            <w:r w:rsidRPr="00352BAF">
              <w:rPr>
                <w:sz w:val="22"/>
                <w:szCs w:val="28"/>
              </w:rPr>
              <w:t>Determine any disproportionately high and adverse effects on minority and low-income riders.  If any, describe that alternatives would have more severe adverse effects than the preferred alternative</w:t>
            </w:r>
          </w:p>
        </w:tc>
      </w:tr>
    </w:tbl>
    <w:p w:rsidR="00D32894" w:rsidRDefault="00D32894" w:rsidP="00DE6139">
      <w:pPr>
        <w:autoSpaceDE w:val="0"/>
        <w:autoSpaceDN w:val="0"/>
        <w:adjustRightInd w:val="0"/>
        <w:spacing w:line="360" w:lineRule="auto"/>
        <w:rPr>
          <w:sz w:val="28"/>
          <w:szCs w:val="28"/>
        </w:rPr>
      </w:pPr>
    </w:p>
    <w:p w:rsidR="0073227E" w:rsidRDefault="0073227E" w:rsidP="00DE6139">
      <w:pPr>
        <w:autoSpaceDE w:val="0"/>
        <w:autoSpaceDN w:val="0"/>
        <w:adjustRightInd w:val="0"/>
        <w:spacing w:line="360" w:lineRule="auto"/>
        <w:rPr>
          <w:sz w:val="28"/>
          <w:szCs w:val="28"/>
        </w:rPr>
      </w:pPr>
      <w:r>
        <w:rPr>
          <w:sz w:val="28"/>
          <w:szCs w:val="28"/>
        </w:rPr>
        <w:t>During the Review, SANDAG provided three reports that evaluated fare changes proposed from 2007 to the present:</w:t>
      </w:r>
    </w:p>
    <w:p w:rsidR="0073227E" w:rsidRDefault="0073227E" w:rsidP="00DE6139">
      <w:pPr>
        <w:autoSpaceDE w:val="0"/>
        <w:autoSpaceDN w:val="0"/>
        <w:adjustRightInd w:val="0"/>
        <w:spacing w:line="360" w:lineRule="auto"/>
        <w:rPr>
          <w:sz w:val="28"/>
          <w:szCs w:val="28"/>
        </w:rPr>
      </w:pPr>
    </w:p>
    <w:p w:rsidR="0073227E" w:rsidRPr="0073227E" w:rsidRDefault="0073227E" w:rsidP="00756FD4">
      <w:pPr>
        <w:pStyle w:val="ListParagraph"/>
        <w:numPr>
          <w:ilvl w:val="0"/>
          <w:numId w:val="29"/>
        </w:numPr>
        <w:autoSpaceDE w:val="0"/>
        <w:autoSpaceDN w:val="0"/>
        <w:adjustRightInd w:val="0"/>
        <w:spacing w:after="240"/>
        <w:rPr>
          <w:sz w:val="28"/>
          <w:szCs w:val="28"/>
        </w:rPr>
      </w:pPr>
      <w:r w:rsidRPr="00D3791B">
        <w:rPr>
          <w:i/>
          <w:sz w:val="28"/>
          <w:szCs w:val="28"/>
        </w:rPr>
        <w:t>SANDAG Title VI Fare Proposal for the San Diego Region</w:t>
      </w:r>
      <w:r w:rsidRPr="0073227E">
        <w:rPr>
          <w:sz w:val="28"/>
          <w:szCs w:val="28"/>
        </w:rPr>
        <w:t>, dated September 2007,</w:t>
      </w:r>
    </w:p>
    <w:p w:rsidR="0073227E" w:rsidRPr="0073227E" w:rsidRDefault="0073227E" w:rsidP="00756FD4">
      <w:pPr>
        <w:pStyle w:val="ListParagraph"/>
        <w:numPr>
          <w:ilvl w:val="0"/>
          <w:numId w:val="29"/>
        </w:numPr>
        <w:autoSpaceDE w:val="0"/>
        <w:autoSpaceDN w:val="0"/>
        <w:adjustRightInd w:val="0"/>
        <w:spacing w:after="240"/>
        <w:rPr>
          <w:sz w:val="28"/>
          <w:szCs w:val="28"/>
        </w:rPr>
      </w:pPr>
      <w:r w:rsidRPr="00D3791B">
        <w:rPr>
          <w:i/>
          <w:sz w:val="28"/>
          <w:szCs w:val="28"/>
        </w:rPr>
        <w:t>SANDAG Title VI Fare Proposal for the San Diego Region</w:t>
      </w:r>
      <w:r w:rsidRPr="0073227E">
        <w:rPr>
          <w:sz w:val="28"/>
          <w:szCs w:val="28"/>
        </w:rPr>
        <w:t>, dated June 2008, and</w:t>
      </w:r>
    </w:p>
    <w:p w:rsidR="0073227E" w:rsidRPr="0073227E" w:rsidRDefault="0073227E" w:rsidP="00756FD4">
      <w:pPr>
        <w:pStyle w:val="ListParagraph"/>
        <w:numPr>
          <w:ilvl w:val="0"/>
          <w:numId w:val="29"/>
        </w:numPr>
        <w:autoSpaceDE w:val="0"/>
        <w:autoSpaceDN w:val="0"/>
        <w:adjustRightInd w:val="0"/>
        <w:rPr>
          <w:sz w:val="28"/>
          <w:szCs w:val="28"/>
        </w:rPr>
      </w:pPr>
      <w:r w:rsidRPr="00D3791B">
        <w:rPr>
          <w:i/>
          <w:sz w:val="28"/>
          <w:szCs w:val="28"/>
        </w:rPr>
        <w:t>SANDAG Title VI Fare Proposal for the San Diego Region</w:t>
      </w:r>
      <w:r w:rsidRPr="0073227E">
        <w:rPr>
          <w:sz w:val="28"/>
          <w:szCs w:val="28"/>
        </w:rPr>
        <w:t>, dated April 2009.</w:t>
      </w:r>
    </w:p>
    <w:p w:rsidR="006E416D" w:rsidRDefault="006E416D" w:rsidP="00DE6139">
      <w:pPr>
        <w:autoSpaceDE w:val="0"/>
        <w:autoSpaceDN w:val="0"/>
        <w:adjustRightInd w:val="0"/>
        <w:spacing w:line="360" w:lineRule="auto"/>
        <w:rPr>
          <w:sz w:val="28"/>
          <w:szCs w:val="28"/>
        </w:rPr>
      </w:pPr>
    </w:p>
    <w:p w:rsidR="0073227E" w:rsidRDefault="00CD259E" w:rsidP="00DE6139">
      <w:pPr>
        <w:autoSpaceDE w:val="0"/>
        <w:autoSpaceDN w:val="0"/>
        <w:adjustRightInd w:val="0"/>
        <w:spacing w:line="360" w:lineRule="auto"/>
        <w:rPr>
          <w:sz w:val="28"/>
          <w:szCs w:val="28"/>
        </w:rPr>
      </w:pPr>
      <w:r>
        <w:rPr>
          <w:sz w:val="28"/>
          <w:szCs w:val="28"/>
        </w:rPr>
        <w:t xml:space="preserve">Each report analyzed the Title VI impacts of the fare changes being proposed and did compare the impacts of the fare changes on the minority and low-income riders to </w:t>
      </w:r>
      <w:r w:rsidR="00E91108">
        <w:rPr>
          <w:sz w:val="28"/>
          <w:szCs w:val="28"/>
        </w:rPr>
        <w:t>the system as a whole</w:t>
      </w:r>
      <w:r>
        <w:rPr>
          <w:sz w:val="28"/>
          <w:szCs w:val="28"/>
        </w:rPr>
        <w:t xml:space="preserve">. </w:t>
      </w:r>
      <w:r w:rsidR="00D3791B">
        <w:rPr>
          <w:sz w:val="28"/>
          <w:szCs w:val="28"/>
        </w:rPr>
        <w:t xml:space="preserve"> </w:t>
      </w:r>
      <w:r>
        <w:rPr>
          <w:sz w:val="28"/>
          <w:szCs w:val="28"/>
        </w:rPr>
        <w:t>There was some uncertainty about the meaning of some of the information in the reports (e.g., the column entitled “% Difference (Service Area LIM vs. Actual LIM</w:t>
      </w:r>
      <w:r w:rsidRPr="00CD259E">
        <w:rPr>
          <w:sz w:val="28"/>
          <w:szCs w:val="28"/>
        </w:rPr>
        <w:t xml:space="preserve"> </w:t>
      </w:r>
      <w:r>
        <w:rPr>
          <w:sz w:val="28"/>
          <w:szCs w:val="28"/>
        </w:rPr>
        <w:t>%”</w:t>
      </w:r>
      <w:r w:rsidR="00752A92">
        <w:rPr>
          <w:sz w:val="28"/>
          <w:szCs w:val="28"/>
        </w:rPr>
        <w:t>)</w:t>
      </w:r>
      <w:r>
        <w:rPr>
          <w:sz w:val="28"/>
          <w:szCs w:val="28"/>
        </w:rPr>
        <w:t xml:space="preserve"> in some of the tables), </w:t>
      </w:r>
      <w:r w:rsidR="00E91108">
        <w:rPr>
          <w:sz w:val="28"/>
          <w:szCs w:val="28"/>
        </w:rPr>
        <w:t>but the reports were generally responsive to the requirements of the Circular.</w:t>
      </w:r>
    </w:p>
    <w:p w:rsidR="00E91108" w:rsidRDefault="00E91108" w:rsidP="00DE6139">
      <w:pPr>
        <w:autoSpaceDE w:val="0"/>
        <w:autoSpaceDN w:val="0"/>
        <w:adjustRightInd w:val="0"/>
        <w:spacing w:line="360" w:lineRule="auto"/>
        <w:rPr>
          <w:sz w:val="28"/>
          <w:szCs w:val="28"/>
        </w:rPr>
      </w:pPr>
    </w:p>
    <w:p w:rsidR="00E91108" w:rsidRDefault="0036079D" w:rsidP="00DE6139">
      <w:pPr>
        <w:autoSpaceDE w:val="0"/>
        <w:autoSpaceDN w:val="0"/>
        <w:adjustRightInd w:val="0"/>
        <w:spacing w:line="360" w:lineRule="auto"/>
        <w:rPr>
          <w:sz w:val="28"/>
          <w:szCs w:val="28"/>
        </w:rPr>
      </w:pPr>
      <w:r>
        <w:rPr>
          <w:sz w:val="28"/>
          <w:szCs w:val="28"/>
        </w:rPr>
        <w:t>SANDAG had major public transit service improvement projects that were being implemented and/or planned in the San Diego region</w:t>
      </w:r>
      <w:r w:rsidR="0073681A">
        <w:rPr>
          <w:sz w:val="28"/>
          <w:szCs w:val="28"/>
        </w:rPr>
        <w:t xml:space="preserve"> (e</w:t>
      </w:r>
      <w:r>
        <w:rPr>
          <w:sz w:val="28"/>
          <w:szCs w:val="28"/>
        </w:rPr>
        <w:t xml:space="preserve">.g., the Mid-City Rapid Bus </w:t>
      </w:r>
      <w:r>
        <w:rPr>
          <w:sz w:val="28"/>
          <w:szCs w:val="28"/>
        </w:rPr>
        <w:lastRenderedPageBreak/>
        <w:t>Project</w:t>
      </w:r>
      <w:r w:rsidR="0073681A">
        <w:rPr>
          <w:sz w:val="28"/>
          <w:szCs w:val="28"/>
        </w:rPr>
        <w:t>)</w:t>
      </w:r>
      <w:r>
        <w:rPr>
          <w:sz w:val="28"/>
          <w:szCs w:val="28"/>
        </w:rPr>
        <w:t xml:space="preserve">. </w:t>
      </w:r>
      <w:r w:rsidR="00D3791B">
        <w:rPr>
          <w:sz w:val="28"/>
          <w:szCs w:val="28"/>
        </w:rPr>
        <w:t xml:space="preserve"> </w:t>
      </w:r>
      <w:r>
        <w:rPr>
          <w:sz w:val="28"/>
          <w:szCs w:val="28"/>
        </w:rPr>
        <w:t xml:space="preserve">SANDAG did not have a process to evaluate significant system-wide service changes and did not have a threshold for what it considered a “major” change, as required by the Circular. </w:t>
      </w:r>
      <w:r w:rsidR="0073681A">
        <w:rPr>
          <w:sz w:val="28"/>
          <w:szCs w:val="28"/>
        </w:rPr>
        <w:t xml:space="preserve"> </w:t>
      </w:r>
      <w:r>
        <w:rPr>
          <w:sz w:val="28"/>
          <w:szCs w:val="28"/>
        </w:rPr>
        <w:t xml:space="preserve">During the site visit, the Review team discussed </w:t>
      </w:r>
      <w:r w:rsidR="002124BB">
        <w:rPr>
          <w:sz w:val="28"/>
          <w:szCs w:val="28"/>
        </w:rPr>
        <w:t xml:space="preserve">with SANDAG </w:t>
      </w:r>
      <w:r>
        <w:rPr>
          <w:sz w:val="28"/>
          <w:szCs w:val="28"/>
        </w:rPr>
        <w:t xml:space="preserve">the recently issued </w:t>
      </w:r>
      <w:r w:rsidR="00752A92">
        <w:rPr>
          <w:sz w:val="28"/>
          <w:szCs w:val="28"/>
        </w:rPr>
        <w:t xml:space="preserve">FTA </w:t>
      </w:r>
      <w:r>
        <w:rPr>
          <w:sz w:val="28"/>
          <w:szCs w:val="28"/>
        </w:rPr>
        <w:t xml:space="preserve">“Dear Colleague” letter </w:t>
      </w:r>
      <w:r w:rsidR="002124BB">
        <w:rPr>
          <w:sz w:val="28"/>
          <w:szCs w:val="28"/>
        </w:rPr>
        <w:t>of March 8, 2011 regarding Title VI service and fare equity analyses.</w:t>
      </w:r>
    </w:p>
    <w:p w:rsidR="008E716D" w:rsidRDefault="008E716D" w:rsidP="00DE6139">
      <w:pPr>
        <w:autoSpaceDE w:val="0"/>
        <w:autoSpaceDN w:val="0"/>
        <w:adjustRightInd w:val="0"/>
        <w:spacing w:line="360" w:lineRule="auto"/>
        <w:rPr>
          <w:sz w:val="28"/>
          <w:szCs w:val="28"/>
        </w:rPr>
      </w:pPr>
    </w:p>
    <w:p w:rsidR="008E716D" w:rsidRDefault="008E716D" w:rsidP="00DE6139">
      <w:pPr>
        <w:autoSpaceDE w:val="0"/>
        <w:autoSpaceDN w:val="0"/>
        <w:adjustRightInd w:val="0"/>
        <w:spacing w:line="360" w:lineRule="auto"/>
        <w:rPr>
          <w:sz w:val="28"/>
          <w:szCs w:val="28"/>
        </w:rPr>
      </w:pPr>
      <w:r>
        <w:rPr>
          <w:sz w:val="28"/>
          <w:szCs w:val="28"/>
        </w:rPr>
        <w:t>In response to the Draft report in a letter dated September 30, 2011, SANDAG provided as attachments its processes for evaluating significant system-wide service changes and fare changes.  Both processes complied with FTA Circular 4702.1A requirement</w:t>
      </w:r>
      <w:r w:rsidR="00C47F39">
        <w:rPr>
          <w:sz w:val="28"/>
          <w:szCs w:val="28"/>
        </w:rPr>
        <w:t>s</w:t>
      </w:r>
      <w:r>
        <w:rPr>
          <w:sz w:val="28"/>
          <w:szCs w:val="28"/>
        </w:rPr>
        <w:t xml:space="preserve"> for Evaluation of Service and Fare Changes.  SANDAG’s newly developed process for service changes included a threshold for what is considered a “major” change, as required by the Circular.  SANDAG stated the following with respect to implementation of these processes:</w:t>
      </w:r>
    </w:p>
    <w:p w:rsidR="008E716D" w:rsidRDefault="008E716D" w:rsidP="00DE6139">
      <w:pPr>
        <w:autoSpaceDE w:val="0"/>
        <w:autoSpaceDN w:val="0"/>
        <w:adjustRightInd w:val="0"/>
        <w:spacing w:line="360" w:lineRule="auto"/>
        <w:rPr>
          <w:sz w:val="28"/>
          <w:szCs w:val="28"/>
        </w:rPr>
      </w:pPr>
    </w:p>
    <w:p w:rsidR="008E716D" w:rsidRPr="005D1E48" w:rsidRDefault="008E716D" w:rsidP="005D1E48">
      <w:pPr>
        <w:autoSpaceDE w:val="0"/>
        <w:autoSpaceDN w:val="0"/>
        <w:adjustRightInd w:val="0"/>
        <w:ind w:left="720"/>
        <w:rPr>
          <w:i/>
          <w:sz w:val="28"/>
          <w:szCs w:val="28"/>
        </w:rPr>
      </w:pPr>
      <w:r w:rsidRPr="005D1E48">
        <w:rPr>
          <w:i/>
          <w:sz w:val="28"/>
          <w:szCs w:val="28"/>
        </w:rPr>
        <w:t xml:space="preserve">SANDAG will reference these two methodologies in SANDAG Board Policy No. 018…this revised Board policy is set for approval by </w:t>
      </w:r>
      <w:r w:rsidR="005D1E48" w:rsidRPr="005D1E48">
        <w:rPr>
          <w:i/>
          <w:sz w:val="28"/>
          <w:szCs w:val="28"/>
        </w:rPr>
        <w:t>the SANDAG B</w:t>
      </w:r>
      <w:r w:rsidRPr="005D1E48">
        <w:rPr>
          <w:i/>
          <w:sz w:val="28"/>
          <w:szCs w:val="28"/>
        </w:rPr>
        <w:t xml:space="preserve">oard </w:t>
      </w:r>
      <w:r w:rsidR="005D1E48" w:rsidRPr="005D1E48">
        <w:rPr>
          <w:i/>
          <w:sz w:val="28"/>
          <w:szCs w:val="28"/>
        </w:rPr>
        <w:t>of Directors at its October 28, 2011, meeting.  Prior to approval there will be an opportunity for public comment on the methodologies at two public meetings.  The two proposed methodologies will be made available on the SANDAG Web site and the final version of the methodologies also will be placed on the Web site.</w:t>
      </w:r>
    </w:p>
    <w:p w:rsidR="00E91108" w:rsidRDefault="00E91108" w:rsidP="00DE6139">
      <w:pPr>
        <w:autoSpaceDE w:val="0"/>
        <w:autoSpaceDN w:val="0"/>
        <w:adjustRightInd w:val="0"/>
        <w:spacing w:line="360" w:lineRule="auto"/>
        <w:rPr>
          <w:sz w:val="28"/>
          <w:szCs w:val="28"/>
        </w:rPr>
      </w:pPr>
    </w:p>
    <w:p w:rsidR="00A009FF" w:rsidRDefault="00A009FF" w:rsidP="00A009FF">
      <w:pPr>
        <w:spacing w:line="360" w:lineRule="auto"/>
        <w:rPr>
          <w:sz w:val="28"/>
        </w:rPr>
      </w:pPr>
      <w:r>
        <w:rPr>
          <w:sz w:val="28"/>
        </w:rPr>
        <w:t xml:space="preserve">SANDAG’s efforts are sufficient to close the deficiency in </w:t>
      </w:r>
      <w:r w:rsidR="005946B9">
        <w:rPr>
          <w:sz w:val="28"/>
        </w:rPr>
        <w:t>Evaluation of Service and Fare Changes</w:t>
      </w:r>
      <w:r>
        <w:rPr>
          <w:sz w:val="28"/>
        </w:rPr>
        <w:t xml:space="preserve">.  </w:t>
      </w:r>
    </w:p>
    <w:p w:rsidR="00A009FF" w:rsidRDefault="00A009FF" w:rsidP="00DE6139">
      <w:pPr>
        <w:autoSpaceDE w:val="0"/>
        <w:autoSpaceDN w:val="0"/>
        <w:adjustRightInd w:val="0"/>
        <w:spacing w:line="360" w:lineRule="auto"/>
        <w:rPr>
          <w:sz w:val="28"/>
          <w:szCs w:val="28"/>
        </w:rPr>
      </w:pPr>
    </w:p>
    <w:p w:rsidR="00363373" w:rsidRDefault="00363373">
      <w:pPr>
        <w:rPr>
          <w:b/>
          <w:sz w:val="28"/>
          <w:szCs w:val="28"/>
        </w:rPr>
      </w:pPr>
      <w:r>
        <w:rPr>
          <w:b/>
          <w:sz w:val="28"/>
          <w:szCs w:val="28"/>
        </w:rPr>
        <w:br w:type="page"/>
      </w:r>
    </w:p>
    <w:p w:rsidR="00693EC2" w:rsidRPr="00CB33F0" w:rsidRDefault="00693EC2" w:rsidP="00693EC2">
      <w:pPr>
        <w:pStyle w:val="BodyTextIndent2"/>
        <w:ind w:firstLine="0"/>
        <w:rPr>
          <w:b/>
          <w:sz w:val="28"/>
          <w:szCs w:val="28"/>
        </w:rPr>
      </w:pPr>
      <w:r w:rsidRPr="00CB33F0">
        <w:rPr>
          <w:b/>
          <w:sz w:val="28"/>
          <w:szCs w:val="28"/>
        </w:rPr>
        <w:lastRenderedPageBreak/>
        <w:t xml:space="preserve">FINDINGS OF THE PROGRAM-SPECIFIC </w:t>
      </w:r>
      <w:r>
        <w:rPr>
          <w:b/>
          <w:sz w:val="28"/>
          <w:szCs w:val="28"/>
        </w:rPr>
        <w:t xml:space="preserve">GUIDELINES </w:t>
      </w:r>
      <w:r w:rsidRPr="00CB33F0">
        <w:rPr>
          <w:b/>
          <w:sz w:val="28"/>
          <w:szCs w:val="28"/>
        </w:rPr>
        <w:t xml:space="preserve">FOR </w:t>
      </w:r>
      <w:r w:rsidR="00663A6D">
        <w:rPr>
          <w:b/>
          <w:sz w:val="28"/>
          <w:szCs w:val="28"/>
        </w:rPr>
        <w:t>METROPOLITAN TRANSPORTATION PLANNING ORGANIZATIONS</w:t>
      </w:r>
    </w:p>
    <w:p w:rsidR="00693EC2" w:rsidRPr="00CB33F0" w:rsidRDefault="00693EC2" w:rsidP="00693EC2">
      <w:pPr>
        <w:pStyle w:val="BodyTextIndent2"/>
        <w:rPr>
          <w:sz w:val="28"/>
          <w:szCs w:val="28"/>
        </w:rPr>
      </w:pPr>
    </w:p>
    <w:p w:rsidR="00693EC2" w:rsidRDefault="00693EC2" w:rsidP="00693EC2">
      <w:pPr>
        <w:spacing w:line="360" w:lineRule="auto"/>
        <w:rPr>
          <w:sz w:val="28"/>
          <w:szCs w:val="28"/>
        </w:rPr>
      </w:pPr>
      <w:r w:rsidRPr="00CB33F0">
        <w:rPr>
          <w:sz w:val="28"/>
          <w:szCs w:val="28"/>
        </w:rPr>
        <w:t xml:space="preserve">This section covers </w:t>
      </w:r>
      <w:r>
        <w:rPr>
          <w:sz w:val="28"/>
          <w:szCs w:val="28"/>
        </w:rPr>
        <w:t xml:space="preserve">the </w:t>
      </w:r>
      <w:r w:rsidR="00663A6D">
        <w:rPr>
          <w:sz w:val="28"/>
          <w:szCs w:val="28"/>
        </w:rPr>
        <w:t xml:space="preserve">procedures that </w:t>
      </w:r>
      <w:r w:rsidR="00557EE8">
        <w:rPr>
          <w:sz w:val="28"/>
          <w:szCs w:val="28"/>
        </w:rPr>
        <w:t>M</w:t>
      </w:r>
      <w:r w:rsidR="00663A6D">
        <w:rPr>
          <w:sz w:val="28"/>
          <w:szCs w:val="28"/>
        </w:rPr>
        <w:t xml:space="preserve">etropolitan </w:t>
      </w:r>
      <w:r w:rsidR="00557EE8">
        <w:rPr>
          <w:sz w:val="28"/>
          <w:szCs w:val="28"/>
        </w:rPr>
        <w:t>Transportation P</w:t>
      </w:r>
      <w:r w:rsidR="00663A6D">
        <w:rPr>
          <w:sz w:val="28"/>
          <w:szCs w:val="28"/>
        </w:rPr>
        <w:t xml:space="preserve">lanning </w:t>
      </w:r>
      <w:r w:rsidR="00557EE8">
        <w:rPr>
          <w:sz w:val="28"/>
          <w:szCs w:val="28"/>
        </w:rPr>
        <w:t>O</w:t>
      </w:r>
      <w:r w:rsidR="00663A6D">
        <w:rPr>
          <w:sz w:val="28"/>
          <w:szCs w:val="28"/>
        </w:rPr>
        <w:t>rganizations (MPOs) should follow in order to comply with the Department of Transportation’s Title VI regulations</w:t>
      </w:r>
      <w:r>
        <w:rPr>
          <w:sz w:val="28"/>
          <w:szCs w:val="28"/>
        </w:rPr>
        <w:t xml:space="preserve">. </w:t>
      </w:r>
    </w:p>
    <w:p w:rsidR="00693EC2" w:rsidRDefault="00693EC2" w:rsidP="00D3791B">
      <w:pPr>
        <w:autoSpaceDE w:val="0"/>
        <w:autoSpaceDN w:val="0"/>
        <w:adjustRightInd w:val="0"/>
        <w:rPr>
          <w:sz w:val="28"/>
          <w:szCs w:val="28"/>
        </w:rPr>
      </w:pPr>
    </w:p>
    <w:p w:rsidR="001F1FE3" w:rsidRPr="001F1FE3" w:rsidRDefault="001F1FE3" w:rsidP="00C5609F">
      <w:pPr>
        <w:pStyle w:val="BHLevel2"/>
        <w:rPr>
          <w:sz w:val="28"/>
          <w:szCs w:val="28"/>
        </w:rPr>
      </w:pPr>
      <w:bookmarkStart w:id="22" w:name="_Toc315152514"/>
      <w:r>
        <w:rPr>
          <w:sz w:val="28"/>
          <w:szCs w:val="28"/>
        </w:rPr>
        <w:t xml:space="preserve">Demographic </w:t>
      </w:r>
      <w:r w:rsidR="00EE009B">
        <w:rPr>
          <w:sz w:val="28"/>
          <w:szCs w:val="28"/>
        </w:rPr>
        <w:t>Profile</w:t>
      </w:r>
      <w:bookmarkEnd w:id="22"/>
    </w:p>
    <w:p w:rsidR="001F1FE3" w:rsidRDefault="001F1FE3" w:rsidP="001F1FE3">
      <w:pPr>
        <w:pStyle w:val="BodyTextIndent2"/>
        <w:ind w:firstLine="0"/>
        <w:rPr>
          <w:i/>
          <w:iCs/>
          <w:sz w:val="28"/>
        </w:rPr>
      </w:pPr>
      <w:r>
        <w:rPr>
          <w:b/>
          <w:sz w:val="28"/>
          <w:szCs w:val="28"/>
        </w:rPr>
        <w:t xml:space="preserve">Requirement:  </w:t>
      </w:r>
      <w:r>
        <w:rPr>
          <w:bCs/>
          <w:i/>
          <w:iCs/>
          <w:sz w:val="28"/>
          <w:szCs w:val="28"/>
        </w:rPr>
        <w:t>M</w:t>
      </w:r>
      <w:r w:rsidR="00EE009B">
        <w:rPr>
          <w:bCs/>
          <w:i/>
          <w:iCs/>
          <w:sz w:val="28"/>
          <w:szCs w:val="28"/>
        </w:rPr>
        <w:t xml:space="preserve">POs should have a </w:t>
      </w:r>
      <w:r>
        <w:rPr>
          <w:i/>
          <w:iCs/>
          <w:sz w:val="28"/>
        </w:rPr>
        <w:t>demographic profile of the metropolitan area that includes identification of the locations of socioeconomic groups, including low-income and minority populations as covered by the Executive Order on Environmental Justice and Title VI.</w:t>
      </w:r>
    </w:p>
    <w:p w:rsidR="001F1FE3" w:rsidRDefault="001F1FE3" w:rsidP="001F1FE3">
      <w:pPr>
        <w:spacing w:line="360" w:lineRule="auto"/>
        <w:rPr>
          <w:b/>
          <w:sz w:val="28"/>
          <w:szCs w:val="28"/>
        </w:rPr>
      </w:pPr>
    </w:p>
    <w:p w:rsidR="00916238" w:rsidRDefault="001F1FE3" w:rsidP="001F1FE3">
      <w:pPr>
        <w:spacing w:line="360" w:lineRule="auto"/>
        <w:rPr>
          <w:sz w:val="28"/>
          <w:szCs w:val="28"/>
        </w:rPr>
      </w:pPr>
      <w:r>
        <w:rPr>
          <w:b/>
          <w:sz w:val="28"/>
          <w:szCs w:val="28"/>
        </w:rPr>
        <w:t>Findings:</w:t>
      </w:r>
      <w:r>
        <w:rPr>
          <w:sz w:val="28"/>
          <w:szCs w:val="28"/>
        </w:rPr>
        <w:t xml:space="preserve"> </w:t>
      </w:r>
      <w:r w:rsidR="005B1F1E">
        <w:rPr>
          <w:sz w:val="28"/>
          <w:szCs w:val="28"/>
        </w:rPr>
        <w:t xml:space="preserve"> </w:t>
      </w:r>
      <w:r>
        <w:rPr>
          <w:sz w:val="28"/>
          <w:szCs w:val="28"/>
        </w:rPr>
        <w:t xml:space="preserve">During this Title VI Compliance Review of </w:t>
      </w:r>
      <w:r w:rsidR="00F53E01">
        <w:rPr>
          <w:sz w:val="28"/>
          <w:szCs w:val="28"/>
        </w:rPr>
        <w:t>SANDAG</w:t>
      </w:r>
      <w:r>
        <w:rPr>
          <w:sz w:val="28"/>
          <w:szCs w:val="28"/>
        </w:rPr>
        <w:t xml:space="preserve">, no deficiencies were found regarding SANDAG’s compliance with FTA requirements for Demographic </w:t>
      </w:r>
      <w:r w:rsidR="00EE009B">
        <w:rPr>
          <w:sz w:val="28"/>
          <w:szCs w:val="28"/>
        </w:rPr>
        <w:t>Profile</w:t>
      </w:r>
      <w:r>
        <w:rPr>
          <w:sz w:val="28"/>
          <w:szCs w:val="28"/>
        </w:rPr>
        <w:t>.</w:t>
      </w:r>
      <w:r w:rsidR="00B7618B">
        <w:rPr>
          <w:sz w:val="28"/>
          <w:szCs w:val="28"/>
        </w:rPr>
        <w:t xml:space="preserve">  Prior to the site visit, </w:t>
      </w:r>
      <w:r w:rsidR="00B7618B" w:rsidRPr="00B7618B">
        <w:rPr>
          <w:sz w:val="28"/>
          <w:szCs w:val="28"/>
        </w:rPr>
        <w:t xml:space="preserve">SANDAG provided a demographic profile of its service area including demographic data from the 2000 Census and area profile maps highlighting minority and low-income populations.  </w:t>
      </w:r>
    </w:p>
    <w:p w:rsidR="00B7618B" w:rsidRDefault="00B7618B" w:rsidP="001F1FE3">
      <w:pPr>
        <w:spacing w:line="360" w:lineRule="auto"/>
        <w:rPr>
          <w:sz w:val="28"/>
          <w:szCs w:val="28"/>
        </w:rPr>
      </w:pPr>
    </w:p>
    <w:p w:rsidR="00153447" w:rsidRDefault="00B7618B" w:rsidP="00153447">
      <w:pPr>
        <w:spacing w:line="360" w:lineRule="auto"/>
        <w:rPr>
          <w:sz w:val="28"/>
          <w:szCs w:val="28"/>
        </w:rPr>
      </w:pPr>
      <w:r w:rsidRPr="00B7618B">
        <w:rPr>
          <w:sz w:val="28"/>
          <w:szCs w:val="28"/>
        </w:rPr>
        <w:t xml:space="preserve">During the site visit, </w:t>
      </w:r>
      <w:r>
        <w:rPr>
          <w:sz w:val="28"/>
          <w:szCs w:val="28"/>
        </w:rPr>
        <w:t xml:space="preserve">SANDAG provided a document </w:t>
      </w:r>
      <w:r w:rsidRPr="00B7618B">
        <w:rPr>
          <w:sz w:val="28"/>
          <w:szCs w:val="28"/>
        </w:rPr>
        <w:t>titled</w:t>
      </w:r>
      <w:r w:rsidR="0073681A">
        <w:rPr>
          <w:sz w:val="28"/>
          <w:szCs w:val="28"/>
        </w:rPr>
        <w:t>,</w:t>
      </w:r>
      <w:r w:rsidRPr="00B7618B">
        <w:rPr>
          <w:sz w:val="28"/>
          <w:szCs w:val="28"/>
        </w:rPr>
        <w:t xml:space="preserve"> </w:t>
      </w:r>
      <w:r w:rsidR="0073681A">
        <w:rPr>
          <w:sz w:val="28"/>
          <w:szCs w:val="28"/>
        </w:rPr>
        <w:t>“</w:t>
      </w:r>
      <w:r w:rsidRPr="00B7618B">
        <w:rPr>
          <w:i/>
          <w:sz w:val="28"/>
          <w:szCs w:val="28"/>
        </w:rPr>
        <w:t>Regional Planning Stakeholders Working Group</w:t>
      </w:r>
      <w:r>
        <w:rPr>
          <w:sz w:val="28"/>
          <w:szCs w:val="28"/>
        </w:rPr>
        <w:t>,</w:t>
      </w:r>
      <w:r w:rsidR="0073681A">
        <w:rPr>
          <w:sz w:val="28"/>
          <w:szCs w:val="28"/>
        </w:rPr>
        <w:t>”</w:t>
      </w:r>
      <w:r w:rsidRPr="00B7618B">
        <w:rPr>
          <w:sz w:val="28"/>
          <w:szCs w:val="28"/>
        </w:rPr>
        <w:t xml:space="preserve"> </w:t>
      </w:r>
      <w:r w:rsidR="00153447">
        <w:rPr>
          <w:sz w:val="28"/>
          <w:szCs w:val="28"/>
        </w:rPr>
        <w:t>which include</w:t>
      </w:r>
      <w:r w:rsidR="00752A92">
        <w:rPr>
          <w:sz w:val="28"/>
          <w:szCs w:val="28"/>
        </w:rPr>
        <w:t>d</w:t>
      </w:r>
      <w:r w:rsidRPr="00B7618B">
        <w:rPr>
          <w:sz w:val="28"/>
          <w:szCs w:val="28"/>
        </w:rPr>
        <w:t xml:space="preserve"> a narrative description of the demographic maps provided for its service area.  SANDAG also provided a</w:t>
      </w:r>
      <w:r>
        <w:rPr>
          <w:sz w:val="28"/>
          <w:szCs w:val="28"/>
        </w:rPr>
        <w:t xml:space="preserve"> document </w:t>
      </w:r>
      <w:r w:rsidRPr="00B7618B">
        <w:rPr>
          <w:sz w:val="28"/>
          <w:szCs w:val="28"/>
        </w:rPr>
        <w:t>titled</w:t>
      </w:r>
      <w:r w:rsidR="0073681A">
        <w:rPr>
          <w:sz w:val="28"/>
          <w:szCs w:val="28"/>
        </w:rPr>
        <w:t>,</w:t>
      </w:r>
      <w:r w:rsidRPr="00B7618B">
        <w:rPr>
          <w:sz w:val="28"/>
          <w:szCs w:val="28"/>
        </w:rPr>
        <w:t xml:space="preserve"> </w:t>
      </w:r>
      <w:r w:rsidR="0073681A">
        <w:rPr>
          <w:sz w:val="28"/>
          <w:szCs w:val="28"/>
        </w:rPr>
        <w:t>“</w:t>
      </w:r>
      <w:r w:rsidRPr="00B7618B">
        <w:rPr>
          <w:i/>
          <w:sz w:val="28"/>
          <w:szCs w:val="28"/>
        </w:rPr>
        <w:t>Population and Housing Estimates (2010) San Diego Region</w:t>
      </w:r>
      <w:r>
        <w:rPr>
          <w:sz w:val="28"/>
          <w:szCs w:val="28"/>
        </w:rPr>
        <w:t>,</w:t>
      </w:r>
      <w:r w:rsidR="0073681A">
        <w:rPr>
          <w:sz w:val="28"/>
          <w:szCs w:val="28"/>
        </w:rPr>
        <w:t>”</w:t>
      </w:r>
      <w:r w:rsidRPr="00B7618B">
        <w:rPr>
          <w:i/>
          <w:sz w:val="28"/>
          <w:szCs w:val="28"/>
        </w:rPr>
        <w:t xml:space="preserve"> </w:t>
      </w:r>
      <w:r>
        <w:rPr>
          <w:sz w:val="28"/>
          <w:szCs w:val="28"/>
        </w:rPr>
        <w:t>which</w:t>
      </w:r>
      <w:r w:rsidRPr="00B7618B">
        <w:rPr>
          <w:sz w:val="28"/>
          <w:szCs w:val="28"/>
        </w:rPr>
        <w:t xml:space="preserve"> contained </w:t>
      </w:r>
      <w:r>
        <w:rPr>
          <w:sz w:val="28"/>
          <w:szCs w:val="28"/>
        </w:rPr>
        <w:t xml:space="preserve">estimated </w:t>
      </w:r>
      <w:r w:rsidRPr="00B7618B">
        <w:rPr>
          <w:sz w:val="28"/>
          <w:szCs w:val="28"/>
        </w:rPr>
        <w:t>2010 demographic data for SANDAG’s service area.</w:t>
      </w:r>
      <w:r>
        <w:rPr>
          <w:sz w:val="28"/>
          <w:szCs w:val="28"/>
        </w:rPr>
        <w:t xml:space="preserve"> </w:t>
      </w:r>
      <w:r w:rsidRPr="00B7618B">
        <w:rPr>
          <w:sz w:val="28"/>
          <w:szCs w:val="28"/>
        </w:rPr>
        <w:t xml:space="preserve">SANDAG </w:t>
      </w:r>
      <w:r w:rsidR="00153447">
        <w:rPr>
          <w:sz w:val="28"/>
          <w:szCs w:val="28"/>
        </w:rPr>
        <w:t>used</w:t>
      </w:r>
      <w:r w:rsidRPr="00B7618B">
        <w:rPr>
          <w:sz w:val="28"/>
          <w:szCs w:val="28"/>
        </w:rPr>
        <w:t xml:space="preserve"> a model for estimating the current population trends and characteristics using</w:t>
      </w:r>
      <w:r w:rsidR="00153447">
        <w:rPr>
          <w:sz w:val="28"/>
          <w:szCs w:val="28"/>
        </w:rPr>
        <w:t xml:space="preserve"> various data </w:t>
      </w:r>
      <w:r w:rsidRPr="00B7618B">
        <w:rPr>
          <w:sz w:val="28"/>
          <w:szCs w:val="28"/>
        </w:rPr>
        <w:t>such as birth records, death records, national immigration trends and regional real estate trends, national economic trends, job markets</w:t>
      </w:r>
      <w:r w:rsidR="00153447">
        <w:rPr>
          <w:sz w:val="28"/>
          <w:szCs w:val="28"/>
        </w:rPr>
        <w:t xml:space="preserve"> and</w:t>
      </w:r>
      <w:r w:rsidRPr="00B7618B">
        <w:rPr>
          <w:sz w:val="28"/>
          <w:szCs w:val="28"/>
        </w:rPr>
        <w:t xml:space="preserve"> vacancy rate</w:t>
      </w:r>
      <w:r w:rsidR="00153447">
        <w:rPr>
          <w:sz w:val="28"/>
          <w:szCs w:val="28"/>
        </w:rPr>
        <w:t>s</w:t>
      </w:r>
      <w:r w:rsidRPr="00B7618B">
        <w:rPr>
          <w:sz w:val="28"/>
          <w:szCs w:val="28"/>
        </w:rPr>
        <w:t xml:space="preserve">.  </w:t>
      </w:r>
      <w:r w:rsidR="00153447">
        <w:rPr>
          <w:sz w:val="28"/>
          <w:szCs w:val="28"/>
        </w:rPr>
        <w:t>SANDAG stated that t</w:t>
      </w:r>
      <w:r w:rsidRPr="00B7618B">
        <w:rPr>
          <w:sz w:val="28"/>
          <w:szCs w:val="28"/>
        </w:rPr>
        <w:t xml:space="preserve">here </w:t>
      </w:r>
      <w:r w:rsidR="00752A92">
        <w:rPr>
          <w:sz w:val="28"/>
          <w:szCs w:val="28"/>
        </w:rPr>
        <w:t>we</w:t>
      </w:r>
      <w:r w:rsidRPr="00B7618B">
        <w:rPr>
          <w:sz w:val="28"/>
          <w:szCs w:val="28"/>
        </w:rPr>
        <w:t>re approx</w:t>
      </w:r>
      <w:r w:rsidR="00153447">
        <w:rPr>
          <w:sz w:val="28"/>
          <w:szCs w:val="28"/>
        </w:rPr>
        <w:t xml:space="preserve">imately </w:t>
      </w:r>
      <w:r w:rsidRPr="00B7618B">
        <w:rPr>
          <w:sz w:val="28"/>
          <w:szCs w:val="28"/>
        </w:rPr>
        <w:t xml:space="preserve">800 </w:t>
      </w:r>
      <w:r w:rsidRPr="00B7618B">
        <w:rPr>
          <w:sz w:val="28"/>
          <w:szCs w:val="28"/>
        </w:rPr>
        <w:lastRenderedPageBreak/>
        <w:t>variables that go into the calculation of SANDAG’s</w:t>
      </w:r>
      <w:r w:rsidR="00153447">
        <w:rPr>
          <w:sz w:val="28"/>
          <w:szCs w:val="28"/>
        </w:rPr>
        <w:t xml:space="preserve"> model and the resulting estimates reveal</w:t>
      </w:r>
      <w:r w:rsidR="00752A92">
        <w:rPr>
          <w:sz w:val="28"/>
          <w:szCs w:val="28"/>
        </w:rPr>
        <w:t>ed</w:t>
      </w:r>
      <w:r w:rsidR="00153447">
        <w:rPr>
          <w:sz w:val="28"/>
          <w:szCs w:val="28"/>
        </w:rPr>
        <w:t xml:space="preserve"> the San Diego County demographics </w:t>
      </w:r>
      <w:r w:rsidR="00752A92">
        <w:rPr>
          <w:sz w:val="28"/>
          <w:szCs w:val="28"/>
        </w:rPr>
        <w:t>we</w:t>
      </w:r>
      <w:r w:rsidR="00153447">
        <w:rPr>
          <w:sz w:val="28"/>
          <w:szCs w:val="28"/>
        </w:rPr>
        <w:t>re dynamic.  According to SANDAG, the non-minority population decreased from 67</w:t>
      </w:r>
      <w:r w:rsidR="005A2ECA">
        <w:rPr>
          <w:sz w:val="28"/>
          <w:szCs w:val="28"/>
        </w:rPr>
        <w:t xml:space="preserve"> percent</w:t>
      </w:r>
      <w:r w:rsidR="00153447">
        <w:rPr>
          <w:sz w:val="28"/>
          <w:szCs w:val="28"/>
        </w:rPr>
        <w:t xml:space="preserve"> in 2000 to 47</w:t>
      </w:r>
      <w:r w:rsidR="005A2ECA">
        <w:rPr>
          <w:sz w:val="28"/>
          <w:szCs w:val="28"/>
        </w:rPr>
        <w:t xml:space="preserve"> percent</w:t>
      </w:r>
      <w:r w:rsidR="00153447">
        <w:rPr>
          <w:sz w:val="28"/>
          <w:szCs w:val="28"/>
        </w:rPr>
        <w:t xml:space="preserve"> in 2010.  </w:t>
      </w:r>
      <w:r w:rsidRPr="00B7618B">
        <w:rPr>
          <w:sz w:val="28"/>
          <w:szCs w:val="28"/>
        </w:rPr>
        <w:t>In 2050</w:t>
      </w:r>
      <w:r w:rsidR="00153447">
        <w:rPr>
          <w:sz w:val="28"/>
          <w:szCs w:val="28"/>
        </w:rPr>
        <w:t>, SANDAG estimate</w:t>
      </w:r>
      <w:r w:rsidR="005A2ECA">
        <w:rPr>
          <w:sz w:val="28"/>
          <w:szCs w:val="28"/>
        </w:rPr>
        <w:t>d</w:t>
      </w:r>
      <w:r w:rsidR="00153447">
        <w:rPr>
          <w:sz w:val="28"/>
          <w:szCs w:val="28"/>
        </w:rPr>
        <w:t xml:space="preserve"> the non-minority population </w:t>
      </w:r>
      <w:r w:rsidR="005A2ECA">
        <w:rPr>
          <w:sz w:val="28"/>
          <w:szCs w:val="28"/>
        </w:rPr>
        <w:t>w</w:t>
      </w:r>
      <w:r w:rsidR="00752A92">
        <w:rPr>
          <w:sz w:val="28"/>
          <w:szCs w:val="28"/>
        </w:rPr>
        <w:t>ould</w:t>
      </w:r>
      <w:r w:rsidR="00153447">
        <w:rPr>
          <w:sz w:val="28"/>
          <w:szCs w:val="28"/>
        </w:rPr>
        <w:t xml:space="preserve"> be 35</w:t>
      </w:r>
      <w:r w:rsidR="005A2ECA">
        <w:rPr>
          <w:sz w:val="28"/>
          <w:szCs w:val="28"/>
        </w:rPr>
        <w:t xml:space="preserve"> percent</w:t>
      </w:r>
      <w:r w:rsidR="00153447">
        <w:rPr>
          <w:sz w:val="28"/>
          <w:szCs w:val="28"/>
        </w:rPr>
        <w:t xml:space="preserve"> of the total population.</w:t>
      </w:r>
    </w:p>
    <w:p w:rsidR="00153447" w:rsidRPr="00B7618B" w:rsidRDefault="00153447" w:rsidP="00D3791B">
      <w:pPr>
        <w:rPr>
          <w:sz w:val="28"/>
          <w:szCs w:val="28"/>
        </w:rPr>
      </w:pPr>
    </w:p>
    <w:p w:rsidR="00F80A8D" w:rsidRDefault="001F1FE3">
      <w:pPr>
        <w:pStyle w:val="BHLevel2"/>
        <w:rPr>
          <w:sz w:val="28"/>
          <w:szCs w:val="28"/>
        </w:rPr>
      </w:pPr>
      <w:bookmarkStart w:id="23" w:name="_Toc315152515"/>
      <w:r>
        <w:rPr>
          <w:sz w:val="28"/>
          <w:szCs w:val="28"/>
        </w:rPr>
        <w:t>Metropo</w:t>
      </w:r>
      <w:r w:rsidR="00DA107B">
        <w:rPr>
          <w:sz w:val="28"/>
          <w:szCs w:val="28"/>
        </w:rPr>
        <w:t>litan Planning Process</w:t>
      </w:r>
      <w:bookmarkEnd w:id="23"/>
    </w:p>
    <w:p w:rsidR="00F80A8D" w:rsidRDefault="00F80A8D">
      <w:pPr>
        <w:pStyle w:val="BodyTextIndent2"/>
        <w:ind w:firstLine="0"/>
        <w:rPr>
          <w:i/>
          <w:iCs/>
        </w:rPr>
      </w:pPr>
      <w:r>
        <w:rPr>
          <w:b/>
          <w:sz w:val="28"/>
          <w:szCs w:val="28"/>
        </w:rPr>
        <w:t xml:space="preserve">Requirement: </w:t>
      </w:r>
      <w:r>
        <w:rPr>
          <w:sz w:val="28"/>
          <w:szCs w:val="28"/>
        </w:rPr>
        <w:t xml:space="preserve"> </w:t>
      </w:r>
      <w:r w:rsidR="00EE009B">
        <w:rPr>
          <w:bCs/>
          <w:i/>
          <w:iCs/>
          <w:sz w:val="28"/>
          <w:szCs w:val="28"/>
        </w:rPr>
        <w:t xml:space="preserve">MPOs should have </w:t>
      </w:r>
      <w:r w:rsidR="00EE009B">
        <w:rPr>
          <w:i/>
          <w:iCs/>
          <w:sz w:val="28"/>
        </w:rPr>
        <w:t xml:space="preserve">a </w:t>
      </w:r>
      <w:r w:rsidR="00EE009B">
        <w:rPr>
          <w:bCs/>
          <w:i/>
          <w:iCs/>
          <w:sz w:val="28"/>
          <w:szCs w:val="28"/>
        </w:rPr>
        <w:t>metropolitan transportation planning process that identifies the needs of low-income and minority populations.</w:t>
      </w:r>
      <w:r w:rsidR="00EE009B">
        <w:rPr>
          <w:i/>
          <w:iCs/>
          <w:sz w:val="28"/>
        </w:rPr>
        <w:t xml:space="preserve"> </w:t>
      </w:r>
    </w:p>
    <w:p w:rsidR="00F80A8D" w:rsidRDefault="00F80A8D">
      <w:pPr>
        <w:pStyle w:val="BodyTextIndent2"/>
        <w:tabs>
          <w:tab w:val="left" w:pos="6465"/>
        </w:tabs>
        <w:ind w:firstLine="0"/>
        <w:rPr>
          <w:i/>
          <w:iCs/>
        </w:rPr>
      </w:pPr>
      <w:r>
        <w:rPr>
          <w:i/>
          <w:iCs/>
        </w:rPr>
        <w:tab/>
      </w:r>
    </w:p>
    <w:p w:rsidR="0073681A" w:rsidRDefault="00F80A8D" w:rsidP="00523022">
      <w:pPr>
        <w:spacing w:line="360" w:lineRule="auto"/>
        <w:rPr>
          <w:sz w:val="28"/>
        </w:rPr>
      </w:pPr>
      <w:r>
        <w:rPr>
          <w:b/>
          <w:sz w:val="28"/>
          <w:szCs w:val="28"/>
        </w:rPr>
        <w:t xml:space="preserve">Findings:  </w:t>
      </w:r>
      <w:r w:rsidR="00A550A9">
        <w:rPr>
          <w:sz w:val="28"/>
        </w:rPr>
        <w:t xml:space="preserve">During this Title VI Compliance Review of </w:t>
      </w:r>
      <w:r w:rsidR="005772CD">
        <w:rPr>
          <w:sz w:val="28"/>
        </w:rPr>
        <w:t>SANDAG</w:t>
      </w:r>
      <w:r w:rsidR="00A550A9" w:rsidRPr="003A0B73">
        <w:rPr>
          <w:sz w:val="28"/>
        </w:rPr>
        <w:t xml:space="preserve">, </w:t>
      </w:r>
      <w:r w:rsidR="00AE50E6" w:rsidRPr="003A0B73">
        <w:rPr>
          <w:sz w:val="28"/>
        </w:rPr>
        <w:t>an advisory comment was issued</w:t>
      </w:r>
      <w:r w:rsidR="00AE50E6">
        <w:rPr>
          <w:sz w:val="28"/>
        </w:rPr>
        <w:t xml:space="preserve"> </w:t>
      </w:r>
      <w:r w:rsidR="00A550A9">
        <w:rPr>
          <w:sz w:val="28"/>
        </w:rPr>
        <w:t xml:space="preserve">regarding </w:t>
      </w:r>
      <w:r w:rsidR="005772CD">
        <w:rPr>
          <w:sz w:val="28"/>
        </w:rPr>
        <w:t>SANDAG</w:t>
      </w:r>
      <w:r w:rsidR="00A550A9">
        <w:rPr>
          <w:sz w:val="28"/>
        </w:rPr>
        <w:t xml:space="preserve">’s compliance with FTA guidance for </w:t>
      </w:r>
      <w:r w:rsidR="00EE009B">
        <w:rPr>
          <w:sz w:val="28"/>
        </w:rPr>
        <w:t>Metropolitan Planning Process</w:t>
      </w:r>
      <w:r w:rsidR="00807EBC">
        <w:rPr>
          <w:sz w:val="28"/>
        </w:rPr>
        <w:t xml:space="preserve">. </w:t>
      </w:r>
      <w:r w:rsidR="00212C5B">
        <w:rPr>
          <w:sz w:val="28"/>
        </w:rPr>
        <w:t xml:space="preserve"> </w:t>
      </w:r>
      <w:r w:rsidR="00557EE8" w:rsidRPr="003A0B73">
        <w:rPr>
          <w:sz w:val="28"/>
        </w:rPr>
        <w:t xml:space="preserve">SANDAG </w:t>
      </w:r>
      <w:r w:rsidR="009A2651" w:rsidRPr="003A0B73">
        <w:rPr>
          <w:sz w:val="28"/>
        </w:rPr>
        <w:t>wa</w:t>
      </w:r>
      <w:r w:rsidR="00AE50E6" w:rsidRPr="003A0B73">
        <w:rPr>
          <w:sz w:val="28"/>
        </w:rPr>
        <w:t>s advised</w:t>
      </w:r>
      <w:r w:rsidR="00AE50E6">
        <w:rPr>
          <w:sz w:val="28"/>
        </w:rPr>
        <w:t xml:space="preserve"> to </w:t>
      </w:r>
      <w:r w:rsidR="009A2651">
        <w:rPr>
          <w:sz w:val="28"/>
        </w:rPr>
        <w:t>have</w:t>
      </w:r>
      <w:r w:rsidR="00557EE8">
        <w:rPr>
          <w:sz w:val="28"/>
        </w:rPr>
        <w:t xml:space="preserve"> a transportation planning process</w:t>
      </w:r>
      <w:r w:rsidR="00752A92" w:rsidRPr="00752A92">
        <w:rPr>
          <w:sz w:val="28"/>
        </w:rPr>
        <w:t xml:space="preserve"> </w:t>
      </w:r>
      <w:r w:rsidR="00752A92">
        <w:rPr>
          <w:sz w:val="28"/>
        </w:rPr>
        <w:t>in the development of its Regional Transportation Improvement Program (RTIP)</w:t>
      </w:r>
      <w:r w:rsidR="00557EE8">
        <w:rPr>
          <w:sz w:val="28"/>
        </w:rPr>
        <w:t xml:space="preserve"> that identifie</w:t>
      </w:r>
      <w:r w:rsidR="005A2ECA">
        <w:rPr>
          <w:sz w:val="28"/>
        </w:rPr>
        <w:t>d</w:t>
      </w:r>
      <w:r w:rsidR="00557EE8">
        <w:rPr>
          <w:sz w:val="28"/>
        </w:rPr>
        <w:t xml:space="preserve"> the needs of low-income and minority populations.</w:t>
      </w:r>
      <w:r w:rsidR="0073681A">
        <w:rPr>
          <w:sz w:val="28"/>
        </w:rPr>
        <w:t xml:space="preserve"> </w:t>
      </w:r>
      <w:r w:rsidR="00557EE8">
        <w:rPr>
          <w:sz w:val="28"/>
        </w:rPr>
        <w:t xml:space="preserve"> As SANDAG stated in its most recent FTA Title VI Submittal</w:t>
      </w:r>
      <w:r w:rsidR="0073681A">
        <w:rPr>
          <w:sz w:val="28"/>
        </w:rPr>
        <w:t>:</w:t>
      </w:r>
    </w:p>
    <w:p w:rsidR="0073681A" w:rsidRDefault="0073681A" w:rsidP="00523022">
      <w:pPr>
        <w:spacing w:line="360" w:lineRule="auto"/>
        <w:rPr>
          <w:sz w:val="28"/>
        </w:rPr>
      </w:pPr>
    </w:p>
    <w:p w:rsidR="0073681A" w:rsidRDefault="00557EE8" w:rsidP="00D3791B">
      <w:pPr>
        <w:ind w:left="720"/>
        <w:rPr>
          <w:sz w:val="28"/>
        </w:rPr>
      </w:pPr>
      <w:r w:rsidRPr="00557EE8">
        <w:rPr>
          <w:i/>
          <w:sz w:val="28"/>
        </w:rPr>
        <w:t>Two documents serve as the foundation for transportation planning</w:t>
      </w:r>
      <w:r w:rsidR="00752A92">
        <w:rPr>
          <w:i/>
          <w:sz w:val="28"/>
        </w:rPr>
        <w:t xml:space="preserve"> and programming – The Regional</w:t>
      </w:r>
      <w:r w:rsidR="00C9381F">
        <w:rPr>
          <w:i/>
          <w:sz w:val="28"/>
        </w:rPr>
        <w:t xml:space="preserve"> </w:t>
      </w:r>
      <w:r w:rsidR="00752A92">
        <w:rPr>
          <w:i/>
          <w:sz w:val="28"/>
        </w:rPr>
        <w:t>T</w:t>
      </w:r>
      <w:r w:rsidRPr="00557EE8">
        <w:rPr>
          <w:i/>
          <w:sz w:val="28"/>
        </w:rPr>
        <w:t>ransportation Plan (RTP) and the Regional Transportation Improvement Program (RTIP). SANDAG also prepares an annual Regional Short-Range Transit (SRTP) and Coordinated Public Transit-Human Services Transportation Plan (Coordinated Plan) that guide short-term service changes</w:t>
      </w:r>
      <w:r>
        <w:rPr>
          <w:sz w:val="28"/>
        </w:rPr>
        <w:t xml:space="preserve">. </w:t>
      </w:r>
    </w:p>
    <w:p w:rsidR="0073681A" w:rsidRDefault="0073681A" w:rsidP="0073681A">
      <w:pPr>
        <w:spacing w:line="360" w:lineRule="auto"/>
        <w:rPr>
          <w:i/>
          <w:sz w:val="28"/>
        </w:rPr>
      </w:pPr>
    </w:p>
    <w:p w:rsidR="00523022" w:rsidRDefault="00557EE8" w:rsidP="0073681A">
      <w:pPr>
        <w:spacing w:line="360" w:lineRule="auto"/>
        <w:rPr>
          <w:sz w:val="28"/>
        </w:rPr>
      </w:pPr>
      <w:r>
        <w:rPr>
          <w:sz w:val="28"/>
        </w:rPr>
        <w:t>During the site visit, SANDAG provided detailed information on its development of the 2050 Regional Transportation</w:t>
      </w:r>
      <w:r w:rsidR="00C15503">
        <w:rPr>
          <w:sz w:val="28"/>
        </w:rPr>
        <w:t xml:space="preserve"> Plan</w:t>
      </w:r>
      <w:r>
        <w:rPr>
          <w:sz w:val="28"/>
        </w:rPr>
        <w:t xml:space="preserve">. </w:t>
      </w:r>
      <w:r w:rsidR="00E34B0C">
        <w:rPr>
          <w:sz w:val="28"/>
        </w:rPr>
        <w:t xml:space="preserve"> </w:t>
      </w:r>
      <w:r w:rsidR="00C15503">
        <w:rPr>
          <w:sz w:val="28"/>
        </w:rPr>
        <w:t xml:space="preserve">The Draft 2050 RTP contained social equity performance measures that were analyzed to ensure that the benefits and burdens of proposed scenarios </w:t>
      </w:r>
      <w:r w:rsidR="00EF7299">
        <w:rPr>
          <w:sz w:val="28"/>
        </w:rPr>
        <w:t>were</w:t>
      </w:r>
      <w:r w:rsidR="00C15503">
        <w:rPr>
          <w:sz w:val="28"/>
        </w:rPr>
        <w:t xml:space="preserve"> equitably distributed between minority and </w:t>
      </w:r>
      <w:r w:rsidR="00C15503">
        <w:rPr>
          <w:sz w:val="28"/>
        </w:rPr>
        <w:lastRenderedPageBreak/>
        <w:t xml:space="preserve">low-income (LIM) populations and non-minority and non-low income (non-LIM) populations. </w:t>
      </w:r>
      <w:r w:rsidR="00E34B0C">
        <w:rPr>
          <w:sz w:val="28"/>
        </w:rPr>
        <w:t xml:space="preserve"> </w:t>
      </w:r>
      <w:r w:rsidR="00C15503">
        <w:rPr>
          <w:sz w:val="28"/>
        </w:rPr>
        <w:t>The Social Equity Indicators were as follows:</w:t>
      </w:r>
    </w:p>
    <w:p w:rsidR="007333D7" w:rsidRDefault="007333D7" w:rsidP="00523022">
      <w:pPr>
        <w:spacing w:line="360" w:lineRule="auto"/>
        <w:rPr>
          <w:sz w:val="28"/>
        </w:rPr>
      </w:pPr>
    </w:p>
    <w:p w:rsidR="007333D7" w:rsidRDefault="007333D7" w:rsidP="00523022">
      <w:pPr>
        <w:spacing w:line="360" w:lineRule="auto"/>
        <w:rPr>
          <w:sz w:val="28"/>
        </w:rPr>
      </w:pPr>
      <w:r>
        <w:rPr>
          <w:noProof/>
          <w:sz w:val="28"/>
        </w:rPr>
        <w:drawing>
          <wp:inline distT="0" distB="0" distL="0" distR="0">
            <wp:extent cx="5943600" cy="236350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43600" cy="2363504"/>
                    </a:xfrm>
                    <a:prstGeom prst="rect">
                      <a:avLst/>
                    </a:prstGeom>
                    <a:noFill/>
                    <a:ln w="9525">
                      <a:noFill/>
                      <a:miter lim="800000"/>
                      <a:headEnd/>
                      <a:tailEnd/>
                    </a:ln>
                  </pic:spPr>
                </pic:pic>
              </a:graphicData>
            </a:graphic>
          </wp:inline>
        </w:drawing>
      </w:r>
    </w:p>
    <w:p w:rsidR="00EA3382" w:rsidRDefault="001F43AA" w:rsidP="00523022">
      <w:pPr>
        <w:spacing w:line="360" w:lineRule="auto"/>
        <w:rPr>
          <w:sz w:val="28"/>
        </w:rPr>
      </w:pPr>
      <w:r>
        <w:rPr>
          <w:sz w:val="28"/>
        </w:rPr>
        <w:t>SANDAG did not have a commensurate transportation planning process that identifie</w:t>
      </w:r>
      <w:r w:rsidR="00EF7299">
        <w:rPr>
          <w:sz w:val="28"/>
        </w:rPr>
        <w:t>d</w:t>
      </w:r>
      <w:r>
        <w:rPr>
          <w:sz w:val="28"/>
        </w:rPr>
        <w:t xml:space="preserve"> the needs of low-income and minority populations in the development of its Regional Transportation Improvement Program (RTIP).</w:t>
      </w:r>
    </w:p>
    <w:p w:rsidR="001F43AA" w:rsidRDefault="001F43AA" w:rsidP="00523022">
      <w:pPr>
        <w:spacing w:line="360" w:lineRule="auto"/>
        <w:rPr>
          <w:sz w:val="28"/>
        </w:rPr>
      </w:pPr>
    </w:p>
    <w:p w:rsidR="002B02FD" w:rsidRDefault="002B02FD" w:rsidP="00523022">
      <w:pPr>
        <w:spacing w:line="360" w:lineRule="auto"/>
        <w:rPr>
          <w:sz w:val="28"/>
          <w:szCs w:val="28"/>
        </w:rPr>
      </w:pPr>
      <w:r>
        <w:rPr>
          <w:sz w:val="28"/>
          <w:szCs w:val="28"/>
        </w:rPr>
        <w:t xml:space="preserve">In response to the Draft report in a letter dated September 30, 2011, SANDAG included a draft of a </w:t>
      </w:r>
      <w:proofErr w:type="gramStart"/>
      <w:r>
        <w:rPr>
          <w:sz w:val="28"/>
          <w:szCs w:val="28"/>
        </w:rPr>
        <w:t>its</w:t>
      </w:r>
      <w:proofErr w:type="gramEnd"/>
      <w:r>
        <w:rPr>
          <w:sz w:val="28"/>
          <w:szCs w:val="28"/>
        </w:rPr>
        <w:t xml:space="preserve"> revised Board Policy No. 018.  </w:t>
      </w:r>
      <w:r w:rsidR="00E05E80">
        <w:rPr>
          <w:sz w:val="28"/>
          <w:szCs w:val="28"/>
        </w:rPr>
        <w:t>In this document, SANDAG included as one of its responsibilities to the regional transit service planning and implementation process, that it will do the following:</w:t>
      </w:r>
    </w:p>
    <w:p w:rsidR="00E05E80" w:rsidRDefault="00E05E80" w:rsidP="00523022">
      <w:pPr>
        <w:spacing w:line="360" w:lineRule="auto"/>
        <w:rPr>
          <w:sz w:val="28"/>
          <w:szCs w:val="28"/>
        </w:rPr>
      </w:pPr>
    </w:p>
    <w:p w:rsidR="00E05E80" w:rsidRPr="00F0485E" w:rsidRDefault="00E05E80" w:rsidP="00D3791B">
      <w:pPr>
        <w:ind w:left="720"/>
        <w:rPr>
          <w:i/>
          <w:sz w:val="28"/>
          <w:szCs w:val="28"/>
        </w:rPr>
      </w:pPr>
      <w:r w:rsidRPr="00F0485E">
        <w:rPr>
          <w:i/>
          <w:sz w:val="28"/>
          <w:szCs w:val="28"/>
        </w:rPr>
        <w:t>Prepare Environmental Justice or Title VI reports in accordance with the most current version of the SANDAG Title VI Analysis Methodology for Service Changes…including all of the following circumstances:</w:t>
      </w:r>
    </w:p>
    <w:p w:rsidR="00E05E80" w:rsidRPr="00F0485E" w:rsidRDefault="00E05E80" w:rsidP="00D3791B">
      <w:pPr>
        <w:pStyle w:val="ListParagraph"/>
        <w:numPr>
          <w:ilvl w:val="0"/>
          <w:numId w:val="31"/>
        </w:numPr>
        <w:ind w:left="1440"/>
        <w:rPr>
          <w:i/>
          <w:sz w:val="28"/>
        </w:rPr>
      </w:pPr>
      <w:r w:rsidRPr="00F0485E">
        <w:rPr>
          <w:i/>
          <w:sz w:val="28"/>
        </w:rPr>
        <w:t>At least once every three years or when a new federal census is available; and</w:t>
      </w:r>
    </w:p>
    <w:p w:rsidR="00E05E80" w:rsidRPr="00F0485E" w:rsidRDefault="00E05E80" w:rsidP="00D3791B">
      <w:pPr>
        <w:pStyle w:val="ListParagraph"/>
        <w:numPr>
          <w:ilvl w:val="0"/>
          <w:numId w:val="31"/>
        </w:numPr>
        <w:ind w:left="1440"/>
        <w:rPr>
          <w:i/>
          <w:sz w:val="28"/>
        </w:rPr>
      </w:pPr>
      <w:r w:rsidRPr="00F0485E">
        <w:rPr>
          <w:i/>
          <w:sz w:val="28"/>
        </w:rPr>
        <w:t>Prior to the implementation by SANDAG of any new transit service constituting a Major Service Change as defined in the SANDAG Title VI Analysis Methodology for service changes; and</w:t>
      </w:r>
    </w:p>
    <w:p w:rsidR="00E05E80" w:rsidRPr="00F0485E" w:rsidRDefault="00E05E80" w:rsidP="00D3791B">
      <w:pPr>
        <w:pStyle w:val="ListParagraph"/>
        <w:numPr>
          <w:ilvl w:val="0"/>
          <w:numId w:val="31"/>
        </w:numPr>
        <w:ind w:left="1440"/>
        <w:rPr>
          <w:i/>
          <w:sz w:val="28"/>
        </w:rPr>
      </w:pPr>
      <w:r w:rsidRPr="00F0485E">
        <w:rPr>
          <w:i/>
          <w:sz w:val="28"/>
        </w:rPr>
        <w:lastRenderedPageBreak/>
        <w:t xml:space="preserve">Upon the transition of a temporary, experimental or promotional fare to a regular fare, in which case SANDAG may adopt in full or in part any Title VI analysis conducted by the transit agency when the temporary fare was originally implemented </w:t>
      </w:r>
    </w:p>
    <w:p w:rsidR="002B02FD" w:rsidRDefault="002B02FD" w:rsidP="00523022">
      <w:pPr>
        <w:spacing w:line="360" w:lineRule="auto"/>
        <w:rPr>
          <w:sz w:val="28"/>
        </w:rPr>
      </w:pPr>
    </w:p>
    <w:p w:rsidR="00703DBA" w:rsidRDefault="00F0485E" w:rsidP="00523022">
      <w:pPr>
        <w:spacing w:line="360" w:lineRule="auto"/>
        <w:rPr>
          <w:sz w:val="28"/>
        </w:rPr>
      </w:pPr>
      <w:r>
        <w:rPr>
          <w:sz w:val="28"/>
        </w:rPr>
        <w:t xml:space="preserve">In addition, </w:t>
      </w:r>
      <w:r w:rsidR="004F7D8E">
        <w:rPr>
          <w:sz w:val="28"/>
        </w:rPr>
        <w:t>in a document titled “</w:t>
      </w:r>
      <w:r w:rsidR="004F7D8E" w:rsidRPr="004F7D8E">
        <w:rPr>
          <w:i/>
          <w:sz w:val="28"/>
        </w:rPr>
        <w:t>TITLE VI AND ENVIRONMENTAL JUSTICE PLANNING AND ANALYTICAL PROCESS FOR REGIONAL TRANSPORTATION IMPROVEMENT PROGRAM DEVELOPMENT</w:t>
      </w:r>
      <w:r w:rsidR="004F7D8E">
        <w:rPr>
          <w:sz w:val="28"/>
        </w:rPr>
        <w:t xml:space="preserve">,” </w:t>
      </w:r>
      <w:r>
        <w:rPr>
          <w:sz w:val="28"/>
        </w:rPr>
        <w:t xml:space="preserve">SANDAG stated that as a part of its development of the RTIP, it will </w:t>
      </w:r>
      <w:r w:rsidR="00703DBA">
        <w:rPr>
          <w:sz w:val="28"/>
        </w:rPr>
        <w:t xml:space="preserve">conduct outreach to minority and low-income populations through its Stakeholders Working Group (SWG).  </w:t>
      </w:r>
      <w:r w:rsidR="00D3791B">
        <w:rPr>
          <w:sz w:val="28"/>
        </w:rPr>
        <w:t xml:space="preserve">According to SANDAG, </w:t>
      </w:r>
      <w:r w:rsidR="00703DBA" w:rsidRPr="00703DBA">
        <w:rPr>
          <w:i/>
          <w:sz w:val="28"/>
        </w:rPr>
        <w:t>The SWG consists of members that represent the various socioeconomic communities in the region.  Input from the SWG on the needs of LIM [Low-income and Minority] populations will be provided to the Board of Directors to be utilized in making decisions about the projects included in the RTIP.</w:t>
      </w:r>
    </w:p>
    <w:p w:rsidR="00703DBA" w:rsidRDefault="00703DBA" w:rsidP="00523022">
      <w:pPr>
        <w:spacing w:line="360" w:lineRule="auto"/>
        <w:rPr>
          <w:sz w:val="28"/>
        </w:rPr>
      </w:pPr>
    </w:p>
    <w:p w:rsidR="00AE50E6" w:rsidRDefault="00A009FF" w:rsidP="00AE50E6">
      <w:pPr>
        <w:spacing w:line="360" w:lineRule="auto"/>
        <w:rPr>
          <w:sz w:val="28"/>
          <w:szCs w:val="28"/>
        </w:rPr>
      </w:pPr>
      <w:r w:rsidRPr="003A0B73">
        <w:rPr>
          <w:sz w:val="28"/>
        </w:rPr>
        <w:t xml:space="preserve">SANDAG’s efforts </w:t>
      </w:r>
      <w:r w:rsidR="009A2651" w:rsidRPr="003A0B73">
        <w:rPr>
          <w:sz w:val="28"/>
        </w:rPr>
        <w:t>we</w:t>
      </w:r>
      <w:r w:rsidRPr="003A0B73">
        <w:rPr>
          <w:sz w:val="28"/>
        </w:rPr>
        <w:t>re sufficient</w:t>
      </w:r>
      <w:r w:rsidR="00AE50E6" w:rsidRPr="003A0B73">
        <w:rPr>
          <w:sz w:val="28"/>
        </w:rPr>
        <w:t>ly responsive to the advisory comment in Metropolitan Planning Process.</w:t>
      </w:r>
    </w:p>
    <w:p w:rsidR="00EA3382" w:rsidRDefault="00703DBA" w:rsidP="00523022">
      <w:pPr>
        <w:spacing w:line="360" w:lineRule="auto"/>
        <w:rPr>
          <w:sz w:val="28"/>
        </w:rPr>
      </w:pPr>
      <w:r>
        <w:rPr>
          <w:sz w:val="28"/>
          <w:szCs w:val="28"/>
        </w:rPr>
        <w:t xml:space="preserve"> </w:t>
      </w:r>
    </w:p>
    <w:p w:rsidR="00F80A8D" w:rsidRDefault="00EE009B">
      <w:pPr>
        <w:pStyle w:val="BHLevel2"/>
        <w:rPr>
          <w:sz w:val="28"/>
          <w:szCs w:val="28"/>
        </w:rPr>
      </w:pPr>
      <w:bookmarkStart w:id="24" w:name="_Toc315152516"/>
      <w:r>
        <w:rPr>
          <w:sz w:val="28"/>
          <w:szCs w:val="28"/>
        </w:rPr>
        <w:t>Analytical Process for Identifying Impacts</w:t>
      </w:r>
      <w:bookmarkEnd w:id="24"/>
    </w:p>
    <w:p w:rsidR="00F80A8D" w:rsidRDefault="00F80A8D">
      <w:pPr>
        <w:pStyle w:val="BodyTextIndent2"/>
        <w:ind w:firstLine="0"/>
        <w:rPr>
          <w:rFonts w:cs="Arial"/>
          <w:i/>
          <w:iCs/>
          <w:spacing w:val="4"/>
        </w:rPr>
      </w:pPr>
      <w:r>
        <w:rPr>
          <w:b/>
          <w:sz w:val="28"/>
          <w:szCs w:val="28"/>
        </w:rPr>
        <w:t xml:space="preserve">Requirement:  </w:t>
      </w:r>
      <w:r w:rsidR="00EE009B">
        <w:rPr>
          <w:bCs/>
          <w:i/>
          <w:iCs/>
          <w:sz w:val="28"/>
          <w:szCs w:val="28"/>
        </w:rPr>
        <w:t xml:space="preserve">MPOs should have an analytical process that identifies the benefits and burdens of metropolitan transportation system investments for different socioeconomic groups, identifying imbalances and responding </w:t>
      </w:r>
      <w:r w:rsidR="005A2ECA">
        <w:rPr>
          <w:bCs/>
          <w:i/>
          <w:iCs/>
          <w:sz w:val="28"/>
          <w:szCs w:val="28"/>
        </w:rPr>
        <w:t xml:space="preserve">to </w:t>
      </w:r>
      <w:r w:rsidR="00EE009B">
        <w:rPr>
          <w:bCs/>
          <w:i/>
          <w:iCs/>
          <w:sz w:val="28"/>
          <w:szCs w:val="28"/>
        </w:rPr>
        <w:t>the analyses produced.</w:t>
      </w:r>
    </w:p>
    <w:p w:rsidR="00F80A8D" w:rsidRDefault="00F80A8D">
      <w:pPr>
        <w:spacing w:line="360" w:lineRule="auto"/>
        <w:rPr>
          <w:sz w:val="28"/>
          <w:szCs w:val="28"/>
        </w:rPr>
      </w:pPr>
    </w:p>
    <w:p w:rsidR="0073681A" w:rsidRDefault="00F80A8D" w:rsidP="00EE009B">
      <w:pPr>
        <w:spacing w:line="360" w:lineRule="auto"/>
        <w:rPr>
          <w:sz w:val="28"/>
        </w:rPr>
      </w:pPr>
      <w:r>
        <w:rPr>
          <w:b/>
          <w:sz w:val="28"/>
          <w:szCs w:val="28"/>
        </w:rPr>
        <w:t xml:space="preserve">Findings: </w:t>
      </w:r>
      <w:r w:rsidR="00B61D57">
        <w:rPr>
          <w:b/>
          <w:sz w:val="28"/>
          <w:szCs w:val="28"/>
        </w:rPr>
        <w:t xml:space="preserve"> </w:t>
      </w:r>
      <w:r w:rsidR="00A550A9">
        <w:rPr>
          <w:sz w:val="28"/>
          <w:szCs w:val="28"/>
        </w:rPr>
        <w:t xml:space="preserve">During this Title VI Compliance Review of </w:t>
      </w:r>
      <w:r w:rsidR="005772CD">
        <w:rPr>
          <w:sz w:val="28"/>
          <w:szCs w:val="28"/>
        </w:rPr>
        <w:t>SANDAG</w:t>
      </w:r>
      <w:r w:rsidR="00A550A9" w:rsidRPr="0080784D">
        <w:rPr>
          <w:sz w:val="28"/>
          <w:szCs w:val="28"/>
        </w:rPr>
        <w:t xml:space="preserve">, </w:t>
      </w:r>
      <w:r w:rsidR="00AE50E6" w:rsidRPr="003A0B73">
        <w:rPr>
          <w:sz w:val="28"/>
          <w:szCs w:val="28"/>
        </w:rPr>
        <w:t>an advisory comment was issued</w:t>
      </w:r>
      <w:r w:rsidR="00A550A9" w:rsidRPr="003A0B73">
        <w:rPr>
          <w:sz w:val="28"/>
          <w:szCs w:val="28"/>
        </w:rPr>
        <w:t xml:space="preserve"> regarding</w:t>
      </w:r>
      <w:r w:rsidR="00A550A9">
        <w:rPr>
          <w:sz w:val="28"/>
          <w:szCs w:val="28"/>
        </w:rPr>
        <w:t xml:space="preserve"> </w:t>
      </w:r>
      <w:r w:rsidR="005772CD">
        <w:rPr>
          <w:sz w:val="28"/>
          <w:szCs w:val="28"/>
        </w:rPr>
        <w:t>SANDAG</w:t>
      </w:r>
      <w:r w:rsidR="00A550A9">
        <w:rPr>
          <w:sz w:val="28"/>
          <w:szCs w:val="28"/>
        </w:rPr>
        <w:t xml:space="preserve">’s compliance with FTA requirements for </w:t>
      </w:r>
      <w:r w:rsidR="00EE009B">
        <w:rPr>
          <w:sz w:val="28"/>
          <w:szCs w:val="28"/>
        </w:rPr>
        <w:t>Analytical Process for Identifying Impacts</w:t>
      </w:r>
      <w:r w:rsidR="00A550A9">
        <w:rPr>
          <w:sz w:val="28"/>
          <w:szCs w:val="28"/>
        </w:rPr>
        <w:t xml:space="preserve">.  </w:t>
      </w:r>
      <w:bookmarkStart w:id="25" w:name="_Toc453032740"/>
      <w:bookmarkStart w:id="26" w:name="_Toc106790255"/>
      <w:r w:rsidR="005A2ECA" w:rsidRPr="003A0B73">
        <w:rPr>
          <w:sz w:val="28"/>
          <w:szCs w:val="28"/>
        </w:rPr>
        <w:t xml:space="preserve">SANDAG </w:t>
      </w:r>
      <w:r w:rsidR="009A2651" w:rsidRPr="003A0B73">
        <w:rPr>
          <w:sz w:val="28"/>
          <w:szCs w:val="28"/>
        </w:rPr>
        <w:t>wa</w:t>
      </w:r>
      <w:r w:rsidR="00AE50E6" w:rsidRPr="003A0B73">
        <w:rPr>
          <w:sz w:val="28"/>
          <w:szCs w:val="28"/>
        </w:rPr>
        <w:t>s advised</w:t>
      </w:r>
      <w:r w:rsidR="00AE50E6">
        <w:rPr>
          <w:sz w:val="28"/>
          <w:szCs w:val="28"/>
        </w:rPr>
        <w:t xml:space="preserve"> to </w:t>
      </w:r>
      <w:r w:rsidR="009A2651">
        <w:rPr>
          <w:sz w:val="28"/>
          <w:szCs w:val="28"/>
        </w:rPr>
        <w:t>have</w:t>
      </w:r>
      <w:r w:rsidR="00AE50E6">
        <w:rPr>
          <w:sz w:val="28"/>
          <w:szCs w:val="28"/>
        </w:rPr>
        <w:t xml:space="preserve"> </w:t>
      </w:r>
      <w:r w:rsidR="005A2ECA">
        <w:rPr>
          <w:sz w:val="28"/>
          <w:szCs w:val="28"/>
        </w:rPr>
        <w:t xml:space="preserve">an </w:t>
      </w:r>
      <w:r w:rsidR="005A2ECA">
        <w:rPr>
          <w:sz w:val="28"/>
          <w:szCs w:val="28"/>
        </w:rPr>
        <w:lastRenderedPageBreak/>
        <w:t>analytical process in the develop</w:t>
      </w:r>
      <w:r w:rsidR="00AE50E6">
        <w:rPr>
          <w:sz w:val="28"/>
          <w:szCs w:val="28"/>
        </w:rPr>
        <w:t>ment of the RTIP that identifies</w:t>
      </w:r>
      <w:r w:rsidR="005A2ECA">
        <w:rPr>
          <w:sz w:val="28"/>
          <w:szCs w:val="28"/>
        </w:rPr>
        <w:t xml:space="preserve"> the benefits and burdens of metropolitan transportation system investments for different socioeconomic groups, identifying imbalance</w:t>
      </w:r>
      <w:r w:rsidR="00EF7299">
        <w:rPr>
          <w:sz w:val="28"/>
          <w:szCs w:val="28"/>
        </w:rPr>
        <w:t>s</w:t>
      </w:r>
      <w:r w:rsidR="005A2ECA">
        <w:rPr>
          <w:sz w:val="28"/>
          <w:szCs w:val="28"/>
        </w:rPr>
        <w:t xml:space="preserve"> and responding to the analyses produced. As stated in the previous section, </w:t>
      </w:r>
      <w:r w:rsidR="005A2ECA">
        <w:rPr>
          <w:sz w:val="28"/>
        </w:rPr>
        <w:t>SANDAG said in its most recent FTA Title VI Submittal</w:t>
      </w:r>
      <w:r w:rsidR="0073681A">
        <w:rPr>
          <w:sz w:val="28"/>
        </w:rPr>
        <w:t>:</w:t>
      </w:r>
    </w:p>
    <w:p w:rsidR="0073681A" w:rsidRDefault="0073681A" w:rsidP="00EE009B">
      <w:pPr>
        <w:spacing w:line="360" w:lineRule="auto"/>
        <w:rPr>
          <w:sz w:val="28"/>
        </w:rPr>
      </w:pPr>
    </w:p>
    <w:p w:rsidR="0073681A" w:rsidRDefault="005A2ECA" w:rsidP="00D3791B">
      <w:pPr>
        <w:ind w:left="720"/>
        <w:rPr>
          <w:sz w:val="28"/>
        </w:rPr>
      </w:pPr>
      <w:r w:rsidRPr="00557EE8">
        <w:rPr>
          <w:i/>
          <w:sz w:val="28"/>
        </w:rPr>
        <w:t xml:space="preserve">Two documents serve as the foundation for transportation planning and programming – The Regional </w:t>
      </w:r>
      <w:r w:rsidR="00EF7299">
        <w:rPr>
          <w:i/>
          <w:sz w:val="28"/>
        </w:rPr>
        <w:t>T</w:t>
      </w:r>
      <w:r w:rsidRPr="00557EE8">
        <w:rPr>
          <w:i/>
          <w:sz w:val="28"/>
        </w:rPr>
        <w:t>ransportation Plan (RTP) and the Regional Transportation Improvement Program (RTIP). SANDAG also prepares an annual Regional Short-Range Transit (SRTP) and Coordinated Public Transit-Human Services Transportation Plan (Coordinated Plan) that guide short-term service changes</w:t>
      </w:r>
      <w:r>
        <w:rPr>
          <w:sz w:val="28"/>
        </w:rPr>
        <w:t xml:space="preserve">. </w:t>
      </w:r>
      <w:r w:rsidR="00A970AA">
        <w:rPr>
          <w:sz w:val="28"/>
        </w:rPr>
        <w:t xml:space="preserve"> </w:t>
      </w:r>
    </w:p>
    <w:p w:rsidR="0073681A" w:rsidRDefault="0073681A" w:rsidP="00EE009B">
      <w:pPr>
        <w:spacing w:line="360" w:lineRule="auto"/>
        <w:rPr>
          <w:sz w:val="28"/>
        </w:rPr>
      </w:pPr>
    </w:p>
    <w:p w:rsidR="00DA4A62" w:rsidRDefault="005A2ECA" w:rsidP="00EE009B">
      <w:pPr>
        <w:spacing w:line="360" w:lineRule="auto"/>
        <w:rPr>
          <w:sz w:val="28"/>
          <w:szCs w:val="28"/>
        </w:rPr>
      </w:pPr>
      <w:r>
        <w:rPr>
          <w:sz w:val="28"/>
        </w:rPr>
        <w:t>During the site visit, SANDAG provided detailed information on its development of the 2050 Regional Transportation Plan.</w:t>
      </w:r>
      <w:r w:rsidR="00A970AA">
        <w:rPr>
          <w:sz w:val="28"/>
        </w:rPr>
        <w:t xml:space="preserve"> </w:t>
      </w:r>
      <w:r>
        <w:rPr>
          <w:sz w:val="28"/>
        </w:rPr>
        <w:t xml:space="preserve"> The Draft 2050 RTP contained social equity performance measures that were analyzed to ensure that the benefits and burdens of proposed scenarios </w:t>
      </w:r>
      <w:r w:rsidR="00EF7299">
        <w:rPr>
          <w:sz w:val="28"/>
        </w:rPr>
        <w:t>were</w:t>
      </w:r>
      <w:r>
        <w:rPr>
          <w:sz w:val="28"/>
        </w:rPr>
        <w:t xml:space="preserve"> equitably distributed between minority and low-income (LIM) populations and non-minority and non-low income (non-LIM) populations.</w:t>
      </w:r>
      <w:r w:rsidR="0073681A">
        <w:rPr>
          <w:sz w:val="28"/>
        </w:rPr>
        <w:t xml:space="preserve"> </w:t>
      </w:r>
      <w:r>
        <w:rPr>
          <w:sz w:val="28"/>
        </w:rPr>
        <w:t xml:space="preserve"> </w:t>
      </w:r>
      <w:r>
        <w:rPr>
          <w:sz w:val="28"/>
          <w:szCs w:val="28"/>
        </w:rPr>
        <w:t>SANDAG did not have a commensurate analytical process in the development of the RTIP that identified the benefits and burdens of metropolitan transportation system investments for different socioeconomic groups.</w:t>
      </w:r>
    </w:p>
    <w:p w:rsidR="00AE50E6" w:rsidRDefault="00AE50E6" w:rsidP="00EE009B">
      <w:pPr>
        <w:spacing w:line="360" w:lineRule="auto"/>
        <w:rPr>
          <w:sz w:val="28"/>
          <w:szCs w:val="28"/>
        </w:rPr>
      </w:pPr>
    </w:p>
    <w:p w:rsidR="00A970AA" w:rsidRDefault="004F7D8E" w:rsidP="00EE009B">
      <w:pPr>
        <w:spacing w:line="360" w:lineRule="auto"/>
        <w:rPr>
          <w:sz w:val="28"/>
        </w:rPr>
      </w:pPr>
      <w:r>
        <w:rPr>
          <w:sz w:val="28"/>
          <w:szCs w:val="28"/>
        </w:rPr>
        <w:t xml:space="preserve">In response to the Draft report in a letter dated September 30, 2011, SANDAG included as an attachment </w:t>
      </w:r>
      <w:r w:rsidR="00D4331A">
        <w:rPr>
          <w:sz w:val="28"/>
          <w:szCs w:val="28"/>
        </w:rPr>
        <w:t xml:space="preserve">a document titled </w:t>
      </w:r>
      <w:r w:rsidR="00D4331A">
        <w:rPr>
          <w:sz w:val="28"/>
        </w:rPr>
        <w:t>“</w:t>
      </w:r>
      <w:r w:rsidR="00D4331A" w:rsidRPr="004F7D8E">
        <w:rPr>
          <w:i/>
          <w:sz w:val="28"/>
        </w:rPr>
        <w:t>TITLE VI AND ENVIRONMENTAL JUSTICE PLANNING AND ANALYTICAL PROCESS FOR REGIONAL TRANSPORTATION IMPROVEMENT PROGRAM DEVELOPMENT</w:t>
      </w:r>
      <w:r w:rsidR="00D4331A">
        <w:rPr>
          <w:sz w:val="28"/>
        </w:rPr>
        <w:t>,” in which SANDAG stated:</w:t>
      </w:r>
    </w:p>
    <w:p w:rsidR="00D4331A" w:rsidRDefault="00D4331A" w:rsidP="00EE009B">
      <w:pPr>
        <w:spacing w:line="360" w:lineRule="auto"/>
        <w:rPr>
          <w:sz w:val="28"/>
        </w:rPr>
      </w:pPr>
    </w:p>
    <w:p w:rsidR="00D4331A" w:rsidRPr="00D4331A" w:rsidRDefault="00D4331A" w:rsidP="00D4331A">
      <w:pPr>
        <w:ind w:left="720"/>
        <w:rPr>
          <w:i/>
          <w:sz w:val="28"/>
        </w:rPr>
      </w:pPr>
      <w:r w:rsidRPr="00D4331A">
        <w:rPr>
          <w:i/>
          <w:sz w:val="28"/>
        </w:rPr>
        <w:lastRenderedPageBreak/>
        <w:t>SANDAG will map the distribution of transportation infrastructure investments to be included in the RTIP to ensure no disparate impact occurs to minority populations.</w:t>
      </w:r>
    </w:p>
    <w:p w:rsidR="00D4331A" w:rsidRPr="00D4331A" w:rsidRDefault="00D4331A" w:rsidP="00D4331A">
      <w:pPr>
        <w:ind w:left="720"/>
        <w:rPr>
          <w:i/>
          <w:sz w:val="28"/>
        </w:rPr>
      </w:pPr>
    </w:p>
    <w:p w:rsidR="00D4331A" w:rsidRPr="00D4331A" w:rsidRDefault="00D4331A" w:rsidP="00D4331A">
      <w:pPr>
        <w:ind w:left="720"/>
        <w:rPr>
          <w:i/>
          <w:sz w:val="28"/>
        </w:rPr>
      </w:pPr>
      <w:r w:rsidRPr="00D4331A">
        <w:rPr>
          <w:i/>
          <w:sz w:val="28"/>
        </w:rPr>
        <w:t>SANDAG will analyze and provide the following:</w:t>
      </w:r>
    </w:p>
    <w:p w:rsidR="00D4331A" w:rsidRPr="00D4331A" w:rsidRDefault="00D4331A" w:rsidP="00D4331A">
      <w:pPr>
        <w:pStyle w:val="ListParagraph"/>
        <w:numPr>
          <w:ilvl w:val="0"/>
          <w:numId w:val="32"/>
        </w:numPr>
        <w:ind w:left="1440"/>
        <w:rPr>
          <w:i/>
          <w:sz w:val="28"/>
          <w:szCs w:val="28"/>
        </w:rPr>
      </w:pPr>
      <w:r w:rsidRPr="00D4331A">
        <w:rPr>
          <w:i/>
          <w:sz w:val="28"/>
          <w:szCs w:val="28"/>
        </w:rPr>
        <w:t>Distribution of RTIP dollars per capital for LIM communities versus non-LIM communities;</w:t>
      </w:r>
    </w:p>
    <w:p w:rsidR="00D4331A" w:rsidRPr="00D4331A" w:rsidRDefault="00D4331A" w:rsidP="00D4331A">
      <w:pPr>
        <w:pStyle w:val="ListParagraph"/>
        <w:numPr>
          <w:ilvl w:val="0"/>
          <w:numId w:val="32"/>
        </w:numPr>
        <w:ind w:left="1440"/>
        <w:rPr>
          <w:i/>
          <w:sz w:val="28"/>
          <w:szCs w:val="28"/>
        </w:rPr>
      </w:pPr>
      <w:r w:rsidRPr="00D4331A">
        <w:rPr>
          <w:i/>
          <w:sz w:val="28"/>
          <w:szCs w:val="28"/>
        </w:rPr>
        <w:t>Access to jobs within 30 minutes of LIM communities versus non-LIM communities;</w:t>
      </w:r>
    </w:p>
    <w:p w:rsidR="00D4331A" w:rsidRPr="00D4331A" w:rsidRDefault="00D4331A" w:rsidP="00D4331A">
      <w:pPr>
        <w:pStyle w:val="ListParagraph"/>
        <w:numPr>
          <w:ilvl w:val="0"/>
          <w:numId w:val="32"/>
        </w:numPr>
        <w:ind w:left="1440"/>
        <w:rPr>
          <w:i/>
          <w:sz w:val="28"/>
          <w:szCs w:val="28"/>
        </w:rPr>
      </w:pPr>
      <w:r w:rsidRPr="00D4331A">
        <w:rPr>
          <w:i/>
          <w:sz w:val="28"/>
          <w:szCs w:val="28"/>
        </w:rPr>
        <w:t>Percent of housing within ½ mile of RTIP transit stations for LIM versus non-LIM communities; and</w:t>
      </w:r>
    </w:p>
    <w:p w:rsidR="00D4331A" w:rsidRDefault="00D4331A" w:rsidP="00D4331A">
      <w:pPr>
        <w:pStyle w:val="ListParagraph"/>
        <w:numPr>
          <w:ilvl w:val="0"/>
          <w:numId w:val="32"/>
        </w:numPr>
        <w:ind w:left="1440"/>
        <w:rPr>
          <w:i/>
          <w:sz w:val="28"/>
          <w:szCs w:val="28"/>
        </w:rPr>
      </w:pPr>
      <w:r w:rsidRPr="00D4331A">
        <w:rPr>
          <w:i/>
          <w:sz w:val="28"/>
          <w:szCs w:val="28"/>
        </w:rPr>
        <w:t>Maps that overlay RTIP projects over LIM communities.</w:t>
      </w:r>
    </w:p>
    <w:p w:rsidR="00D4331A" w:rsidRDefault="00D4331A" w:rsidP="00D4331A">
      <w:pPr>
        <w:ind w:left="720"/>
        <w:rPr>
          <w:i/>
          <w:sz w:val="28"/>
          <w:szCs w:val="28"/>
        </w:rPr>
      </w:pPr>
    </w:p>
    <w:p w:rsidR="00D4331A" w:rsidRDefault="00D4331A" w:rsidP="00D4331A">
      <w:pPr>
        <w:ind w:left="720"/>
        <w:rPr>
          <w:sz w:val="28"/>
          <w:szCs w:val="28"/>
        </w:rPr>
      </w:pPr>
      <w:r>
        <w:rPr>
          <w:i/>
          <w:sz w:val="28"/>
          <w:szCs w:val="28"/>
        </w:rPr>
        <w:t xml:space="preserve">Analytical techniques SANDAG will use include evaluation of transportation system performance </w:t>
      </w:r>
      <w:r w:rsidR="00045083">
        <w:rPr>
          <w:i/>
          <w:sz w:val="28"/>
          <w:szCs w:val="28"/>
        </w:rPr>
        <w:t>measures, ty</w:t>
      </w:r>
      <w:r>
        <w:rPr>
          <w:i/>
          <w:sz w:val="28"/>
          <w:szCs w:val="28"/>
        </w:rPr>
        <w:t>pically used to assess patterns of benefits of accessibility and/or travel times to transit centers.  These measures will require computer model-forecasting or a simpler method of GIS mapping of proposed project alignments and termini relative to the locations of LIM and non-LIM populations.  If this analysis indicates that non-LIM populations will receive a disproportionately high ben</w:t>
      </w:r>
      <w:r w:rsidR="00045083">
        <w:rPr>
          <w:i/>
          <w:sz w:val="28"/>
          <w:szCs w:val="28"/>
        </w:rPr>
        <w:t>efit, SANDAG will consider revis</w:t>
      </w:r>
      <w:r>
        <w:rPr>
          <w:i/>
          <w:sz w:val="28"/>
          <w:szCs w:val="28"/>
        </w:rPr>
        <w:t>ing the plan to produce a more equitable distribution of projects across all communities.  Using these procedures, SANDAG will be able to identify how transportation system investments in its RTIP may ben</w:t>
      </w:r>
      <w:r w:rsidR="00045083">
        <w:rPr>
          <w:i/>
          <w:sz w:val="28"/>
          <w:szCs w:val="28"/>
        </w:rPr>
        <w:t>efit and burden LIM populations; identify any disparate impacts of investment identified in the RTIP on LIM populations,</w:t>
      </w:r>
      <w:r>
        <w:rPr>
          <w:i/>
          <w:sz w:val="28"/>
          <w:szCs w:val="28"/>
        </w:rPr>
        <w:t xml:space="preserve"> and respond to results of the analyses produced.</w:t>
      </w:r>
    </w:p>
    <w:p w:rsidR="00045083" w:rsidRDefault="00045083" w:rsidP="00045083">
      <w:pPr>
        <w:rPr>
          <w:sz w:val="28"/>
          <w:szCs w:val="28"/>
        </w:rPr>
      </w:pPr>
    </w:p>
    <w:p w:rsidR="00AE50E6" w:rsidRDefault="00045083" w:rsidP="00045083">
      <w:pPr>
        <w:spacing w:line="360" w:lineRule="auto"/>
        <w:rPr>
          <w:sz w:val="28"/>
          <w:szCs w:val="28"/>
        </w:rPr>
      </w:pPr>
      <w:r w:rsidRPr="003A0B73">
        <w:rPr>
          <w:sz w:val="28"/>
          <w:szCs w:val="28"/>
        </w:rPr>
        <w:t xml:space="preserve">The establishment of this process </w:t>
      </w:r>
      <w:r w:rsidR="009A2651" w:rsidRPr="003A0B73">
        <w:rPr>
          <w:sz w:val="28"/>
          <w:szCs w:val="28"/>
        </w:rPr>
        <w:t>wa</w:t>
      </w:r>
      <w:r w:rsidRPr="003A0B73">
        <w:rPr>
          <w:sz w:val="28"/>
          <w:szCs w:val="28"/>
        </w:rPr>
        <w:t>s sufficient</w:t>
      </w:r>
      <w:r w:rsidR="00AE50E6" w:rsidRPr="003A0B73">
        <w:rPr>
          <w:sz w:val="28"/>
          <w:szCs w:val="28"/>
        </w:rPr>
        <w:t xml:space="preserve">ly responsive to the advisory comment in </w:t>
      </w:r>
      <w:r w:rsidRPr="003A0B73">
        <w:rPr>
          <w:sz w:val="28"/>
          <w:szCs w:val="28"/>
        </w:rPr>
        <w:t>Analytical Process for Identifying Impacts.</w:t>
      </w:r>
    </w:p>
    <w:p w:rsidR="00AE50E6" w:rsidRDefault="00AE50E6">
      <w:pPr>
        <w:rPr>
          <w:sz w:val="28"/>
          <w:szCs w:val="28"/>
        </w:rPr>
      </w:pPr>
      <w:r>
        <w:rPr>
          <w:sz w:val="28"/>
          <w:szCs w:val="28"/>
        </w:rPr>
        <w:br w:type="page"/>
      </w:r>
    </w:p>
    <w:p w:rsidR="00F80A8D" w:rsidRDefault="00F80A8D" w:rsidP="00E3540D">
      <w:pPr>
        <w:pStyle w:val="BHLevel1"/>
        <w:rPr>
          <w:sz w:val="28"/>
          <w:szCs w:val="28"/>
        </w:rPr>
      </w:pPr>
      <w:bookmarkStart w:id="27" w:name="_Toc315152517"/>
      <w:r w:rsidRPr="00D3791B">
        <w:rPr>
          <w:sz w:val="28"/>
          <w:szCs w:val="28"/>
        </w:rPr>
        <w:lastRenderedPageBreak/>
        <w:t>SUMMARY OF FINDINGS AND CORRECTIVE ACTIONS</w:t>
      </w:r>
      <w:bookmarkEnd w:id="25"/>
      <w:bookmarkEnd w:id="26"/>
      <w:bookmarkEnd w:id="27"/>
    </w:p>
    <w:p w:rsidR="005B1F1E" w:rsidRPr="00D3791B" w:rsidRDefault="005B1F1E" w:rsidP="00E34B0C">
      <w:pPr>
        <w:rPr>
          <w:sz w:val="28"/>
          <w:szCs w:val="28"/>
        </w:rPr>
      </w:pPr>
    </w:p>
    <w:tbl>
      <w:tblPr>
        <w:tblW w:w="10841"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430"/>
        <w:gridCol w:w="1080"/>
        <w:gridCol w:w="2070"/>
        <w:gridCol w:w="2520"/>
        <w:gridCol w:w="1260"/>
        <w:gridCol w:w="1481"/>
      </w:tblGrid>
      <w:tr w:rsidR="00451F35" w:rsidTr="009C023A">
        <w:trPr>
          <w:tblHeader/>
        </w:trPr>
        <w:tc>
          <w:tcPr>
            <w:tcW w:w="2430" w:type="dxa"/>
            <w:tcBorders>
              <w:top w:val="double" w:sz="6" w:space="0" w:color="auto"/>
              <w:bottom w:val="double" w:sz="6" w:space="0" w:color="auto"/>
            </w:tcBorders>
            <w:shd w:val="pct10" w:color="auto" w:fill="auto"/>
            <w:vAlign w:val="center"/>
          </w:tcPr>
          <w:p w:rsidR="00451F35" w:rsidRDefault="00451F35" w:rsidP="00F53E01">
            <w:pPr>
              <w:spacing w:before="60" w:after="60"/>
              <w:jc w:val="center"/>
              <w:rPr>
                <w:b/>
                <w:sz w:val="22"/>
              </w:rPr>
            </w:pPr>
            <w:bookmarkStart w:id="28" w:name="_Toc106790256"/>
            <w:bookmarkStart w:id="29" w:name="_Toc109968490"/>
            <w:r>
              <w:rPr>
                <w:b/>
                <w:sz w:val="22"/>
              </w:rPr>
              <w:t xml:space="preserve">Title VI Requirements For </w:t>
            </w:r>
            <w:r w:rsidR="00F53E01">
              <w:rPr>
                <w:b/>
                <w:sz w:val="22"/>
              </w:rPr>
              <w:t>MPO</w:t>
            </w:r>
            <w:r w:rsidR="00B26E51">
              <w:rPr>
                <w:b/>
                <w:sz w:val="22"/>
              </w:rPr>
              <w:t>s</w:t>
            </w:r>
            <w:r>
              <w:rPr>
                <w:b/>
                <w:sz w:val="22"/>
              </w:rPr>
              <w:t xml:space="preserve"> </w:t>
            </w:r>
          </w:p>
        </w:tc>
        <w:tc>
          <w:tcPr>
            <w:tcW w:w="1080" w:type="dxa"/>
            <w:tcBorders>
              <w:top w:val="double" w:sz="6" w:space="0" w:color="auto"/>
              <w:bottom w:val="double" w:sz="6" w:space="0" w:color="auto"/>
            </w:tcBorders>
            <w:shd w:val="pct10" w:color="auto" w:fill="auto"/>
            <w:vAlign w:val="center"/>
          </w:tcPr>
          <w:p w:rsidR="00451F35" w:rsidRDefault="00451F35" w:rsidP="00300EFE">
            <w:pPr>
              <w:spacing w:before="60" w:after="60"/>
              <w:jc w:val="center"/>
              <w:rPr>
                <w:b/>
                <w:sz w:val="22"/>
              </w:rPr>
            </w:pPr>
            <w:r>
              <w:rPr>
                <w:b/>
                <w:sz w:val="22"/>
              </w:rPr>
              <w:t>Findings</w:t>
            </w:r>
          </w:p>
        </w:tc>
        <w:tc>
          <w:tcPr>
            <w:tcW w:w="2070" w:type="dxa"/>
            <w:tcBorders>
              <w:top w:val="double" w:sz="6" w:space="0" w:color="auto"/>
              <w:bottom w:val="double" w:sz="6" w:space="0" w:color="auto"/>
            </w:tcBorders>
            <w:shd w:val="pct10" w:color="auto" w:fill="auto"/>
            <w:vAlign w:val="center"/>
          </w:tcPr>
          <w:p w:rsidR="00451F35" w:rsidRDefault="00451F35" w:rsidP="00300EFE">
            <w:pPr>
              <w:spacing w:before="60" w:after="60"/>
              <w:jc w:val="center"/>
              <w:rPr>
                <w:b/>
                <w:sz w:val="22"/>
              </w:rPr>
            </w:pPr>
            <w:r>
              <w:rPr>
                <w:b/>
                <w:sz w:val="22"/>
              </w:rPr>
              <w:t>Description of Deficiencies</w:t>
            </w:r>
          </w:p>
        </w:tc>
        <w:tc>
          <w:tcPr>
            <w:tcW w:w="2520" w:type="dxa"/>
            <w:tcBorders>
              <w:top w:val="double" w:sz="6" w:space="0" w:color="auto"/>
              <w:bottom w:val="double" w:sz="6" w:space="0" w:color="auto"/>
            </w:tcBorders>
            <w:shd w:val="pct10" w:color="auto" w:fill="auto"/>
            <w:vAlign w:val="center"/>
          </w:tcPr>
          <w:p w:rsidR="00451F35" w:rsidRDefault="00451F35" w:rsidP="00300EFE">
            <w:pPr>
              <w:spacing w:before="160" w:after="60"/>
              <w:jc w:val="center"/>
              <w:rPr>
                <w:b/>
                <w:sz w:val="22"/>
              </w:rPr>
            </w:pPr>
            <w:r>
              <w:rPr>
                <w:b/>
                <w:sz w:val="22"/>
              </w:rPr>
              <w:t>Corrective Action(s)</w:t>
            </w:r>
          </w:p>
        </w:tc>
        <w:tc>
          <w:tcPr>
            <w:tcW w:w="1260" w:type="dxa"/>
            <w:tcBorders>
              <w:top w:val="double" w:sz="6" w:space="0" w:color="auto"/>
              <w:bottom w:val="double" w:sz="6" w:space="0" w:color="auto"/>
            </w:tcBorders>
            <w:shd w:val="pct10" w:color="auto" w:fill="auto"/>
            <w:vAlign w:val="center"/>
          </w:tcPr>
          <w:p w:rsidR="00451F35" w:rsidRDefault="00451F35" w:rsidP="00300EFE">
            <w:pPr>
              <w:spacing w:before="60" w:after="60"/>
              <w:jc w:val="center"/>
              <w:rPr>
                <w:b/>
                <w:sz w:val="22"/>
              </w:rPr>
            </w:pPr>
            <w:r>
              <w:rPr>
                <w:b/>
                <w:sz w:val="22"/>
              </w:rPr>
              <w:t>Response Days/Date</w:t>
            </w:r>
          </w:p>
        </w:tc>
        <w:tc>
          <w:tcPr>
            <w:tcW w:w="1481" w:type="dxa"/>
            <w:tcBorders>
              <w:top w:val="double" w:sz="6" w:space="0" w:color="auto"/>
              <w:bottom w:val="double" w:sz="6" w:space="0" w:color="auto"/>
            </w:tcBorders>
            <w:shd w:val="pct10" w:color="auto" w:fill="auto"/>
            <w:vAlign w:val="center"/>
          </w:tcPr>
          <w:p w:rsidR="00451F35" w:rsidRDefault="00451F35" w:rsidP="00300EFE">
            <w:pPr>
              <w:spacing w:before="60" w:after="60"/>
              <w:jc w:val="center"/>
              <w:rPr>
                <w:b/>
                <w:sz w:val="22"/>
              </w:rPr>
            </w:pPr>
            <w:r>
              <w:rPr>
                <w:b/>
                <w:sz w:val="22"/>
              </w:rPr>
              <w:t>Date Closed</w:t>
            </w:r>
          </w:p>
        </w:tc>
      </w:tr>
      <w:tr w:rsidR="00451F35" w:rsidTr="009C023A">
        <w:tc>
          <w:tcPr>
            <w:tcW w:w="10841" w:type="dxa"/>
            <w:gridSpan w:val="6"/>
            <w:tcBorders>
              <w:top w:val="nil"/>
            </w:tcBorders>
          </w:tcPr>
          <w:p w:rsidR="00451F35" w:rsidRDefault="00451F35" w:rsidP="00300EFE">
            <w:pPr>
              <w:jc w:val="center"/>
              <w:rPr>
                <w:b/>
                <w:sz w:val="24"/>
              </w:rPr>
            </w:pPr>
            <w:r>
              <w:rPr>
                <w:b/>
                <w:sz w:val="24"/>
              </w:rPr>
              <w:t>GENERAL REPORTING REQUIREMENTS – FTA C. 4702.1A. IV, 1-9</w:t>
            </w:r>
          </w:p>
        </w:tc>
      </w:tr>
      <w:tr w:rsidR="00451F35" w:rsidTr="009C023A">
        <w:tc>
          <w:tcPr>
            <w:tcW w:w="2430" w:type="dxa"/>
            <w:tcBorders>
              <w:top w:val="nil"/>
            </w:tcBorders>
          </w:tcPr>
          <w:p w:rsidR="00451F35" w:rsidRPr="00703761" w:rsidRDefault="00451F35" w:rsidP="00451F35">
            <w:pPr>
              <w:pStyle w:val="Header"/>
              <w:numPr>
                <w:ilvl w:val="0"/>
                <w:numId w:val="9"/>
              </w:numPr>
              <w:tabs>
                <w:tab w:val="clear" w:pos="720"/>
                <w:tab w:val="clear" w:pos="4320"/>
                <w:tab w:val="clear" w:pos="8640"/>
                <w:tab w:val="num" w:pos="420"/>
              </w:tabs>
              <w:ind w:left="420" w:hanging="420"/>
              <w:rPr>
                <w:sz w:val="24"/>
              </w:rPr>
            </w:pPr>
            <w:r>
              <w:rPr>
                <w:sz w:val="24"/>
              </w:rPr>
              <w:t>Inclusive Public Participation</w:t>
            </w:r>
          </w:p>
        </w:tc>
        <w:tc>
          <w:tcPr>
            <w:tcW w:w="1080" w:type="dxa"/>
            <w:tcBorders>
              <w:top w:val="nil"/>
            </w:tcBorders>
          </w:tcPr>
          <w:p w:rsidR="00451F35" w:rsidRDefault="00613C0F" w:rsidP="00300EFE">
            <w:pPr>
              <w:jc w:val="center"/>
              <w:rPr>
                <w:sz w:val="24"/>
              </w:rPr>
            </w:pPr>
            <w:r>
              <w:rPr>
                <w:sz w:val="24"/>
              </w:rPr>
              <w:t>ND</w:t>
            </w:r>
          </w:p>
        </w:tc>
        <w:tc>
          <w:tcPr>
            <w:tcW w:w="2070" w:type="dxa"/>
            <w:tcBorders>
              <w:top w:val="nil"/>
            </w:tcBorders>
          </w:tcPr>
          <w:p w:rsidR="00DE45D2" w:rsidRDefault="00DE45D2" w:rsidP="00300EFE">
            <w:pPr>
              <w:ind w:left="45"/>
              <w:rPr>
                <w:sz w:val="24"/>
              </w:rPr>
            </w:pPr>
          </w:p>
        </w:tc>
        <w:tc>
          <w:tcPr>
            <w:tcW w:w="2520" w:type="dxa"/>
            <w:tcBorders>
              <w:top w:val="nil"/>
            </w:tcBorders>
          </w:tcPr>
          <w:p w:rsidR="00451F35" w:rsidRPr="00D8792B" w:rsidRDefault="00451F35" w:rsidP="0061121D">
            <w:pPr>
              <w:pStyle w:val="Header"/>
              <w:tabs>
                <w:tab w:val="clear" w:pos="4320"/>
                <w:tab w:val="clear" w:pos="8640"/>
              </w:tabs>
              <w:ind w:left="45"/>
              <w:rPr>
                <w:sz w:val="24"/>
                <w:szCs w:val="24"/>
              </w:rPr>
            </w:pPr>
          </w:p>
        </w:tc>
        <w:tc>
          <w:tcPr>
            <w:tcW w:w="1260" w:type="dxa"/>
            <w:tcBorders>
              <w:top w:val="nil"/>
            </w:tcBorders>
          </w:tcPr>
          <w:p w:rsidR="00451F35" w:rsidRDefault="00451F35" w:rsidP="00300EFE">
            <w:pPr>
              <w:ind w:left="45"/>
              <w:jc w:val="center"/>
              <w:rPr>
                <w:sz w:val="24"/>
              </w:rPr>
            </w:pPr>
          </w:p>
        </w:tc>
        <w:tc>
          <w:tcPr>
            <w:tcW w:w="1481" w:type="dxa"/>
            <w:tcBorders>
              <w:top w:val="nil"/>
            </w:tcBorders>
          </w:tcPr>
          <w:p w:rsidR="00451F35" w:rsidRPr="009C023A" w:rsidRDefault="00451F35" w:rsidP="00300EFE">
            <w:pPr>
              <w:jc w:val="center"/>
              <w:rPr>
                <w:sz w:val="24"/>
                <w:szCs w:val="24"/>
              </w:rPr>
            </w:pP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Language Access to LEP Persons</w:t>
            </w:r>
          </w:p>
        </w:tc>
        <w:tc>
          <w:tcPr>
            <w:tcW w:w="1080" w:type="dxa"/>
          </w:tcPr>
          <w:p w:rsidR="00451F35" w:rsidRDefault="00613C0F" w:rsidP="00300EFE">
            <w:pPr>
              <w:jc w:val="center"/>
              <w:rPr>
                <w:sz w:val="24"/>
              </w:rPr>
            </w:pPr>
            <w:r>
              <w:rPr>
                <w:sz w:val="24"/>
              </w:rPr>
              <w:t>D</w:t>
            </w:r>
          </w:p>
        </w:tc>
        <w:tc>
          <w:tcPr>
            <w:tcW w:w="2070" w:type="dxa"/>
          </w:tcPr>
          <w:p w:rsidR="00451F35" w:rsidRDefault="00613C0F" w:rsidP="00300EFE">
            <w:pPr>
              <w:ind w:left="45"/>
              <w:rPr>
                <w:sz w:val="24"/>
              </w:rPr>
            </w:pPr>
            <w:r>
              <w:rPr>
                <w:sz w:val="24"/>
              </w:rPr>
              <w:t>Lacking assessment or provisions for LEP persons</w:t>
            </w:r>
          </w:p>
        </w:tc>
        <w:tc>
          <w:tcPr>
            <w:tcW w:w="2520" w:type="dxa"/>
          </w:tcPr>
          <w:p w:rsidR="00451F35" w:rsidRPr="002F409B" w:rsidRDefault="002F409B" w:rsidP="0060012B">
            <w:pPr>
              <w:rPr>
                <w:sz w:val="24"/>
                <w:szCs w:val="24"/>
              </w:rPr>
            </w:pPr>
            <w:r w:rsidRPr="002F409B">
              <w:rPr>
                <w:sz w:val="24"/>
                <w:szCs w:val="24"/>
              </w:rPr>
              <w:t xml:space="preserve">SANDAG must submit to the FTA Equal Opportunity Specialist in the FTA Headquarters Office of Civil Rights documentation that they have completed a LEP </w:t>
            </w:r>
            <w:r w:rsidR="0060012B">
              <w:rPr>
                <w:sz w:val="24"/>
                <w:szCs w:val="24"/>
              </w:rPr>
              <w:t>four-factor</w:t>
            </w:r>
            <w:r w:rsidRPr="002F409B">
              <w:rPr>
                <w:sz w:val="24"/>
                <w:szCs w:val="24"/>
              </w:rPr>
              <w:t xml:space="preserve"> </w:t>
            </w:r>
            <w:r w:rsidR="0060012B">
              <w:rPr>
                <w:sz w:val="24"/>
                <w:szCs w:val="24"/>
              </w:rPr>
              <w:t>analysis</w:t>
            </w:r>
            <w:r w:rsidRPr="002F409B">
              <w:rPr>
                <w:sz w:val="24"/>
                <w:szCs w:val="24"/>
              </w:rPr>
              <w:t xml:space="preserve"> and developed a Language Assistance Plan, as required by FTA Circular 4702.1A.</w:t>
            </w:r>
          </w:p>
        </w:tc>
        <w:tc>
          <w:tcPr>
            <w:tcW w:w="1260" w:type="dxa"/>
          </w:tcPr>
          <w:p w:rsidR="00451F35" w:rsidRDefault="00CA12B2" w:rsidP="00300EFE">
            <w:pPr>
              <w:ind w:left="45"/>
              <w:jc w:val="center"/>
              <w:rPr>
                <w:sz w:val="24"/>
              </w:rPr>
            </w:pPr>
            <w:r w:rsidRPr="003A0B73">
              <w:rPr>
                <w:sz w:val="24"/>
              </w:rPr>
              <w:t>4/27/2012</w:t>
            </w:r>
          </w:p>
        </w:tc>
        <w:tc>
          <w:tcPr>
            <w:tcW w:w="1481" w:type="dxa"/>
          </w:tcPr>
          <w:p w:rsidR="00451F35" w:rsidRDefault="00451F35" w:rsidP="00300EFE">
            <w:pPr>
              <w:jc w:val="center"/>
              <w:rPr>
                <w:sz w:val="24"/>
              </w:rPr>
            </w:pPr>
          </w:p>
        </w:tc>
      </w:tr>
      <w:tr w:rsidR="00451F35" w:rsidTr="009C023A">
        <w:tc>
          <w:tcPr>
            <w:tcW w:w="2430" w:type="dxa"/>
          </w:tcPr>
          <w:p w:rsidR="00451F35" w:rsidRPr="00236583" w:rsidRDefault="00451F35" w:rsidP="00451F35">
            <w:pPr>
              <w:numPr>
                <w:ilvl w:val="0"/>
                <w:numId w:val="9"/>
              </w:numPr>
              <w:tabs>
                <w:tab w:val="clear" w:pos="720"/>
                <w:tab w:val="num" w:pos="420"/>
              </w:tabs>
              <w:ind w:left="420" w:hanging="420"/>
              <w:rPr>
                <w:sz w:val="24"/>
              </w:rPr>
            </w:pPr>
            <w:r w:rsidRPr="00236583">
              <w:rPr>
                <w:sz w:val="24"/>
              </w:rPr>
              <w:t>Title VI Complaint Procedures</w:t>
            </w:r>
          </w:p>
        </w:tc>
        <w:tc>
          <w:tcPr>
            <w:tcW w:w="1080" w:type="dxa"/>
          </w:tcPr>
          <w:p w:rsidR="00451F35" w:rsidRPr="00236583" w:rsidRDefault="00613C0F" w:rsidP="00300EFE">
            <w:pPr>
              <w:jc w:val="center"/>
              <w:rPr>
                <w:sz w:val="24"/>
              </w:rPr>
            </w:pPr>
            <w:r>
              <w:rPr>
                <w:sz w:val="24"/>
              </w:rPr>
              <w:t>D</w:t>
            </w:r>
          </w:p>
        </w:tc>
        <w:tc>
          <w:tcPr>
            <w:tcW w:w="2070" w:type="dxa"/>
          </w:tcPr>
          <w:p w:rsidR="00451F35" w:rsidRPr="00236583" w:rsidRDefault="000476A3" w:rsidP="000476A3">
            <w:pPr>
              <w:ind w:left="45"/>
              <w:rPr>
                <w:sz w:val="24"/>
              </w:rPr>
            </w:pPr>
            <w:r>
              <w:rPr>
                <w:sz w:val="24"/>
              </w:rPr>
              <w:t>Complaint procedures do not contain all of the required elements</w:t>
            </w:r>
          </w:p>
        </w:tc>
        <w:tc>
          <w:tcPr>
            <w:tcW w:w="2520" w:type="dxa"/>
          </w:tcPr>
          <w:p w:rsidR="00451F35" w:rsidRPr="00A23683" w:rsidRDefault="00A23683" w:rsidP="00A23683">
            <w:pPr>
              <w:ind w:left="45"/>
              <w:rPr>
                <w:sz w:val="24"/>
                <w:szCs w:val="24"/>
              </w:rPr>
            </w:pPr>
            <w:r w:rsidRPr="00A23683">
              <w:rPr>
                <w:sz w:val="24"/>
                <w:szCs w:val="24"/>
              </w:rPr>
              <w:t>SANDAG must submit to the FTA Equal Opportunity Specialist in FTA’s Headquarters Office of Civil Rights documentation that its Board of Directors has approved its revised Title VI Complaint Procedures.</w:t>
            </w:r>
          </w:p>
        </w:tc>
        <w:tc>
          <w:tcPr>
            <w:tcW w:w="1260" w:type="dxa"/>
          </w:tcPr>
          <w:p w:rsidR="00451F35" w:rsidRPr="006B00F6" w:rsidRDefault="00CA12B2" w:rsidP="00300EFE">
            <w:pPr>
              <w:ind w:left="45"/>
              <w:jc w:val="center"/>
              <w:rPr>
                <w:sz w:val="24"/>
                <w:highlight w:val="yellow"/>
              </w:rPr>
            </w:pPr>
            <w:r w:rsidRPr="003A0B73">
              <w:rPr>
                <w:sz w:val="24"/>
              </w:rPr>
              <w:t>4/27/2012</w:t>
            </w:r>
          </w:p>
        </w:tc>
        <w:tc>
          <w:tcPr>
            <w:tcW w:w="1481" w:type="dxa"/>
          </w:tcPr>
          <w:p w:rsidR="00451F35" w:rsidRDefault="00451F35" w:rsidP="00300EFE">
            <w:pPr>
              <w:jc w:val="center"/>
              <w:rPr>
                <w:sz w:val="24"/>
              </w:rPr>
            </w:pP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Record of Title VI Investigations, Complaints, and Lawsuits</w:t>
            </w:r>
          </w:p>
        </w:tc>
        <w:tc>
          <w:tcPr>
            <w:tcW w:w="1080" w:type="dxa"/>
          </w:tcPr>
          <w:p w:rsidR="00451F35" w:rsidRDefault="00613C0F" w:rsidP="00300EFE">
            <w:pPr>
              <w:jc w:val="center"/>
              <w:rPr>
                <w:sz w:val="24"/>
              </w:rPr>
            </w:pPr>
            <w:r>
              <w:rPr>
                <w:sz w:val="24"/>
              </w:rPr>
              <w:t>ND</w:t>
            </w:r>
          </w:p>
        </w:tc>
        <w:tc>
          <w:tcPr>
            <w:tcW w:w="2070" w:type="dxa"/>
          </w:tcPr>
          <w:p w:rsidR="00451F35" w:rsidRDefault="00451F35" w:rsidP="00300EFE">
            <w:pPr>
              <w:ind w:left="45"/>
              <w:rPr>
                <w:sz w:val="24"/>
              </w:rPr>
            </w:pPr>
          </w:p>
        </w:tc>
        <w:tc>
          <w:tcPr>
            <w:tcW w:w="2520" w:type="dxa"/>
          </w:tcPr>
          <w:p w:rsidR="00451F35" w:rsidRPr="00666E96" w:rsidRDefault="00451F35" w:rsidP="00300EFE">
            <w:pPr>
              <w:ind w:left="45"/>
              <w:rPr>
                <w:sz w:val="24"/>
                <w:szCs w:val="24"/>
              </w:rPr>
            </w:pPr>
          </w:p>
        </w:tc>
        <w:tc>
          <w:tcPr>
            <w:tcW w:w="1260" w:type="dxa"/>
          </w:tcPr>
          <w:p w:rsidR="00451F35" w:rsidRDefault="00451F35" w:rsidP="00300EFE">
            <w:pPr>
              <w:ind w:left="45"/>
              <w:jc w:val="center"/>
              <w:rPr>
                <w:sz w:val="24"/>
              </w:rPr>
            </w:pPr>
          </w:p>
        </w:tc>
        <w:tc>
          <w:tcPr>
            <w:tcW w:w="1481" w:type="dxa"/>
          </w:tcPr>
          <w:p w:rsidR="00451F35" w:rsidRDefault="00451F35" w:rsidP="00300EFE">
            <w:pPr>
              <w:jc w:val="center"/>
              <w:rPr>
                <w:sz w:val="24"/>
              </w:rPr>
            </w:pP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Notice to Beneficiaries of Protection Under Title VI</w:t>
            </w:r>
          </w:p>
        </w:tc>
        <w:tc>
          <w:tcPr>
            <w:tcW w:w="1080" w:type="dxa"/>
          </w:tcPr>
          <w:p w:rsidR="00451F35" w:rsidRDefault="00613C0F" w:rsidP="00300EFE">
            <w:pPr>
              <w:jc w:val="center"/>
              <w:rPr>
                <w:sz w:val="24"/>
              </w:rPr>
            </w:pPr>
            <w:r>
              <w:rPr>
                <w:sz w:val="24"/>
              </w:rPr>
              <w:t>D</w:t>
            </w:r>
          </w:p>
        </w:tc>
        <w:tc>
          <w:tcPr>
            <w:tcW w:w="2070" w:type="dxa"/>
          </w:tcPr>
          <w:p w:rsidR="00451F35" w:rsidRPr="00512C89" w:rsidRDefault="000476A3" w:rsidP="00300EFE">
            <w:pPr>
              <w:ind w:left="45"/>
              <w:rPr>
                <w:sz w:val="24"/>
                <w:szCs w:val="24"/>
              </w:rPr>
            </w:pPr>
            <w:r>
              <w:rPr>
                <w:sz w:val="24"/>
                <w:szCs w:val="24"/>
              </w:rPr>
              <w:t>Title VI public notification deficiencies</w:t>
            </w:r>
          </w:p>
        </w:tc>
        <w:tc>
          <w:tcPr>
            <w:tcW w:w="2520" w:type="dxa"/>
          </w:tcPr>
          <w:p w:rsidR="00451F35" w:rsidRPr="008F1857" w:rsidRDefault="008F1857" w:rsidP="001F319D">
            <w:pPr>
              <w:ind w:left="45"/>
              <w:rPr>
                <w:sz w:val="24"/>
                <w:szCs w:val="24"/>
              </w:rPr>
            </w:pPr>
            <w:r w:rsidRPr="008F1857">
              <w:rPr>
                <w:sz w:val="24"/>
                <w:szCs w:val="24"/>
              </w:rPr>
              <w:t xml:space="preserve">SANDAG must submit to the FTA Equal Opportunity Specialist in FTA’s Headquarters Office of Civil Rights a revised Notice to Beneficiaries of Protection Under </w:t>
            </w:r>
            <w:r w:rsidRPr="008F1857">
              <w:rPr>
                <w:sz w:val="24"/>
                <w:szCs w:val="24"/>
              </w:rPr>
              <w:lastRenderedPageBreak/>
              <w:t>Title VI that includes all the elements required by FTA Circular 4702.1A IV.5. SANDAG must submit a plan to disseminate its Notice to the public in ways other than on its website.</w:t>
            </w:r>
          </w:p>
        </w:tc>
        <w:tc>
          <w:tcPr>
            <w:tcW w:w="1260" w:type="dxa"/>
          </w:tcPr>
          <w:p w:rsidR="00451F35" w:rsidRDefault="00CA12B2" w:rsidP="00300EFE">
            <w:pPr>
              <w:pStyle w:val="Heading9"/>
              <w:spacing w:line="240" w:lineRule="auto"/>
              <w:ind w:left="45"/>
            </w:pPr>
            <w:r w:rsidRPr="003A0B73">
              <w:lastRenderedPageBreak/>
              <w:t>4/7/2012</w:t>
            </w:r>
          </w:p>
        </w:tc>
        <w:tc>
          <w:tcPr>
            <w:tcW w:w="1481" w:type="dxa"/>
          </w:tcPr>
          <w:p w:rsidR="00451F35" w:rsidRDefault="00353980" w:rsidP="00300EFE">
            <w:pPr>
              <w:jc w:val="center"/>
              <w:rPr>
                <w:sz w:val="24"/>
              </w:rPr>
            </w:pPr>
            <w:r>
              <w:rPr>
                <w:sz w:val="24"/>
              </w:rPr>
              <w:t>9/30/2011</w:t>
            </w: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lastRenderedPageBreak/>
              <w:t>Annual Title VI Certification and Assurance</w:t>
            </w:r>
          </w:p>
        </w:tc>
        <w:tc>
          <w:tcPr>
            <w:tcW w:w="1080" w:type="dxa"/>
          </w:tcPr>
          <w:p w:rsidR="00451F35" w:rsidRDefault="00613C0F" w:rsidP="00300EFE">
            <w:pPr>
              <w:jc w:val="center"/>
              <w:rPr>
                <w:sz w:val="24"/>
              </w:rPr>
            </w:pPr>
            <w:r>
              <w:rPr>
                <w:sz w:val="24"/>
              </w:rPr>
              <w:t>ND</w:t>
            </w:r>
          </w:p>
        </w:tc>
        <w:tc>
          <w:tcPr>
            <w:tcW w:w="2070" w:type="dxa"/>
          </w:tcPr>
          <w:p w:rsidR="00451F35" w:rsidRDefault="00451F35" w:rsidP="00300EFE">
            <w:pPr>
              <w:ind w:left="45"/>
              <w:rPr>
                <w:sz w:val="24"/>
              </w:rPr>
            </w:pPr>
          </w:p>
        </w:tc>
        <w:tc>
          <w:tcPr>
            <w:tcW w:w="2520" w:type="dxa"/>
          </w:tcPr>
          <w:p w:rsidR="00451F35" w:rsidRDefault="00451F35" w:rsidP="00300EFE">
            <w:pPr>
              <w:tabs>
                <w:tab w:val="left" w:pos="330"/>
              </w:tabs>
              <w:ind w:left="330" w:hanging="360"/>
              <w:rPr>
                <w:sz w:val="24"/>
              </w:rPr>
            </w:pPr>
          </w:p>
        </w:tc>
        <w:tc>
          <w:tcPr>
            <w:tcW w:w="1260" w:type="dxa"/>
          </w:tcPr>
          <w:p w:rsidR="00451F35" w:rsidRDefault="00451F35" w:rsidP="00300EFE">
            <w:pPr>
              <w:jc w:val="center"/>
              <w:rPr>
                <w:sz w:val="24"/>
              </w:rPr>
            </w:pPr>
          </w:p>
        </w:tc>
        <w:tc>
          <w:tcPr>
            <w:tcW w:w="1481" w:type="dxa"/>
          </w:tcPr>
          <w:p w:rsidR="00451F35" w:rsidRDefault="00451F35" w:rsidP="00300EFE">
            <w:pPr>
              <w:jc w:val="center"/>
              <w:rPr>
                <w:sz w:val="24"/>
              </w:rPr>
            </w:pPr>
          </w:p>
        </w:tc>
      </w:tr>
      <w:tr w:rsidR="00451F35" w:rsidTr="009C023A">
        <w:tc>
          <w:tcPr>
            <w:tcW w:w="2430" w:type="dxa"/>
          </w:tcPr>
          <w:p w:rsidR="00451F35" w:rsidRPr="00F96221" w:rsidRDefault="00451F35" w:rsidP="00451F35">
            <w:pPr>
              <w:numPr>
                <w:ilvl w:val="0"/>
                <w:numId w:val="9"/>
              </w:numPr>
              <w:tabs>
                <w:tab w:val="clear" w:pos="720"/>
                <w:tab w:val="num" w:pos="420"/>
              </w:tabs>
              <w:ind w:left="420" w:hanging="420"/>
              <w:rPr>
                <w:sz w:val="24"/>
              </w:rPr>
            </w:pPr>
            <w:r w:rsidRPr="00F96221">
              <w:rPr>
                <w:sz w:val="24"/>
              </w:rPr>
              <w:t>Environmental Justice Analysis of Construction Projects</w:t>
            </w:r>
          </w:p>
        </w:tc>
        <w:tc>
          <w:tcPr>
            <w:tcW w:w="1080" w:type="dxa"/>
          </w:tcPr>
          <w:p w:rsidR="00451F35" w:rsidRPr="00F96221" w:rsidRDefault="00613C0F" w:rsidP="00300EFE">
            <w:pPr>
              <w:jc w:val="center"/>
              <w:rPr>
                <w:sz w:val="24"/>
              </w:rPr>
            </w:pPr>
            <w:r>
              <w:rPr>
                <w:sz w:val="24"/>
              </w:rPr>
              <w:t>ND</w:t>
            </w:r>
          </w:p>
        </w:tc>
        <w:tc>
          <w:tcPr>
            <w:tcW w:w="2070" w:type="dxa"/>
          </w:tcPr>
          <w:p w:rsidR="00451F35" w:rsidRPr="00F96221" w:rsidRDefault="00451F35" w:rsidP="00300EFE">
            <w:pPr>
              <w:ind w:left="45"/>
              <w:rPr>
                <w:sz w:val="24"/>
              </w:rPr>
            </w:pPr>
          </w:p>
        </w:tc>
        <w:tc>
          <w:tcPr>
            <w:tcW w:w="2520" w:type="dxa"/>
          </w:tcPr>
          <w:p w:rsidR="00451F35" w:rsidRPr="00F96221" w:rsidRDefault="00451F35" w:rsidP="00300EFE">
            <w:pPr>
              <w:tabs>
                <w:tab w:val="left" w:pos="330"/>
                <w:tab w:val="left" w:pos="1725"/>
              </w:tabs>
              <w:ind w:left="-30"/>
              <w:rPr>
                <w:sz w:val="24"/>
                <w:szCs w:val="24"/>
              </w:rPr>
            </w:pPr>
          </w:p>
        </w:tc>
        <w:tc>
          <w:tcPr>
            <w:tcW w:w="1260" w:type="dxa"/>
          </w:tcPr>
          <w:p w:rsidR="00451F35" w:rsidRPr="00AA5D01" w:rsidRDefault="00451F35" w:rsidP="00300EFE">
            <w:pPr>
              <w:pStyle w:val="Heading9"/>
              <w:spacing w:line="240" w:lineRule="auto"/>
              <w:rPr>
                <w:szCs w:val="24"/>
              </w:rPr>
            </w:pPr>
          </w:p>
        </w:tc>
        <w:tc>
          <w:tcPr>
            <w:tcW w:w="1481" w:type="dxa"/>
          </w:tcPr>
          <w:p w:rsidR="00451F35" w:rsidRDefault="00451F35" w:rsidP="00300EFE">
            <w:pPr>
              <w:jc w:val="center"/>
              <w:rPr>
                <w:sz w:val="24"/>
              </w:rPr>
            </w:pPr>
          </w:p>
        </w:tc>
      </w:tr>
      <w:tr w:rsidR="00451F35" w:rsidTr="009C023A">
        <w:trPr>
          <w:trHeight w:val="588"/>
        </w:trPr>
        <w:tc>
          <w:tcPr>
            <w:tcW w:w="2430" w:type="dxa"/>
          </w:tcPr>
          <w:p w:rsidR="00451F35" w:rsidRDefault="00451F35" w:rsidP="00451F35">
            <w:pPr>
              <w:numPr>
                <w:ilvl w:val="0"/>
                <w:numId w:val="9"/>
              </w:numPr>
              <w:tabs>
                <w:tab w:val="clear" w:pos="720"/>
                <w:tab w:val="num" w:pos="420"/>
              </w:tabs>
              <w:ind w:left="420" w:hanging="420"/>
              <w:rPr>
                <w:sz w:val="24"/>
              </w:rPr>
            </w:pPr>
            <w:r>
              <w:rPr>
                <w:sz w:val="24"/>
              </w:rPr>
              <w:t>Submit Title VI Program</w:t>
            </w:r>
          </w:p>
        </w:tc>
        <w:tc>
          <w:tcPr>
            <w:tcW w:w="1080" w:type="dxa"/>
          </w:tcPr>
          <w:p w:rsidR="00451F35" w:rsidRDefault="00613C0F" w:rsidP="00300EFE">
            <w:pPr>
              <w:jc w:val="center"/>
              <w:rPr>
                <w:sz w:val="24"/>
              </w:rPr>
            </w:pPr>
            <w:r>
              <w:rPr>
                <w:sz w:val="24"/>
              </w:rPr>
              <w:t>ND</w:t>
            </w:r>
          </w:p>
        </w:tc>
        <w:tc>
          <w:tcPr>
            <w:tcW w:w="2070" w:type="dxa"/>
          </w:tcPr>
          <w:p w:rsidR="00451F35" w:rsidRPr="00DC258A" w:rsidRDefault="00451F35" w:rsidP="00300EFE">
            <w:pPr>
              <w:ind w:left="45"/>
              <w:rPr>
                <w:sz w:val="24"/>
                <w:szCs w:val="24"/>
              </w:rPr>
            </w:pPr>
          </w:p>
        </w:tc>
        <w:tc>
          <w:tcPr>
            <w:tcW w:w="2520" w:type="dxa"/>
          </w:tcPr>
          <w:p w:rsidR="00451F35" w:rsidRPr="00A319B6" w:rsidRDefault="00451F35" w:rsidP="0061121D">
            <w:pPr>
              <w:tabs>
                <w:tab w:val="left" w:pos="-30"/>
                <w:tab w:val="left" w:pos="1725"/>
              </w:tabs>
              <w:ind w:left="-30"/>
            </w:pPr>
          </w:p>
        </w:tc>
        <w:tc>
          <w:tcPr>
            <w:tcW w:w="1260" w:type="dxa"/>
          </w:tcPr>
          <w:p w:rsidR="00451F35" w:rsidRPr="00AA5D01" w:rsidRDefault="00451F35" w:rsidP="00300EFE">
            <w:pPr>
              <w:jc w:val="center"/>
              <w:rPr>
                <w:sz w:val="24"/>
                <w:szCs w:val="24"/>
              </w:rPr>
            </w:pPr>
          </w:p>
        </w:tc>
        <w:tc>
          <w:tcPr>
            <w:tcW w:w="1481" w:type="dxa"/>
          </w:tcPr>
          <w:p w:rsidR="00451F35" w:rsidRDefault="00451F35" w:rsidP="00300EFE">
            <w:pPr>
              <w:jc w:val="center"/>
              <w:rPr>
                <w:sz w:val="24"/>
              </w:rPr>
            </w:pPr>
          </w:p>
        </w:tc>
      </w:tr>
      <w:tr w:rsidR="00451F35" w:rsidTr="009C023A">
        <w:tc>
          <w:tcPr>
            <w:tcW w:w="10841" w:type="dxa"/>
            <w:gridSpan w:val="6"/>
          </w:tcPr>
          <w:p w:rsidR="00451F35" w:rsidRDefault="00B14E80" w:rsidP="00300EFE">
            <w:pPr>
              <w:jc w:val="center"/>
              <w:rPr>
                <w:b/>
                <w:sz w:val="24"/>
              </w:rPr>
            </w:pPr>
            <w:r>
              <w:rPr>
                <w:b/>
                <w:sz w:val="24"/>
              </w:rPr>
              <w:t>PROGRAM-</w:t>
            </w:r>
            <w:r w:rsidR="00EE009B">
              <w:rPr>
                <w:b/>
                <w:sz w:val="24"/>
              </w:rPr>
              <w:t>SPECIFIC REQUIREMENTS AND GUIDELINES FOR RECIPEINTS SERVING LARGE URBANIZED AREAS</w:t>
            </w:r>
            <w:r w:rsidR="00CC47CA">
              <w:rPr>
                <w:b/>
                <w:sz w:val="24"/>
              </w:rPr>
              <w:t xml:space="preserve"> – FTA C. 4702.1A. V, 4</w:t>
            </w:r>
          </w:p>
        </w:tc>
      </w:tr>
      <w:tr w:rsidR="00451F35" w:rsidTr="009C023A">
        <w:tc>
          <w:tcPr>
            <w:tcW w:w="2430" w:type="dxa"/>
          </w:tcPr>
          <w:p w:rsidR="00451F35" w:rsidRDefault="00CC47CA" w:rsidP="00451F35">
            <w:pPr>
              <w:numPr>
                <w:ilvl w:val="0"/>
                <w:numId w:val="9"/>
              </w:numPr>
              <w:tabs>
                <w:tab w:val="clear" w:pos="720"/>
                <w:tab w:val="num" w:pos="420"/>
              </w:tabs>
              <w:ind w:left="420" w:hanging="420"/>
              <w:rPr>
                <w:sz w:val="24"/>
              </w:rPr>
            </w:pPr>
            <w:r>
              <w:rPr>
                <w:sz w:val="24"/>
              </w:rPr>
              <w:t>Evaluation of Service and Fare Changes</w:t>
            </w:r>
          </w:p>
        </w:tc>
        <w:tc>
          <w:tcPr>
            <w:tcW w:w="1080" w:type="dxa"/>
          </w:tcPr>
          <w:p w:rsidR="00451F35" w:rsidRDefault="00613C0F" w:rsidP="00300EFE">
            <w:pPr>
              <w:jc w:val="center"/>
              <w:rPr>
                <w:sz w:val="24"/>
              </w:rPr>
            </w:pPr>
            <w:r>
              <w:rPr>
                <w:sz w:val="24"/>
              </w:rPr>
              <w:t>D</w:t>
            </w:r>
          </w:p>
        </w:tc>
        <w:tc>
          <w:tcPr>
            <w:tcW w:w="2070" w:type="dxa"/>
          </w:tcPr>
          <w:p w:rsidR="00451F35" w:rsidRPr="00AA5D01" w:rsidRDefault="006941AE" w:rsidP="00300EFE">
            <w:pPr>
              <w:ind w:left="45"/>
              <w:rPr>
                <w:sz w:val="24"/>
                <w:szCs w:val="24"/>
              </w:rPr>
            </w:pPr>
            <w:r>
              <w:rPr>
                <w:sz w:val="24"/>
                <w:szCs w:val="24"/>
              </w:rPr>
              <w:t>Impact of fare and/or service changes not adequately examined</w:t>
            </w:r>
          </w:p>
        </w:tc>
        <w:tc>
          <w:tcPr>
            <w:tcW w:w="2520" w:type="dxa"/>
          </w:tcPr>
          <w:p w:rsidR="00451F35" w:rsidRPr="00034C4A" w:rsidRDefault="00C47F39" w:rsidP="00C47F39">
            <w:pPr>
              <w:rPr>
                <w:sz w:val="24"/>
                <w:szCs w:val="24"/>
              </w:rPr>
            </w:pPr>
            <w:r w:rsidRPr="00C47F39">
              <w:rPr>
                <w:sz w:val="24"/>
                <w:szCs w:val="24"/>
              </w:rPr>
              <w:t xml:space="preserve">SANDAG must submit to the FTA Equal Opportunity Specialist in the FTA Headquarters Office of Civil Rights confirmation that its newly developed process for evaluating significant system-wide service changes has been adopted by its Board of Directors. </w:t>
            </w:r>
          </w:p>
        </w:tc>
        <w:tc>
          <w:tcPr>
            <w:tcW w:w="1260" w:type="dxa"/>
          </w:tcPr>
          <w:p w:rsidR="00451F35" w:rsidRDefault="00CA12B2" w:rsidP="00300EFE">
            <w:pPr>
              <w:jc w:val="center"/>
              <w:rPr>
                <w:sz w:val="24"/>
              </w:rPr>
            </w:pPr>
            <w:r w:rsidRPr="003A0B73">
              <w:rPr>
                <w:sz w:val="24"/>
              </w:rPr>
              <w:t>4/7/2012</w:t>
            </w:r>
          </w:p>
        </w:tc>
        <w:tc>
          <w:tcPr>
            <w:tcW w:w="1481" w:type="dxa"/>
          </w:tcPr>
          <w:p w:rsidR="00451F35" w:rsidRDefault="00353980" w:rsidP="00300EFE">
            <w:pPr>
              <w:jc w:val="center"/>
              <w:rPr>
                <w:sz w:val="24"/>
              </w:rPr>
            </w:pPr>
            <w:r>
              <w:rPr>
                <w:sz w:val="24"/>
              </w:rPr>
              <w:t>9/30/2011</w:t>
            </w:r>
          </w:p>
        </w:tc>
      </w:tr>
      <w:tr w:rsidR="00EE009B" w:rsidTr="00295271">
        <w:tc>
          <w:tcPr>
            <w:tcW w:w="10841" w:type="dxa"/>
            <w:gridSpan w:val="6"/>
          </w:tcPr>
          <w:p w:rsidR="00EE009B" w:rsidRPr="00CC47CA" w:rsidRDefault="00EE009B" w:rsidP="00300EFE">
            <w:pPr>
              <w:jc w:val="center"/>
              <w:rPr>
                <w:b/>
                <w:sz w:val="24"/>
                <w:szCs w:val="24"/>
              </w:rPr>
            </w:pPr>
            <w:r w:rsidRPr="00CC47CA">
              <w:rPr>
                <w:b/>
                <w:sz w:val="24"/>
                <w:szCs w:val="24"/>
              </w:rPr>
              <w:t>PROGRAM-SPECIFIC GUIDANCE FOR METROPOLITAN TRANSPORTATION PLANNING ORGANIZATIONS</w:t>
            </w:r>
            <w:r w:rsidR="00CC47CA">
              <w:rPr>
                <w:b/>
                <w:sz w:val="24"/>
                <w:szCs w:val="24"/>
              </w:rPr>
              <w:t xml:space="preserve"> – FTA C. 4702.1A. VII, 1</w:t>
            </w:r>
          </w:p>
        </w:tc>
      </w:tr>
      <w:tr w:rsidR="00451F35" w:rsidTr="009C023A">
        <w:tc>
          <w:tcPr>
            <w:tcW w:w="2430" w:type="dxa"/>
          </w:tcPr>
          <w:p w:rsidR="00451F35" w:rsidRDefault="00CC47CA" w:rsidP="00451F35">
            <w:pPr>
              <w:numPr>
                <w:ilvl w:val="0"/>
                <w:numId w:val="9"/>
              </w:numPr>
              <w:tabs>
                <w:tab w:val="clear" w:pos="720"/>
                <w:tab w:val="num" w:pos="420"/>
              </w:tabs>
              <w:ind w:left="420" w:hanging="420"/>
              <w:rPr>
                <w:sz w:val="24"/>
              </w:rPr>
            </w:pPr>
            <w:r>
              <w:rPr>
                <w:sz w:val="24"/>
              </w:rPr>
              <w:t>Demographic Profile</w:t>
            </w:r>
          </w:p>
        </w:tc>
        <w:tc>
          <w:tcPr>
            <w:tcW w:w="1080" w:type="dxa"/>
          </w:tcPr>
          <w:p w:rsidR="00451F35" w:rsidRDefault="00613C0F" w:rsidP="00300EFE">
            <w:pPr>
              <w:jc w:val="center"/>
              <w:rPr>
                <w:sz w:val="24"/>
              </w:rPr>
            </w:pPr>
            <w:r>
              <w:rPr>
                <w:sz w:val="24"/>
              </w:rPr>
              <w:t>ND</w:t>
            </w:r>
          </w:p>
        </w:tc>
        <w:tc>
          <w:tcPr>
            <w:tcW w:w="2070" w:type="dxa"/>
          </w:tcPr>
          <w:p w:rsidR="00451F35" w:rsidRDefault="00451F35" w:rsidP="00300EFE">
            <w:pPr>
              <w:ind w:left="45"/>
              <w:rPr>
                <w:sz w:val="24"/>
              </w:rPr>
            </w:pPr>
          </w:p>
        </w:tc>
        <w:tc>
          <w:tcPr>
            <w:tcW w:w="2520" w:type="dxa"/>
          </w:tcPr>
          <w:p w:rsidR="00451F35" w:rsidRPr="00C5043B" w:rsidRDefault="00451F35" w:rsidP="00300EFE">
            <w:pPr>
              <w:rPr>
                <w:sz w:val="24"/>
              </w:rPr>
            </w:pPr>
          </w:p>
        </w:tc>
        <w:tc>
          <w:tcPr>
            <w:tcW w:w="1260" w:type="dxa"/>
          </w:tcPr>
          <w:p w:rsidR="00451F35" w:rsidRDefault="00451F35" w:rsidP="00300EFE">
            <w:pPr>
              <w:pStyle w:val="Heading9"/>
              <w:spacing w:line="240" w:lineRule="auto"/>
              <w:ind w:left="45"/>
            </w:pPr>
          </w:p>
        </w:tc>
        <w:tc>
          <w:tcPr>
            <w:tcW w:w="1481" w:type="dxa"/>
          </w:tcPr>
          <w:p w:rsidR="00451F35" w:rsidRDefault="00451F35" w:rsidP="00300EFE">
            <w:pPr>
              <w:jc w:val="center"/>
            </w:pPr>
          </w:p>
        </w:tc>
      </w:tr>
      <w:tr w:rsidR="00451F35" w:rsidTr="009C023A">
        <w:tc>
          <w:tcPr>
            <w:tcW w:w="2430" w:type="dxa"/>
          </w:tcPr>
          <w:p w:rsidR="00451F35" w:rsidRDefault="00CC47CA" w:rsidP="00451F35">
            <w:pPr>
              <w:numPr>
                <w:ilvl w:val="0"/>
                <w:numId w:val="9"/>
              </w:numPr>
              <w:tabs>
                <w:tab w:val="clear" w:pos="720"/>
                <w:tab w:val="num" w:pos="420"/>
              </w:tabs>
              <w:ind w:left="420" w:hanging="420"/>
              <w:rPr>
                <w:sz w:val="24"/>
              </w:rPr>
            </w:pPr>
            <w:r>
              <w:rPr>
                <w:sz w:val="24"/>
              </w:rPr>
              <w:t>Metropolitan Planning Process</w:t>
            </w:r>
          </w:p>
        </w:tc>
        <w:tc>
          <w:tcPr>
            <w:tcW w:w="1080" w:type="dxa"/>
          </w:tcPr>
          <w:p w:rsidR="00451F35" w:rsidRPr="003A0B73" w:rsidRDefault="00D45A6E" w:rsidP="00300EFE">
            <w:pPr>
              <w:jc w:val="center"/>
              <w:rPr>
                <w:sz w:val="24"/>
              </w:rPr>
            </w:pPr>
            <w:r w:rsidRPr="003A0B73">
              <w:rPr>
                <w:sz w:val="24"/>
              </w:rPr>
              <w:t>AC</w:t>
            </w:r>
          </w:p>
        </w:tc>
        <w:tc>
          <w:tcPr>
            <w:tcW w:w="2070" w:type="dxa"/>
          </w:tcPr>
          <w:p w:rsidR="00451F35" w:rsidRPr="003A0B73" w:rsidRDefault="002567E3">
            <w:pPr>
              <w:pStyle w:val="Outlinea"/>
              <w:tabs>
                <w:tab w:val="clear" w:pos="720"/>
              </w:tabs>
              <w:ind w:left="60" w:firstLine="0"/>
            </w:pPr>
            <w:r w:rsidRPr="003A0B73">
              <w:rPr>
                <w:szCs w:val="24"/>
              </w:rPr>
              <w:t xml:space="preserve">SANDAG </w:t>
            </w:r>
            <w:r w:rsidR="009A2651" w:rsidRPr="003A0B73">
              <w:rPr>
                <w:szCs w:val="24"/>
              </w:rPr>
              <w:t>wa</w:t>
            </w:r>
            <w:r w:rsidRPr="003A0B73">
              <w:rPr>
                <w:szCs w:val="24"/>
              </w:rPr>
              <w:t xml:space="preserve">s advised to </w:t>
            </w:r>
            <w:r w:rsidR="009A2651" w:rsidRPr="003A0B73">
              <w:rPr>
                <w:szCs w:val="24"/>
              </w:rPr>
              <w:t>have</w:t>
            </w:r>
            <w:r w:rsidRPr="003A0B73">
              <w:rPr>
                <w:szCs w:val="24"/>
              </w:rPr>
              <w:t xml:space="preserve"> a transportation planning process </w:t>
            </w:r>
            <w:r w:rsidRPr="003A0B73">
              <w:rPr>
                <w:szCs w:val="24"/>
              </w:rPr>
              <w:lastRenderedPageBreak/>
              <w:t xml:space="preserve">in the development of its Regional Transportation Improvement Program (RTIP) that identifies the needs of low-income and minority populations.  </w:t>
            </w:r>
          </w:p>
        </w:tc>
        <w:tc>
          <w:tcPr>
            <w:tcW w:w="2520" w:type="dxa"/>
          </w:tcPr>
          <w:p w:rsidR="00451F35" w:rsidRPr="001F43AA" w:rsidRDefault="00451F35" w:rsidP="00AE50E6">
            <w:pPr>
              <w:ind w:left="45"/>
              <w:rPr>
                <w:sz w:val="24"/>
                <w:szCs w:val="24"/>
              </w:rPr>
            </w:pPr>
          </w:p>
        </w:tc>
        <w:tc>
          <w:tcPr>
            <w:tcW w:w="1260" w:type="dxa"/>
          </w:tcPr>
          <w:p w:rsidR="00451F35" w:rsidRDefault="00451F35" w:rsidP="00300EFE">
            <w:pPr>
              <w:pStyle w:val="Heading9"/>
              <w:spacing w:line="240" w:lineRule="auto"/>
              <w:ind w:left="45"/>
            </w:pPr>
          </w:p>
        </w:tc>
        <w:tc>
          <w:tcPr>
            <w:tcW w:w="1481" w:type="dxa"/>
          </w:tcPr>
          <w:p w:rsidR="00451F35" w:rsidRDefault="00451F35" w:rsidP="00300EFE">
            <w:pPr>
              <w:jc w:val="center"/>
              <w:rPr>
                <w:sz w:val="24"/>
              </w:rPr>
            </w:pPr>
          </w:p>
        </w:tc>
      </w:tr>
      <w:tr w:rsidR="00451F35" w:rsidTr="009C023A">
        <w:tc>
          <w:tcPr>
            <w:tcW w:w="2430" w:type="dxa"/>
          </w:tcPr>
          <w:p w:rsidR="00451F35" w:rsidRDefault="00613C0F" w:rsidP="00451F35">
            <w:pPr>
              <w:numPr>
                <w:ilvl w:val="0"/>
                <w:numId w:val="9"/>
              </w:numPr>
              <w:tabs>
                <w:tab w:val="clear" w:pos="720"/>
                <w:tab w:val="num" w:pos="420"/>
              </w:tabs>
              <w:ind w:left="420" w:hanging="420"/>
              <w:rPr>
                <w:sz w:val="24"/>
              </w:rPr>
            </w:pPr>
            <w:r>
              <w:rPr>
                <w:sz w:val="24"/>
              </w:rPr>
              <w:lastRenderedPageBreak/>
              <w:t>A</w:t>
            </w:r>
            <w:r w:rsidR="00CC47CA">
              <w:rPr>
                <w:sz w:val="24"/>
              </w:rPr>
              <w:t>n</w:t>
            </w:r>
            <w:r>
              <w:rPr>
                <w:sz w:val="24"/>
              </w:rPr>
              <w:t>a</w:t>
            </w:r>
            <w:r w:rsidR="00CC47CA">
              <w:rPr>
                <w:sz w:val="24"/>
              </w:rPr>
              <w:t>lytical Process for Identifying Impacts</w:t>
            </w:r>
          </w:p>
        </w:tc>
        <w:tc>
          <w:tcPr>
            <w:tcW w:w="1080" w:type="dxa"/>
          </w:tcPr>
          <w:p w:rsidR="00451F35" w:rsidRPr="003A0B73" w:rsidRDefault="00AE50E6" w:rsidP="00300EFE">
            <w:pPr>
              <w:jc w:val="center"/>
              <w:rPr>
                <w:sz w:val="24"/>
              </w:rPr>
            </w:pPr>
            <w:r w:rsidRPr="003A0B73">
              <w:rPr>
                <w:sz w:val="24"/>
              </w:rPr>
              <w:t>AC</w:t>
            </w:r>
          </w:p>
        </w:tc>
        <w:tc>
          <w:tcPr>
            <w:tcW w:w="2070" w:type="dxa"/>
          </w:tcPr>
          <w:p w:rsidR="00451F35" w:rsidRPr="003A0B73" w:rsidRDefault="002567E3">
            <w:pPr>
              <w:pStyle w:val="ReferenceLine"/>
            </w:pPr>
            <w:r w:rsidRPr="003A0B73">
              <w:rPr>
                <w:szCs w:val="24"/>
              </w:rPr>
              <w:t xml:space="preserve">SANDAG </w:t>
            </w:r>
            <w:r w:rsidR="009A2651" w:rsidRPr="003A0B73">
              <w:rPr>
                <w:szCs w:val="24"/>
              </w:rPr>
              <w:t>wa</w:t>
            </w:r>
            <w:r w:rsidRPr="003A0B73">
              <w:rPr>
                <w:szCs w:val="24"/>
              </w:rPr>
              <w:t xml:space="preserve">s advised to </w:t>
            </w:r>
            <w:r w:rsidR="009A2651" w:rsidRPr="003A0B73">
              <w:rPr>
                <w:szCs w:val="24"/>
              </w:rPr>
              <w:t>have an</w:t>
            </w:r>
            <w:r w:rsidRPr="003A0B73">
              <w:rPr>
                <w:szCs w:val="24"/>
              </w:rPr>
              <w:t xml:space="preserve"> analytical process in the development of the RTIP that identifies the benefits and burdens of metropolitan transportation system investments for different socioeconomic groups.</w:t>
            </w:r>
          </w:p>
        </w:tc>
        <w:tc>
          <w:tcPr>
            <w:tcW w:w="2520" w:type="dxa"/>
          </w:tcPr>
          <w:p w:rsidR="00451F35" w:rsidRPr="00CC78EE" w:rsidRDefault="00451F35" w:rsidP="00AE50E6">
            <w:pPr>
              <w:pStyle w:val="ReferenceLine"/>
              <w:numPr>
                <w:ilvl w:val="0"/>
                <w:numId w:val="14"/>
              </w:numPr>
              <w:tabs>
                <w:tab w:val="num" w:pos="0"/>
              </w:tabs>
              <w:ind w:left="0" w:hanging="720"/>
              <w:rPr>
                <w:szCs w:val="24"/>
              </w:rPr>
            </w:pPr>
          </w:p>
        </w:tc>
        <w:tc>
          <w:tcPr>
            <w:tcW w:w="1260" w:type="dxa"/>
          </w:tcPr>
          <w:p w:rsidR="00451F35" w:rsidRDefault="00451F35" w:rsidP="00300EFE">
            <w:pPr>
              <w:pStyle w:val="Heading9"/>
              <w:spacing w:line="240" w:lineRule="auto"/>
            </w:pPr>
          </w:p>
        </w:tc>
        <w:tc>
          <w:tcPr>
            <w:tcW w:w="1481" w:type="dxa"/>
          </w:tcPr>
          <w:p w:rsidR="00451F35" w:rsidRPr="009208E6" w:rsidRDefault="00451F35" w:rsidP="00300EFE">
            <w:pPr>
              <w:jc w:val="center"/>
              <w:rPr>
                <w:sz w:val="24"/>
                <w:szCs w:val="24"/>
              </w:rPr>
            </w:pPr>
          </w:p>
        </w:tc>
      </w:tr>
    </w:tbl>
    <w:p w:rsidR="00451F35" w:rsidRDefault="00451F35" w:rsidP="00451F35">
      <w:pPr>
        <w:ind w:left="-180"/>
      </w:pPr>
      <w:r>
        <w:t>Findings at the time of the site visit:  ND = No Deficiencies</w:t>
      </w:r>
      <w:proofErr w:type="gramStart"/>
      <w:r>
        <w:t>;  D</w:t>
      </w:r>
      <w:proofErr w:type="gramEnd"/>
      <w:r>
        <w:t xml:space="preserve"> = Deficiency;  NA = Not Applicable; </w:t>
      </w:r>
    </w:p>
    <w:p w:rsidR="00451F35" w:rsidRDefault="00451F35" w:rsidP="00451F35">
      <w:pPr>
        <w:ind w:left="-180"/>
      </w:pPr>
      <w:r>
        <w:t>NR = Not Reviewed; AC = Advisory Comment</w:t>
      </w:r>
    </w:p>
    <w:p w:rsidR="00F80A8D" w:rsidRPr="00D3791B" w:rsidRDefault="00F80A8D" w:rsidP="00D3791B">
      <w:pPr>
        <w:pStyle w:val="BHLevel1"/>
        <w:rPr>
          <w:sz w:val="28"/>
          <w:szCs w:val="28"/>
        </w:rPr>
      </w:pPr>
      <w:r>
        <w:rPr>
          <w:bCs/>
        </w:rPr>
        <w:br w:type="page"/>
      </w:r>
      <w:bookmarkStart w:id="30" w:name="_Toc315152518"/>
      <w:r w:rsidRPr="00D3791B">
        <w:rPr>
          <w:sz w:val="28"/>
          <w:szCs w:val="28"/>
        </w:rPr>
        <w:lastRenderedPageBreak/>
        <w:t>ATTENDEES</w:t>
      </w:r>
      <w:bookmarkEnd w:id="28"/>
      <w:bookmarkEnd w:id="30"/>
    </w:p>
    <w:tbl>
      <w:tblPr>
        <w:tblW w:w="10923" w:type="dxa"/>
        <w:jc w:val="center"/>
        <w:tblInd w:w="-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tblPr>
      <w:tblGrid>
        <w:gridCol w:w="2700"/>
        <w:gridCol w:w="3601"/>
        <w:gridCol w:w="1530"/>
        <w:gridCol w:w="3092"/>
      </w:tblGrid>
      <w:tr w:rsidR="00E22E02" w:rsidRPr="00D526D1" w:rsidTr="00D625B8">
        <w:trPr>
          <w:cantSplit/>
          <w:trHeight w:hRule="exact" w:val="720"/>
          <w:tblHeader/>
          <w:jc w:val="center"/>
        </w:trPr>
        <w:tc>
          <w:tcPr>
            <w:tcW w:w="2700" w:type="dxa"/>
            <w:shd w:val="pct10" w:color="auto" w:fill="auto"/>
            <w:vAlign w:val="center"/>
          </w:tcPr>
          <w:p w:rsidR="00E22E02" w:rsidRPr="00D526D1" w:rsidRDefault="00E22E02" w:rsidP="00D625B8">
            <w:pPr>
              <w:jc w:val="center"/>
              <w:rPr>
                <w:b/>
                <w:sz w:val="22"/>
              </w:rPr>
            </w:pPr>
            <w:r w:rsidRPr="00D526D1">
              <w:rPr>
                <w:b/>
                <w:sz w:val="22"/>
              </w:rPr>
              <w:t>NAME</w:t>
            </w:r>
          </w:p>
        </w:tc>
        <w:tc>
          <w:tcPr>
            <w:tcW w:w="3601" w:type="dxa"/>
            <w:shd w:val="pct10" w:color="auto" w:fill="auto"/>
            <w:vAlign w:val="center"/>
          </w:tcPr>
          <w:p w:rsidR="00E22E02" w:rsidRPr="00D526D1" w:rsidRDefault="00E22E02" w:rsidP="00D625B8">
            <w:pPr>
              <w:jc w:val="center"/>
              <w:rPr>
                <w:b/>
                <w:sz w:val="22"/>
              </w:rPr>
            </w:pPr>
            <w:r>
              <w:rPr>
                <w:b/>
                <w:sz w:val="22"/>
              </w:rPr>
              <w:t>ORGANIZATION/</w:t>
            </w:r>
            <w:r w:rsidRPr="00D526D1">
              <w:rPr>
                <w:b/>
                <w:sz w:val="22"/>
              </w:rPr>
              <w:t>TITLE</w:t>
            </w:r>
          </w:p>
        </w:tc>
        <w:tc>
          <w:tcPr>
            <w:tcW w:w="1530" w:type="dxa"/>
            <w:shd w:val="pct10" w:color="auto" w:fill="auto"/>
            <w:vAlign w:val="center"/>
          </w:tcPr>
          <w:p w:rsidR="00E22E02" w:rsidRPr="00D526D1" w:rsidRDefault="00E22E02" w:rsidP="00D625B8">
            <w:pPr>
              <w:jc w:val="center"/>
              <w:rPr>
                <w:b/>
                <w:sz w:val="22"/>
              </w:rPr>
            </w:pPr>
            <w:r w:rsidRPr="00D526D1">
              <w:rPr>
                <w:b/>
                <w:sz w:val="22"/>
              </w:rPr>
              <w:t>PHONE NUMBER</w:t>
            </w:r>
          </w:p>
        </w:tc>
        <w:tc>
          <w:tcPr>
            <w:tcW w:w="3092" w:type="dxa"/>
            <w:shd w:val="pct10" w:color="auto" w:fill="auto"/>
            <w:vAlign w:val="center"/>
          </w:tcPr>
          <w:p w:rsidR="00E22E02" w:rsidRPr="00D526D1" w:rsidRDefault="00E22E02" w:rsidP="00D625B8">
            <w:pPr>
              <w:jc w:val="center"/>
              <w:rPr>
                <w:b/>
                <w:sz w:val="22"/>
              </w:rPr>
            </w:pPr>
            <w:r w:rsidRPr="00D526D1">
              <w:rPr>
                <w:b/>
                <w:sz w:val="22"/>
              </w:rPr>
              <w:t>E-MAIL ADDRESS</w:t>
            </w:r>
          </w:p>
        </w:tc>
      </w:tr>
      <w:tr w:rsidR="00E22E02" w:rsidTr="00D625B8">
        <w:trPr>
          <w:cantSplit/>
          <w:jc w:val="center"/>
        </w:trPr>
        <w:tc>
          <w:tcPr>
            <w:tcW w:w="10923" w:type="dxa"/>
            <w:gridSpan w:val="4"/>
            <w:tcBorders>
              <w:top w:val="nil"/>
            </w:tcBorders>
          </w:tcPr>
          <w:p w:rsidR="00E22E02" w:rsidRDefault="00E22E02" w:rsidP="005772CD">
            <w:pPr>
              <w:rPr>
                <w:b/>
                <w:sz w:val="24"/>
              </w:rPr>
            </w:pPr>
            <w:r>
              <w:rPr>
                <w:b/>
                <w:sz w:val="24"/>
              </w:rPr>
              <w:t xml:space="preserve">GRANTEE – </w:t>
            </w:r>
            <w:r w:rsidR="005772CD">
              <w:rPr>
                <w:b/>
                <w:sz w:val="24"/>
              </w:rPr>
              <w:t>San Diego Association of Governments</w:t>
            </w:r>
            <w:r>
              <w:rPr>
                <w:b/>
                <w:sz w:val="24"/>
              </w:rPr>
              <w:t xml:space="preserve"> (</w:t>
            </w:r>
            <w:r w:rsidR="005772CD">
              <w:rPr>
                <w:b/>
                <w:sz w:val="24"/>
              </w:rPr>
              <w:t>SANDAG</w:t>
            </w:r>
            <w:r>
              <w:rPr>
                <w:b/>
                <w:sz w:val="24"/>
              </w:rPr>
              <w:t>)</w:t>
            </w:r>
          </w:p>
        </w:tc>
      </w:tr>
      <w:tr w:rsidR="00CA1585" w:rsidRPr="00E00DB7" w:rsidTr="00D625B8">
        <w:tblPrEx>
          <w:tblCellMar>
            <w:left w:w="108" w:type="dxa"/>
            <w:right w:w="108" w:type="dxa"/>
          </w:tblCellMar>
        </w:tblPrEx>
        <w:trPr>
          <w:cantSplit/>
          <w:trHeight w:val="197"/>
          <w:jc w:val="center"/>
        </w:trPr>
        <w:tc>
          <w:tcPr>
            <w:tcW w:w="2700" w:type="dxa"/>
          </w:tcPr>
          <w:p w:rsidR="00CA1585" w:rsidRPr="000D1D98" w:rsidRDefault="006E6C7C" w:rsidP="00145C5E">
            <w:pPr>
              <w:suppressAutoHyphens/>
              <w:spacing w:before="20" w:after="20"/>
            </w:pPr>
            <w:r>
              <w:t>Daniel Levy</w:t>
            </w:r>
          </w:p>
        </w:tc>
        <w:tc>
          <w:tcPr>
            <w:tcW w:w="3601" w:type="dxa"/>
          </w:tcPr>
          <w:p w:rsidR="00CA1585" w:rsidRPr="000D1D98" w:rsidRDefault="006E6C7C" w:rsidP="00EF7299">
            <w:pPr>
              <w:suppressAutoHyphens/>
              <w:spacing w:before="20" w:after="20"/>
            </w:pPr>
            <w:r>
              <w:t>Senior Transit Planner</w:t>
            </w:r>
          </w:p>
        </w:tc>
        <w:tc>
          <w:tcPr>
            <w:tcW w:w="1530" w:type="dxa"/>
          </w:tcPr>
          <w:p w:rsidR="00CA1585" w:rsidRPr="000D1D98" w:rsidRDefault="006E6C7C" w:rsidP="00145C5E">
            <w:pPr>
              <w:suppressAutoHyphens/>
              <w:spacing w:before="20" w:after="20"/>
            </w:pPr>
            <w:r>
              <w:t>619-699-6942</w:t>
            </w:r>
          </w:p>
        </w:tc>
        <w:tc>
          <w:tcPr>
            <w:tcW w:w="3092" w:type="dxa"/>
          </w:tcPr>
          <w:p w:rsidR="00CA1585" w:rsidRPr="000D1D98" w:rsidRDefault="007F764D" w:rsidP="003C68B7">
            <w:pPr>
              <w:suppressAutoHyphens/>
              <w:spacing w:before="20" w:after="20"/>
            </w:pPr>
            <w:hyperlink r:id="rId15" w:history="1">
              <w:r w:rsidR="006E6C7C" w:rsidRPr="00BA071F">
                <w:rPr>
                  <w:rStyle w:val="Hyperlink"/>
                </w:rPr>
                <w:t>dle@sandag.org</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Pr="000D1D98" w:rsidRDefault="006E6C7C" w:rsidP="00145C5E">
            <w:pPr>
              <w:suppressAutoHyphens/>
              <w:spacing w:before="20" w:after="20"/>
            </w:pPr>
            <w:r>
              <w:t>Anne Howard Steinberger</w:t>
            </w:r>
          </w:p>
        </w:tc>
        <w:tc>
          <w:tcPr>
            <w:tcW w:w="3601" w:type="dxa"/>
          </w:tcPr>
          <w:p w:rsidR="00145C5E" w:rsidRPr="000D1D98" w:rsidRDefault="006E6C7C" w:rsidP="00EF7299">
            <w:pPr>
              <w:suppressAutoHyphens/>
              <w:spacing w:before="20" w:after="20"/>
            </w:pPr>
            <w:r>
              <w:t>Marketing Manager</w:t>
            </w:r>
          </w:p>
        </w:tc>
        <w:tc>
          <w:tcPr>
            <w:tcW w:w="1530" w:type="dxa"/>
          </w:tcPr>
          <w:p w:rsidR="00145C5E" w:rsidRPr="000D1D98" w:rsidRDefault="006E6C7C" w:rsidP="00145C5E">
            <w:pPr>
              <w:suppressAutoHyphens/>
              <w:spacing w:before="20" w:after="20"/>
            </w:pPr>
            <w:r>
              <w:t>619-699-1937</w:t>
            </w:r>
          </w:p>
        </w:tc>
        <w:tc>
          <w:tcPr>
            <w:tcW w:w="3092" w:type="dxa"/>
          </w:tcPr>
          <w:p w:rsidR="00145C5E" w:rsidRPr="000D1D98" w:rsidRDefault="007F764D" w:rsidP="00145C5E">
            <w:pPr>
              <w:suppressAutoHyphens/>
              <w:spacing w:before="20" w:after="20"/>
            </w:pPr>
            <w:hyperlink r:id="rId16" w:history="1">
              <w:r w:rsidR="006E6C7C" w:rsidRPr="00BA071F">
                <w:rPr>
                  <w:rStyle w:val="Hyperlink"/>
                </w:rPr>
                <w:t>ast@sandag.org</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Pr="000D1D98" w:rsidRDefault="006E6C7C" w:rsidP="00145C5E">
            <w:pPr>
              <w:suppressAutoHyphens/>
              <w:spacing w:before="20" w:after="20"/>
            </w:pPr>
            <w:r>
              <w:t>Charles Stoll</w:t>
            </w:r>
          </w:p>
        </w:tc>
        <w:tc>
          <w:tcPr>
            <w:tcW w:w="3601" w:type="dxa"/>
          </w:tcPr>
          <w:p w:rsidR="00145C5E" w:rsidRPr="000D1D98" w:rsidRDefault="006E6C7C" w:rsidP="00EF7299">
            <w:pPr>
              <w:suppressAutoHyphens/>
              <w:spacing w:before="20" w:after="20"/>
            </w:pPr>
            <w:r>
              <w:t>Director of Land Use and Transportation Planning</w:t>
            </w:r>
          </w:p>
        </w:tc>
        <w:tc>
          <w:tcPr>
            <w:tcW w:w="1530" w:type="dxa"/>
          </w:tcPr>
          <w:p w:rsidR="00145C5E" w:rsidRPr="000D1D98" w:rsidRDefault="006E6C7C" w:rsidP="00145C5E">
            <w:pPr>
              <w:pStyle w:val="NumberList"/>
              <w:suppressAutoHyphens/>
              <w:spacing w:before="20" w:after="20"/>
              <w:rPr>
                <w:noProof w:val="0"/>
                <w:sz w:val="20"/>
              </w:rPr>
            </w:pPr>
            <w:r>
              <w:rPr>
                <w:noProof w:val="0"/>
                <w:sz w:val="20"/>
              </w:rPr>
              <w:t>619-699-6945</w:t>
            </w:r>
          </w:p>
        </w:tc>
        <w:tc>
          <w:tcPr>
            <w:tcW w:w="3092" w:type="dxa"/>
          </w:tcPr>
          <w:p w:rsidR="00145C5E" w:rsidRPr="000D1D98" w:rsidRDefault="007F764D" w:rsidP="00145C5E">
            <w:pPr>
              <w:suppressAutoHyphens/>
              <w:spacing w:before="20" w:after="20"/>
            </w:pPr>
            <w:hyperlink r:id="rId17" w:history="1">
              <w:r w:rsidR="006E6C7C" w:rsidRPr="00BA071F">
                <w:rPr>
                  <w:rStyle w:val="Hyperlink"/>
                </w:rPr>
                <w:t>mst@sandag.org</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Pr="000D1D98" w:rsidRDefault="006E6C7C" w:rsidP="00145C5E">
            <w:pPr>
              <w:suppressAutoHyphens/>
              <w:spacing w:before="20" w:after="20"/>
            </w:pPr>
            <w:r>
              <w:t>Jim Linthicum</w:t>
            </w:r>
          </w:p>
        </w:tc>
        <w:tc>
          <w:tcPr>
            <w:tcW w:w="3601" w:type="dxa"/>
          </w:tcPr>
          <w:p w:rsidR="00145C5E" w:rsidRPr="000D1D98" w:rsidRDefault="006E6C7C" w:rsidP="00EF7299">
            <w:pPr>
              <w:suppressAutoHyphens/>
              <w:spacing w:before="20" w:after="20"/>
            </w:pPr>
            <w:r>
              <w:t>Director of Mobility Management</w:t>
            </w:r>
          </w:p>
        </w:tc>
        <w:tc>
          <w:tcPr>
            <w:tcW w:w="1530" w:type="dxa"/>
          </w:tcPr>
          <w:p w:rsidR="00145C5E" w:rsidRPr="000D1D98" w:rsidRDefault="006E6C7C" w:rsidP="00145C5E">
            <w:pPr>
              <w:pStyle w:val="NumberList"/>
              <w:suppressAutoHyphens/>
              <w:spacing w:before="20" w:after="20"/>
              <w:rPr>
                <w:noProof w:val="0"/>
                <w:sz w:val="20"/>
              </w:rPr>
            </w:pPr>
            <w:r>
              <w:rPr>
                <w:noProof w:val="0"/>
                <w:sz w:val="20"/>
              </w:rPr>
              <w:t>619-699-1970</w:t>
            </w:r>
          </w:p>
        </w:tc>
        <w:tc>
          <w:tcPr>
            <w:tcW w:w="3092" w:type="dxa"/>
          </w:tcPr>
          <w:p w:rsidR="00145C5E" w:rsidRPr="000D1D98" w:rsidRDefault="007F764D" w:rsidP="00145C5E">
            <w:pPr>
              <w:suppressAutoHyphens/>
              <w:spacing w:before="20" w:after="20"/>
            </w:pPr>
            <w:hyperlink r:id="rId18" w:history="1">
              <w:r w:rsidR="006E6C7C" w:rsidRPr="00BA071F">
                <w:rPr>
                  <w:rStyle w:val="Hyperlink"/>
                </w:rPr>
                <w:t>jlin@sandag.org</w:t>
              </w:r>
            </w:hyperlink>
          </w:p>
        </w:tc>
      </w:tr>
      <w:tr w:rsidR="003E576A" w:rsidRPr="00E00DB7" w:rsidTr="00D625B8">
        <w:tblPrEx>
          <w:tblCellMar>
            <w:left w:w="108" w:type="dxa"/>
            <w:right w:w="108" w:type="dxa"/>
          </w:tblCellMar>
        </w:tblPrEx>
        <w:trPr>
          <w:cantSplit/>
          <w:trHeight w:val="197"/>
          <w:jc w:val="center"/>
        </w:trPr>
        <w:tc>
          <w:tcPr>
            <w:tcW w:w="2700" w:type="dxa"/>
          </w:tcPr>
          <w:p w:rsidR="003E576A" w:rsidRPr="000D1D98" w:rsidRDefault="006E6C7C" w:rsidP="008D07A2">
            <w:pPr>
              <w:suppressAutoHyphens/>
              <w:spacing w:before="20" w:after="20"/>
            </w:pPr>
            <w:r>
              <w:t xml:space="preserve">Kurt </w:t>
            </w:r>
            <w:proofErr w:type="spellStart"/>
            <w:r>
              <w:t>Kroninger</w:t>
            </w:r>
            <w:proofErr w:type="spellEnd"/>
          </w:p>
        </w:tc>
        <w:tc>
          <w:tcPr>
            <w:tcW w:w="3601" w:type="dxa"/>
          </w:tcPr>
          <w:p w:rsidR="003E576A" w:rsidRPr="000D1D98" w:rsidRDefault="006E6C7C" w:rsidP="00EF7299">
            <w:pPr>
              <w:suppressAutoHyphens/>
              <w:spacing w:before="20" w:after="20"/>
            </w:pPr>
            <w:r>
              <w:t>Department Director of Technical Services</w:t>
            </w:r>
          </w:p>
        </w:tc>
        <w:tc>
          <w:tcPr>
            <w:tcW w:w="1530" w:type="dxa"/>
          </w:tcPr>
          <w:p w:rsidR="003E576A" w:rsidRPr="000D1D98" w:rsidRDefault="006E6C7C" w:rsidP="008D07A2">
            <w:pPr>
              <w:pStyle w:val="NumberList"/>
              <w:suppressAutoHyphens/>
              <w:spacing w:before="20" w:after="20"/>
              <w:rPr>
                <w:noProof w:val="0"/>
                <w:sz w:val="20"/>
              </w:rPr>
            </w:pPr>
            <w:r>
              <w:rPr>
                <w:noProof w:val="0"/>
                <w:sz w:val="20"/>
              </w:rPr>
              <w:t>619-699-6996</w:t>
            </w:r>
          </w:p>
        </w:tc>
        <w:tc>
          <w:tcPr>
            <w:tcW w:w="3092" w:type="dxa"/>
          </w:tcPr>
          <w:p w:rsidR="003E576A" w:rsidRPr="000D1D98" w:rsidRDefault="007F764D" w:rsidP="008D07A2">
            <w:pPr>
              <w:suppressAutoHyphens/>
              <w:spacing w:before="20" w:after="20"/>
            </w:pPr>
            <w:hyperlink r:id="rId19" w:history="1">
              <w:r w:rsidR="006E6C7C" w:rsidRPr="00BA071F">
                <w:rPr>
                  <w:rStyle w:val="Hyperlink"/>
                </w:rPr>
                <w:t>kkr@sandag.org</w:t>
              </w:r>
            </w:hyperlink>
          </w:p>
        </w:tc>
      </w:tr>
      <w:tr w:rsidR="006E6C7C" w:rsidRPr="00E00DB7" w:rsidTr="00D625B8">
        <w:tblPrEx>
          <w:tblCellMar>
            <w:left w:w="108" w:type="dxa"/>
            <w:right w:w="108" w:type="dxa"/>
          </w:tblCellMar>
        </w:tblPrEx>
        <w:trPr>
          <w:cantSplit/>
          <w:trHeight w:val="197"/>
          <w:jc w:val="center"/>
        </w:trPr>
        <w:tc>
          <w:tcPr>
            <w:tcW w:w="2700" w:type="dxa"/>
          </w:tcPr>
          <w:p w:rsidR="006E6C7C" w:rsidRPr="000D1D98" w:rsidRDefault="006E6C7C" w:rsidP="008D07A2">
            <w:pPr>
              <w:suppressAutoHyphens/>
              <w:spacing w:before="20" w:after="20"/>
            </w:pPr>
            <w:r>
              <w:t>Laura Cote</w:t>
            </w:r>
          </w:p>
        </w:tc>
        <w:tc>
          <w:tcPr>
            <w:tcW w:w="3601" w:type="dxa"/>
          </w:tcPr>
          <w:p w:rsidR="006E6C7C" w:rsidRPr="000D1D98" w:rsidRDefault="006E6C7C" w:rsidP="00EF7299">
            <w:pPr>
              <w:suppressAutoHyphens/>
              <w:spacing w:before="20" w:after="20"/>
            </w:pPr>
            <w:r>
              <w:t>Director of Administration</w:t>
            </w:r>
          </w:p>
        </w:tc>
        <w:tc>
          <w:tcPr>
            <w:tcW w:w="1530" w:type="dxa"/>
          </w:tcPr>
          <w:p w:rsidR="006E6C7C" w:rsidRPr="000D1D98" w:rsidRDefault="006E6C7C" w:rsidP="008D07A2">
            <w:pPr>
              <w:pStyle w:val="NumberList"/>
              <w:suppressAutoHyphens/>
              <w:spacing w:before="20" w:after="20"/>
              <w:rPr>
                <w:noProof w:val="0"/>
                <w:sz w:val="20"/>
              </w:rPr>
            </w:pPr>
            <w:r>
              <w:rPr>
                <w:noProof w:val="0"/>
                <w:sz w:val="20"/>
              </w:rPr>
              <w:t>619-699-6947</w:t>
            </w:r>
          </w:p>
        </w:tc>
        <w:tc>
          <w:tcPr>
            <w:tcW w:w="3092" w:type="dxa"/>
          </w:tcPr>
          <w:p w:rsidR="006E6C7C" w:rsidRPr="000D1D98" w:rsidRDefault="007F764D" w:rsidP="008D07A2">
            <w:pPr>
              <w:suppressAutoHyphens/>
              <w:spacing w:before="20" w:after="20"/>
            </w:pPr>
            <w:hyperlink r:id="rId20" w:history="1">
              <w:r w:rsidR="006E6C7C" w:rsidRPr="00BA071F">
                <w:rPr>
                  <w:rStyle w:val="Hyperlink"/>
                </w:rPr>
                <w:t>lco@sandag.org</w:t>
              </w:r>
            </w:hyperlink>
          </w:p>
        </w:tc>
      </w:tr>
      <w:tr w:rsidR="006E6C7C" w:rsidRPr="00E00DB7" w:rsidTr="00D625B8">
        <w:tblPrEx>
          <w:tblCellMar>
            <w:left w:w="108" w:type="dxa"/>
            <w:right w:w="108" w:type="dxa"/>
          </w:tblCellMar>
        </w:tblPrEx>
        <w:trPr>
          <w:cantSplit/>
          <w:trHeight w:val="197"/>
          <w:jc w:val="center"/>
        </w:trPr>
        <w:tc>
          <w:tcPr>
            <w:tcW w:w="2700" w:type="dxa"/>
          </w:tcPr>
          <w:p w:rsidR="006E6C7C" w:rsidRPr="000D1D98" w:rsidRDefault="006E6C7C" w:rsidP="008D07A2">
            <w:pPr>
              <w:suppressAutoHyphens/>
              <w:spacing w:before="20" w:after="20"/>
            </w:pPr>
            <w:r>
              <w:t>Julie Wiley</w:t>
            </w:r>
          </w:p>
        </w:tc>
        <w:tc>
          <w:tcPr>
            <w:tcW w:w="3601" w:type="dxa"/>
          </w:tcPr>
          <w:p w:rsidR="006E6C7C" w:rsidRPr="000D1D98" w:rsidRDefault="006E6C7C" w:rsidP="00EF7299">
            <w:pPr>
              <w:suppressAutoHyphens/>
              <w:spacing w:before="20" w:after="20"/>
            </w:pPr>
            <w:r>
              <w:t>General Counsel</w:t>
            </w:r>
          </w:p>
        </w:tc>
        <w:tc>
          <w:tcPr>
            <w:tcW w:w="1530" w:type="dxa"/>
          </w:tcPr>
          <w:p w:rsidR="006E6C7C" w:rsidRPr="000D1D98" w:rsidRDefault="006E6C7C" w:rsidP="008D07A2">
            <w:pPr>
              <w:pStyle w:val="NumberList"/>
              <w:suppressAutoHyphens/>
              <w:spacing w:before="20" w:after="20"/>
              <w:rPr>
                <w:noProof w:val="0"/>
                <w:sz w:val="20"/>
              </w:rPr>
            </w:pPr>
            <w:r>
              <w:rPr>
                <w:noProof w:val="0"/>
                <w:sz w:val="20"/>
              </w:rPr>
              <w:t>619-699-</w:t>
            </w:r>
            <w:r w:rsidR="00BA37B1">
              <w:rPr>
                <w:noProof w:val="0"/>
                <w:sz w:val="20"/>
              </w:rPr>
              <w:t>6966</w:t>
            </w:r>
          </w:p>
        </w:tc>
        <w:tc>
          <w:tcPr>
            <w:tcW w:w="3092" w:type="dxa"/>
          </w:tcPr>
          <w:p w:rsidR="006E6C7C" w:rsidRPr="000D1D98" w:rsidRDefault="007F764D" w:rsidP="008D07A2">
            <w:pPr>
              <w:suppressAutoHyphens/>
              <w:spacing w:before="20" w:after="20"/>
            </w:pPr>
            <w:hyperlink r:id="rId21" w:history="1">
              <w:r w:rsidR="00BA37B1" w:rsidRPr="00BA071F">
                <w:rPr>
                  <w:rStyle w:val="Hyperlink"/>
                </w:rPr>
                <w:t>jwi@sandag.org</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Pr="00563732" w:rsidRDefault="00117DFD" w:rsidP="00145C5E">
            <w:pPr>
              <w:suppressAutoHyphens/>
              <w:spacing w:before="20" w:after="20"/>
            </w:pPr>
            <w:r>
              <w:t>Gary Gallegos</w:t>
            </w:r>
          </w:p>
        </w:tc>
        <w:tc>
          <w:tcPr>
            <w:tcW w:w="3601" w:type="dxa"/>
          </w:tcPr>
          <w:p w:rsidR="00145C5E" w:rsidRPr="000D1D98" w:rsidRDefault="00117DFD" w:rsidP="00EF7299">
            <w:pPr>
              <w:suppressAutoHyphens/>
              <w:spacing w:before="20" w:after="20"/>
            </w:pPr>
            <w:r>
              <w:t>Executive Director</w:t>
            </w:r>
          </w:p>
        </w:tc>
        <w:tc>
          <w:tcPr>
            <w:tcW w:w="1530" w:type="dxa"/>
          </w:tcPr>
          <w:p w:rsidR="00145C5E" w:rsidRPr="000D1D98" w:rsidRDefault="00117DFD" w:rsidP="00145C5E">
            <w:pPr>
              <w:pStyle w:val="NumberList"/>
              <w:suppressAutoHyphens/>
              <w:spacing w:before="20" w:after="20"/>
              <w:rPr>
                <w:noProof w:val="0"/>
                <w:sz w:val="20"/>
              </w:rPr>
            </w:pPr>
            <w:r>
              <w:rPr>
                <w:noProof w:val="0"/>
                <w:sz w:val="20"/>
              </w:rPr>
              <w:t>619-699-</w:t>
            </w:r>
            <w:r w:rsidR="00937619">
              <w:rPr>
                <w:noProof w:val="0"/>
                <w:sz w:val="20"/>
              </w:rPr>
              <w:t>1990</w:t>
            </w:r>
          </w:p>
        </w:tc>
        <w:tc>
          <w:tcPr>
            <w:tcW w:w="3092" w:type="dxa"/>
          </w:tcPr>
          <w:p w:rsidR="00145C5E" w:rsidRPr="000D1D98" w:rsidRDefault="007F764D" w:rsidP="00145C5E">
            <w:pPr>
              <w:suppressAutoHyphens/>
              <w:spacing w:before="20" w:after="20"/>
            </w:pPr>
            <w:hyperlink r:id="rId22" w:history="1">
              <w:r w:rsidR="00937619" w:rsidRPr="00BA071F">
                <w:rPr>
                  <w:rStyle w:val="Hyperlink"/>
                </w:rPr>
                <w:t>gga@sandag.org</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Pr="000D1D98" w:rsidRDefault="00117DFD" w:rsidP="00145C5E">
            <w:pPr>
              <w:suppressAutoHyphens/>
              <w:spacing w:before="20" w:after="20"/>
            </w:pPr>
            <w:r>
              <w:t xml:space="preserve">Renee </w:t>
            </w:r>
            <w:proofErr w:type="spellStart"/>
            <w:r>
              <w:t>Wasmund</w:t>
            </w:r>
            <w:proofErr w:type="spellEnd"/>
          </w:p>
        </w:tc>
        <w:tc>
          <w:tcPr>
            <w:tcW w:w="3601" w:type="dxa"/>
          </w:tcPr>
          <w:p w:rsidR="00145C5E" w:rsidRPr="000D1D98" w:rsidRDefault="00117DFD" w:rsidP="00EF7299">
            <w:pPr>
              <w:suppressAutoHyphens/>
              <w:spacing w:before="20" w:after="20"/>
            </w:pPr>
            <w:r>
              <w:t>Chief Deputy Executive Director</w:t>
            </w:r>
          </w:p>
        </w:tc>
        <w:tc>
          <w:tcPr>
            <w:tcW w:w="1530" w:type="dxa"/>
          </w:tcPr>
          <w:p w:rsidR="00145C5E" w:rsidRPr="000D1D98" w:rsidRDefault="00117DFD" w:rsidP="00145C5E">
            <w:pPr>
              <w:suppressAutoHyphens/>
              <w:spacing w:before="20" w:after="20"/>
            </w:pPr>
            <w:r>
              <w:t>619-699-1940</w:t>
            </w:r>
          </w:p>
        </w:tc>
        <w:tc>
          <w:tcPr>
            <w:tcW w:w="3092" w:type="dxa"/>
          </w:tcPr>
          <w:p w:rsidR="00145C5E" w:rsidRPr="000D1D98" w:rsidRDefault="007F764D" w:rsidP="00145C5E">
            <w:pPr>
              <w:suppressAutoHyphens/>
              <w:spacing w:before="20" w:after="20"/>
            </w:pPr>
            <w:hyperlink r:id="rId23" w:history="1">
              <w:r w:rsidR="00117DFD" w:rsidRPr="00BA071F">
                <w:rPr>
                  <w:rStyle w:val="Hyperlink"/>
                </w:rPr>
                <w:t>rwa@sandag.org</w:t>
              </w:r>
            </w:hyperlink>
          </w:p>
        </w:tc>
      </w:tr>
      <w:tr w:rsidR="00117DFD" w:rsidRPr="00E00DB7" w:rsidTr="00D625B8">
        <w:tblPrEx>
          <w:tblCellMar>
            <w:left w:w="108" w:type="dxa"/>
            <w:right w:w="108" w:type="dxa"/>
          </w:tblCellMar>
        </w:tblPrEx>
        <w:trPr>
          <w:cantSplit/>
          <w:trHeight w:val="197"/>
          <w:jc w:val="center"/>
        </w:trPr>
        <w:tc>
          <w:tcPr>
            <w:tcW w:w="2700" w:type="dxa"/>
          </w:tcPr>
          <w:p w:rsidR="00117DFD" w:rsidRDefault="00CC66E1" w:rsidP="00145C5E">
            <w:pPr>
              <w:suppressAutoHyphens/>
              <w:spacing w:before="20" w:after="20"/>
            </w:pPr>
            <w:r>
              <w:t>Colleen Windsor</w:t>
            </w:r>
          </w:p>
        </w:tc>
        <w:tc>
          <w:tcPr>
            <w:tcW w:w="3601" w:type="dxa"/>
          </w:tcPr>
          <w:p w:rsidR="00117DFD" w:rsidRDefault="00CC66E1" w:rsidP="00EF7299">
            <w:pPr>
              <w:suppressAutoHyphens/>
              <w:spacing w:before="20" w:after="20"/>
            </w:pPr>
            <w:r>
              <w:t>Director of Communications</w:t>
            </w:r>
          </w:p>
        </w:tc>
        <w:tc>
          <w:tcPr>
            <w:tcW w:w="1530" w:type="dxa"/>
          </w:tcPr>
          <w:p w:rsidR="00117DFD" w:rsidRDefault="00CC66E1" w:rsidP="00145C5E">
            <w:pPr>
              <w:suppressAutoHyphens/>
              <w:spacing w:before="20" w:after="20"/>
            </w:pPr>
            <w:r>
              <w:t>619-699-1960</w:t>
            </w:r>
          </w:p>
        </w:tc>
        <w:tc>
          <w:tcPr>
            <w:tcW w:w="3092" w:type="dxa"/>
          </w:tcPr>
          <w:p w:rsidR="00117DFD" w:rsidRDefault="007F764D" w:rsidP="00145C5E">
            <w:pPr>
              <w:suppressAutoHyphens/>
              <w:spacing w:before="20" w:after="20"/>
            </w:pPr>
            <w:hyperlink r:id="rId24" w:history="1">
              <w:r w:rsidR="00CC66E1" w:rsidRPr="00BA071F">
                <w:rPr>
                  <w:rStyle w:val="Hyperlink"/>
                </w:rPr>
                <w:t>cwi@sandag.org</w:t>
              </w:r>
            </w:hyperlink>
          </w:p>
        </w:tc>
      </w:tr>
      <w:tr w:rsidR="00117DFD" w:rsidRPr="00E00DB7" w:rsidTr="00D625B8">
        <w:tblPrEx>
          <w:tblCellMar>
            <w:left w:w="108" w:type="dxa"/>
            <w:right w:w="108" w:type="dxa"/>
          </w:tblCellMar>
        </w:tblPrEx>
        <w:trPr>
          <w:cantSplit/>
          <w:trHeight w:val="197"/>
          <w:jc w:val="center"/>
        </w:trPr>
        <w:tc>
          <w:tcPr>
            <w:tcW w:w="2700" w:type="dxa"/>
          </w:tcPr>
          <w:p w:rsidR="00117DFD" w:rsidRDefault="000518E4" w:rsidP="00145C5E">
            <w:pPr>
              <w:suppressAutoHyphens/>
              <w:spacing w:before="20" w:after="20"/>
            </w:pPr>
            <w:r>
              <w:t>Clint Daniels</w:t>
            </w:r>
          </w:p>
        </w:tc>
        <w:tc>
          <w:tcPr>
            <w:tcW w:w="3601" w:type="dxa"/>
          </w:tcPr>
          <w:p w:rsidR="00117DFD" w:rsidRDefault="000518E4" w:rsidP="00EF7299">
            <w:pPr>
              <w:suppressAutoHyphens/>
              <w:spacing w:before="20" w:after="20"/>
            </w:pPr>
            <w:r>
              <w:t>Principal, Forecasting/Modeling</w:t>
            </w:r>
          </w:p>
        </w:tc>
        <w:tc>
          <w:tcPr>
            <w:tcW w:w="1530" w:type="dxa"/>
          </w:tcPr>
          <w:p w:rsidR="00117DFD" w:rsidRDefault="000518E4" w:rsidP="00145C5E">
            <w:pPr>
              <w:suppressAutoHyphens/>
              <w:spacing w:before="20" w:after="20"/>
            </w:pPr>
            <w:r>
              <w:t>619-699-6946</w:t>
            </w:r>
          </w:p>
        </w:tc>
        <w:tc>
          <w:tcPr>
            <w:tcW w:w="3092" w:type="dxa"/>
          </w:tcPr>
          <w:p w:rsidR="00117DFD" w:rsidRDefault="007F764D" w:rsidP="00145C5E">
            <w:pPr>
              <w:suppressAutoHyphens/>
              <w:spacing w:before="20" w:after="20"/>
            </w:pPr>
            <w:hyperlink r:id="rId25" w:history="1">
              <w:r w:rsidR="000518E4" w:rsidRPr="00BF2353">
                <w:rPr>
                  <w:rStyle w:val="Hyperlink"/>
                </w:rPr>
                <w:t>cdan@sandag.org</w:t>
              </w:r>
            </w:hyperlink>
          </w:p>
        </w:tc>
      </w:tr>
      <w:tr w:rsidR="00117DFD" w:rsidRPr="00E00DB7" w:rsidTr="00D625B8">
        <w:tblPrEx>
          <w:tblCellMar>
            <w:left w:w="108" w:type="dxa"/>
            <w:right w:w="108" w:type="dxa"/>
          </w:tblCellMar>
        </w:tblPrEx>
        <w:trPr>
          <w:cantSplit/>
          <w:trHeight w:val="197"/>
          <w:jc w:val="center"/>
        </w:trPr>
        <w:tc>
          <w:tcPr>
            <w:tcW w:w="2700" w:type="dxa"/>
          </w:tcPr>
          <w:p w:rsidR="00117DFD" w:rsidRDefault="000518E4" w:rsidP="00145C5E">
            <w:pPr>
              <w:suppressAutoHyphens/>
              <w:spacing w:before="20" w:after="20"/>
            </w:pPr>
            <w:r>
              <w:t>Rachel Kennedy</w:t>
            </w:r>
          </w:p>
        </w:tc>
        <w:tc>
          <w:tcPr>
            <w:tcW w:w="3601" w:type="dxa"/>
          </w:tcPr>
          <w:p w:rsidR="00117DFD" w:rsidRDefault="000518E4" w:rsidP="00EF7299">
            <w:pPr>
              <w:suppressAutoHyphens/>
              <w:spacing w:before="20" w:after="20"/>
            </w:pPr>
            <w:r>
              <w:t>Senior Transportation Planner</w:t>
            </w:r>
          </w:p>
        </w:tc>
        <w:tc>
          <w:tcPr>
            <w:tcW w:w="1530" w:type="dxa"/>
          </w:tcPr>
          <w:p w:rsidR="00117DFD" w:rsidRDefault="000518E4" w:rsidP="00145C5E">
            <w:pPr>
              <w:suppressAutoHyphens/>
              <w:spacing w:before="20" w:after="20"/>
            </w:pPr>
            <w:r>
              <w:t>619-699-1929</w:t>
            </w:r>
          </w:p>
        </w:tc>
        <w:tc>
          <w:tcPr>
            <w:tcW w:w="3092" w:type="dxa"/>
          </w:tcPr>
          <w:p w:rsidR="00117DFD" w:rsidRDefault="007F764D" w:rsidP="00145C5E">
            <w:pPr>
              <w:suppressAutoHyphens/>
              <w:spacing w:before="20" w:after="20"/>
            </w:pPr>
            <w:hyperlink r:id="rId26" w:history="1">
              <w:r w:rsidR="000518E4" w:rsidRPr="00BF2353">
                <w:rPr>
                  <w:rStyle w:val="Hyperlink"/>
                </w:rPr>
                <w:t>rke@sandag.org</w:t>
              </w:r>
            </w:hyperlink>
          </w:p>
        </w:tc>
      </w:tr>
      <w:tr w:rsidR="00117DFD" w:rsidRPr="00E00DB7" w:rsidTr="00D625B8">
        <w:tblPrEx>
          <w:tblCellMar>
            <w:left w:w="108" w:type="dxa"/>
            <w:right w:w="108" w:type="dxa"/>
          </w:tblCellMar>
        </w:tblPrEx>
        <w:trPr>
          <w:cantSplit/>
          <w:trHeight w:val="197"/>
          <w:jc w:val="center"/>
        </w:trPr>
        <w:tc>
          <w:tcPr>
            <w:tcW w:w="2700" w:type="dxa"/>
          </w:tcPr>
          <w:p w:rsidR="00117DFD" w:rsidRDefault="000518E4" w:rsidP="00145C5E">
            <w:pPr>
              <w:suppressAutoHyphens/>
              <w:spacing w:before="20" w:after="20"/>
            </w:pPr>
            <w:r>
              <w:t>Elisa Arias</w:t>
            </w:r>
          </w:p>
        </w:tc>
        <w:tc>
          <w:tcPr>
            <w:tcW w:w="3601" w:type="dxa"/>
          </w:tcPr>
          <w:p w:rsidR="00117DFD" w:rsidRDefault="000518E4" w:rsidP="00EF7299">
            <w:pPr>
              <w:suppressAutoHyphens/>
              <w:spacing w:before="20" w:after="20"/>
            </w:pPr>
            <w:r>
              <w:t>Principal Regional Planner</w:t>
            </w:r>
          </w:p>
        </w:tc>
        <w:tc>
          <w:tcPr>
            <w:tcW w:w="1530" w:type="dxa"/>
          </w:tcPr>
          <w:p w:rsidR="00117DFD" w:rsidRDefault="000518E4" w:rsidP="00145C5E">
            <w:pPr>
              <w:suppressAutoHyphens/>
              <w:spacing w:before="20" w:after="20"/>
            </w:pPr>
            <w:r>
              <w:t>619-699-1936</w:t>
            </w:r>
          </w:p>
        </w:tc>
        <w:tc>
          <w:tcPr>
            <w:tcW w:w="3092" w:type="dxa"/>
          </w:tcPr>
          <w:p w:rsidR="00117DFD" w:rsidRDefault="007F764D" w:rsidP="00145C5E">
            <w:pPr>
              <w:suppressAutoHyphens/>
              <w:spacing w:before="20" w:after="20"/>
            </w:pPr>
            <w:hyperlink r:id="rId27" w:history="1">
              <w:r w:rsidR="000518E4" w:rsidRPr="00BF2353">
                <w:rPr>
                  <w:rStyle w:val="Hyperlink"/>
                </w:rPr>
                <w:t>ear@sandag.org</w:t>
              </w:r>
            </w:hyperlink>
          </w:p>
        </w:tc>
      </w:tr>
      <w:tr w:rsidR="00117DFD" w:rsidRPr="00E00DB7" w:rsidTr="00D625B8">
        <w:tblPrEx>
          <w:tblCellMar>
            <w:left w:w="108" w:type="dxa"/>
            <w:right w:w="108" w:type="dxa"/>
          </w:tblCellMar>
        </w:tblPrEx>
        <w:trPr>
          <w:cantSplit/>
          <w:trHeight w:val="197"/>
          <w:jc w:val="center"/>
        </w:trPr>
        <w:tc>
          <w:tcPr>
            <w:tcW w:w="2700" w:type="dxa"/>
          </w:tcPr>
          <w:p w:rsidR="00117DFD" w:rsidRDefault="00213EBB" w:rsidP="00145C5E">
            <w:pPr>
              <w:suppressAutoHyphens/>
              <w:spacing w:before="20" w:after="20"/>
            </w:pPr>
            <w:r>
              <w:t>Dave Schumacher</w:t>
            </w:r>
          </w:p>
        </w:tc>
        <w:tc>
          <w:tcPr>
            <w:tcW w:w="3601" w:type="dxa"/>
          </w:tcPr>
          <w:p w:rsidR="00117DFD" w:rsidRDefault="00213EBB" w:rsidP="00EF7299">
            <w:pPr>
              <w:suppressAutoHyphens/>
              <w:spacing w:before="20" w:after="20"/>
            </w:pPr>
            <w:r>
              <w:t>Principal Regional Planner</w:t>
            </w:r>
          </w:p>
        </w:tc>
        <w:tc>
          <w:tcPr>
            <w:tcW w:w="1530" w:type="dxa"/>
          </w:tcPr>
          <w:p w:rsidR="00117DFD" w:rsidRDefault="00213EBB" w:rsidP="00145C5E">
            <w:pPr>
              <w:suppressAutoHyphens/>
              <w:spacing w:before="20" w:after="20"/>
            </w:pPr>
            <w:r>
              <w:t>619-699-6199</w:t>
            </w:r>
          </w:p>
        </w:tc>
        <w:tc>
          <w:tcPr>
            <w:tcW w:w="3092" w:type="dxa"/>
          </w:tcPr>
          <w:p w:rsidR="00117DFD" w:rsidRDefault="007F764D" w:rsidP="00145C5E">
            <w:pPr>
              <w:suppressAutoHyphens/>
              <w:spacing w:before="20" w:after="20"/>
            </w:pPr>
            <w:hyperlink r:id="rId28" w:history="1">
              <w:r w:rsidR="00213EBB" w:rsidRPr="00BF2353">
                <w:rPr>
                  <w:rStyle w:val="Hyperlink"/>
                </w:rPr>
                <w:t>dsc@sandag.org</w:t>
              </w:r>
            </w:hyperlink>
          </w:p>
        </w:tc>
      </w:tr>
      <w:tr w:rsidR="000518E4" w:rsidRPr="00E00DB7" w:rsidTr="00D625B8">
        <w:tblPrEx>
          <w:tblCellMar>
            <w:left w:w="108" w:type="dxa"/>
            <w:right w:w="108" w:type="dxa"/>
          </w:tblCellMar>
        </w:tblPrEx>
        <w:trPr>
          <w:cantSplit/>
          <w:trHeight w:val="197"/>
          <w:jc w:val="center"/>
        </w:trPr>
        <w:tc>
          <w:tcPr>
            <w:tcW w:w="2700" w:type="dxa"/>
          </w:tcPr>
          <w:p w:rsidR="000518E4" w:rsidRDefault="00213EBB" w:rsidP="00145C5E">
            <w:pPr>
              <w:suppressAutoHyphens/>
              <w:spacing w:before="20" w:after="20"/>
            </w:pPr>
            <w:r>
              <w:t xml:space="preserve">Coleen </w:t>
            </w:r>
            <w:proofErr w:type="spellStart"/>
            <w:r>
              <w:t>Clementson</w:t>
            </w:r>
            <w:proofErr w:type="spellEnd"/>
          </w:p>
        </w:tc>
        <w:tc>
          <w:tcPr>
            <w:tcW w:w="3601" w:type="dxa"/>
          </w:tcPr>
          <w:p w:rsidR="000518E4" w:rsidRDefault="00213EBB" w:rsidP="00EF7299">
            <w:pPr>
              <w:suppressAutoHyphens/>
              <w:spacing w:before="20" w:after="20"/>
            </w:pPr>
            <w:r>
              <w:t>Principal Planner</w:t>
            </w:r>
          </w:p>
        </w:tc>
        <w:tc>
          <w:tcPr>
            <w:tcW w:w="1530" w:type="dxa"/>
          </w:tcPr>
          <w:p w:rsidR="000518E4" w:rsidRDefault="00213EBB" w:rsidP="00145C5E">
            <w:pPr>
              <w:suppressAutoHyphens/>
              <w:spacing w:before="20" w:after="20"/>
            </w:pPr>
            <w:r>
              <w:t>619-699-1944</w:t>
            </w:r>
          </w:p>
        </w:tc>
        <w:tc>
          <w:tcPr>
            <w:tcW w:w="3092" w:type="dxa"/>
          </w:tcPr>
          <w:p w:rsidR="000518E4" w:rsidRDefault="007F764D" w:rsidP="00145C5E">
            <w:pPr>
              <w:suppressAutoHyphens/>
              <w:spacing w:before="20" w:after="20"/>
            </w:pPr>
            <w:hyperlink r:id="rId29" w:history="1">
              <w:r w:rsidR="00213EBB" w:rsidRPr="00BF2353">
                <w:rPr>
                  <w:rStyle w:val="Hyperlink"/>
                </w:rPr>
                <w:t>ccl@sandag.org</w:t>
              </w:r>
            </w:hyperlink>
          </w:p>
        </w:tc>
      </w:tr>
      <w:tr w:rsidR="000518E4" w:rsidRPr="00E00DB7" w:rsidTr="00D625B8">
        <w:tblPrEx>
          <w:tblCellMar>
            <w:left w:w="108" w:type="dxa"/>
            <w:right w:w="108" w:type="dxa"/>
          </w:tblCellMar>
        </w:tblPrEx>
        <w:trPr>
          <w:cantSplit/>
          <w:trHeight w:val="197"/>
          <w:jc w:val="center"/>
        </w:trPr>
        <w:tc>
          <w:tcPr>
            <w:tcW w:w="2700" w:type="dxa"/>
          </w:tcPr>
          <w:p w:rsidR="000518E4" w:rsidRDefault="00213EBB" w:rsidP="00145C5E">
            <w:pPr>
              <w:suppressAutoHyphens/>
              <w:spacing w:before="20" w:after="20"/>
            </w:pPr>
            <w:r>
              <w:t>Rob Rundle</w:t>
            </w:r>
          </w:p>
        </w:tc>
        <w:tc>
          <w:tcPr>
            <w:tcW w:w="3601" w:type="dxa"/>
          </w:tcPr>
          <w:p w:rsidR="000518E4" w:rsidRDefault="00213EBB" w:rsidP="00EF7299">
            <w:pPr>
              <w:suppressAutoHyphens/>
              <w:spacing w:before="20" w:after="20"/>
            </w:pPr>
            <w:r>
              <w:t>Principal Regional Planner</w:t>
            </w:r>
          </w:p>
        </w:tc>
        <w:tc>
          <w:tcPr>
            <w:tcW w:w="1530" w:type="dxa"/>
          </w:tcPr>
          <w:p w:rsidR="000518E4" w:rsidRDefault="00213EBB" w:rsidP="00145C5E">
            <w:pPr>
              <w:suppressAutoHyphens/>
              <w:spacing w:before="20" w:after="20"/>
            </w:pPr>
            <w:r>
              <w:t>619-699-6949</w:t>
            </w:r>
          </w:p>
        </w:tc>
        <w:tc>
          <w:tcPr>
            <w:tcW w:w="3092" w:type="dxa"/>
          </w:tcPr>
          <w:p w:rsidR="000518E4" w:rsidRDefault="007F764D" w:rsidP="00145C5E">
            <w:pPr>
              <w:suppressAutoHyphens/>
              <w:spacing w:before="20" w:after="20"/>
            </w:pPr>
            <w:hyperlink r:id="rId30" w:history="1">
              <w:r w:rsidR="00213EBB" w:rsidRPr="00BF2353">
                <w:rPr>
                  <w:rStyle w:val="Hyperlink"/>
                </w:rPr>
                <w:t>rru@sandag.org</w:t>
              </w:r>
            </w:hyperlink>
          </w:p>
        </w:tc>
      </w:tr>
      <w:tr w:rsidR="000518E4" w:rsidRPr="00E00DB7" w:rsidTr="00D625B8">
        <w:tblPrEx>
          <w:tblCellMar>
            <w:left w:w="108" w:type="dxa"/>
            <w:right w:w="108" w:type="dxa"/>
          </w:tblCellMar>
        </w:tblPrEx>
        <w:trPr>
          <w:cantSplit/>
          <w:trHeight w:val="197"/>
          <w:jc w:val="center"/>
        </w:trPr>
        <w:tc>
          <w:tcPr>
            <w:tcW w:w="2700" w:type="dxa"/>
          </w:tcPr>
          <w:p w:rsidR="000518E4" w:rsidRDefault="00B10EEF" w:rsidP="00145C5E">
            <w:pPr>
              <w:suppressAutoHyphens/>
              <w:spacing w:before="20" w:after="20"/>
            </w:pPr>
            <w:r>
              <w:t>Jose Nun</w:t>
            </w:r>
            <w:r w:rsidR="00453607">
              <w:t>cio</w:t>
            </w:r>
          </w:p>
        </w:tc>
        <w:tc>
          <w:tcPr>
            <w:tcW w:w="3601" w:type="dxa"/>
          </w:tcPr>
          <w:p w:rsidR="000518E4" w:rsidRDefault="00B10EEF" w:rsidP="00EF7299">
            <w:pPr>
              <w:suppressAutoHyphens/>
              <w:spacing w:before="20" w:after="20"/>
            </w:pPr>
            <w:r>
              <w:t>Principal Engineer</w:t>
            </w:r>
          </w:p>
        </w:tc>
        <w:tc>
          <w:tcPr>
            <w:tcW w:w="1530" w:type="dxa"/>
          </w:tcPr>
          <w:p w:rsidR="000518E4" w:rsidRDefault="00B10EEF" w:rsidP="00145C5E">
            <w:pPr>
              <w:suppressAutoHyphens/>
              <w:spacing w:before="20" w:after="20"/>
            </w:pPr>
            <w:r>
              <w:t>619-699-1908</w:t>
            </w:r>
          </w:p>
        </w:tc>
        <w:tc>
          <w:tcPr>
            <w:tcW w:w="3092" w:type="dxa"/>
          </w:tcPr>
          <w:p w:rsidR="000518E4" w:rsidRDefault="007F764D" w:rsidP="00145C5E">
            <w:pPr>
              <w:suppressAutoHyphens/>
              <w:spacing w:before="20" w:after="20"/>
            </w:pPr>
            <w:hyperlink r:id="rId31" w:history="1">
              <w:r w:rsidR="00B10EEF" w:rsidRPr="00BF2353">
                <w:rPr>
                  <w:rStyle w:val="Hyperlink"/>
                </w:rPr>
                <w:t>jnu@sandag.org</w:t>
              </w:r>
            </w:hyperlink>
          </w:p>
        </w:tc>
      </w:tr>
      <w:tr w:rsidR="000518E4" w:rsidRPr="00E00DB7" w:rsidTr="00D625B8">
        <w:tblPrEx>
          <w:tblCellMar>
            <w:left w:w="108" w:type="dxa"/>
            <w:right w:w="108" w:type="dxa"/>
          </w:tblCellMar>
        </w:tblPrEx>
        <w:trPr>
          <w:cantSplit/>
          <w:trHeight w:val="197"/>
          <w:jc w:val="center"/>
        </w:trPr>
        <w:tc>
          <w:tcPr>
            <w:tcW w:w="2700" w:type="dxa"/>
          </w:tcPr>
          <w:p w:rsidR="000518E4" w:rsidRDefault="00453607" w:rsidP="00145C5E">
            <w:pPr>
              <w:suppressAutoHyphens/>
              <w:spacing w:before="20" w:after="20"/>
            </w:pPr>
            <w:r>
              <w:t xml:space="preserve">Jane </w:t>
            </w:r>
            <w:proofErr w:type="spellStart"/>
            <w:r>
              <w:t>Riquelme</w:t>
            </w:r>
            <w:proofErr w:type="spellEnd"/>
          </w:p>
        </w:tc>
        <w:tc>
          <w:tcPr>
            <w:tcW w:w="3601" w:type="dxa"/>
          </w:tcPr>
          <w:p w:rsidR="000518E4" w:rsidRDefault="00453607" w:rsidP="00EF7299">
            <w:pPr>
              <w:suppressAutoHyphens/>
              <w:spacing w:before="20" w:after="20"/>
            </w:pPr>
            <w:r>
              <w:t>Senior Regional Planner</w:t>
            </w:r>
          </w:p>
        </w:tc>
        <w:tc>
          <w:tcPr>
            <w:tcW w:w="1530" w:type="dxa"/>
          </w:tcPr>
          <w:p w:rsidR="000518E4" w:rsidRDefault="00453607" w:rsidP="00145C5E">
            <w:pPr>
              <w:suppressAutoHyphens/>
              <w:spacing w:before="20" w:after="20"/>
            </w:pPr>
            <w:r>
              <w:t>619-699-1909</w:t>
            </w:r>
          </w:p>
        </w:tc>
        <w:tc>
          <w:tcPr>
            <w:tcW w:w="3092" w:type="dxa"/>
          </w:tcPr>
          <w:p w:rsidR="000518E4" w:rsidRDefault="007F764D" w:rsidP="00145C5E">
            <w:pPr>
              <w:suppressAutoHyphens/>
              <w:spacing w:before="20" w:after="20"/>
            </w:pPr>
            <w:hyperlink r:id="rId32" w:history="1">
              <w:r w:rsidR="00453607" w:rsidRPr="00BF2353">
                <w:rPr>
                  <w:rStyle w:val="Hyperlink"/>
                </w:rPr>
                <w:t>jcl@sandag.org</w:t>
              </w:r>
            </w:hyperlink>
          </w:p>
        </w:tc>
      </w:tr>
      <w:tr w:rsidR="000518E4" w:rsidRPr="00E00DB7" w:rsidTr="00D625B8">
        <w:tblPrEx>
          <w:tblCellMar>
            <w:left w:w="108" w:type="dxa"/>
            <w:right w:w="108" w:type="dxa"/>
          </w:tblCellMar>
        </w:tblPrEx>
        <w:trPr>
          <w:cantSplit/>
          <w:trHeight w:val="197"/>
          <w:jc w:val="center"/>
        </w:trPr>
        <w:tc>
          <w:tcPr>
            <w:tcW w:w="2700" w:type="dxa"/>
          </w:tcPr>
          <w:p w:rsidR="000518E4" w:rsidRDefault="000518E4" w:rsidP="00145C5E">
            <w:pPr>
              <w:suppressAutoHyphens/>
              <w:spacing w:before="20" w:after="20"/>
            </w:pPr>
          </w:p>
        </w:tc>
        <w:tc>
          <w:tcPr>
            <w:tcW w:w="3601" w:type="dxa"/>
          </w:tcPr>
          <w:p w:rsidR="000518E4" w:rsidRDefault="000518E4" w:rsidP="008B4B3C">
            <w:pPr>
              <w:suppressAutoHyphens/>
              <w:spacing w:before="20" w:after="20"/>
            </w:pPr>
          </w:p>
        </w:tc>
        <w:tc>
          <w:tcPr>
            <w:tcW w:w="1530" w:type="dxa"/>
          </w:tcPr>
          <w:p w:rsidR="000518E4" w:rsidRDefault="000518E4" w:rsidP="00145C5E">
            <w:pPr>
              <w:suppressAutoHyphens/>
              <w:spacing w:before="20" w:after="20"/>
            </w:pPr>
          </w:p>
        </w:tc>
        <w:tc>
          <w:tcPr>
            <w:tcW w:w="3092" w:type="dxa"/>
          </w:tcPr>
          <w:p w:rsidR="000518E4" w:rsidRDefault="000518E4" w:rsidP="00145C5E">
            <w:pPr>
              <w:suppressAutoHyphens/>
              <w:spacing w:before="20" w:after="20"/>
            </w:pPr>
          </w:p>
        </w:tc>
      </w:tr>
      <w:tr w:rsidR="00E22E02" w:rsidRPr="00523022" w:rsidTr="00D625B8">
        <w:trPr>
          <w:cantSplit/>
          <w:jc w:val="center"/>
        </w:trPr>
        <w:tc>
          <w:tcPr>
            <w:tcW w:w="10923" w:type="dxa"/>
            <w:gridSpan w:val="4"/>
          </w:tcPr>
          <w:p w:rsidR="00E22E02" w:rsidRPr="00523022" w:rsidRDefault="00E22E02" w:rsidP="00D625B8">
            <w:pPr>
              <w:rPr>
                <w:b/>
                <w:sz w:val="24"/>
              </w:rPr>
            </w:pPr>
            <w:r>
              <w:rPr>
                <w:b/>
                <w:sz w:val="24"/>
              </w:rPr>
              <w:t>Federal Transit Administration – FTA</w:t>
            </w:r>
          </w:p>
        </w:tc>
      </w:tr>
      <w:tr w:rsidR="00CC66E1" w:rsidTr="00D625B8">
        <w:tblPrEx>
          <w:tblCellMar>
            <w:left w:w="108" w:type="dxa"/>
            <w:right w:w="108" w:type="dxa"/>
          </w:tblCellMar>
        </w:tblPrEx>
        <w:trPr>
          <w:cantSplit/>
          <w:jc w:val="center"/>
        </w:trPr>
        <w:tc>
          <w:tcPr>
            <w:tcW w:w="2700" w:type="dxa"/>
          </w:tcPr>
          <w:p w:rsidR="00CC66E1" w:rsidRDefault="00CC66E1" w:rsidP="00D625B8">
            <w:r>
              <w:t>Amber Ontiveros (via telephone)</w:t>
            </w:r>
          </w:p>
        </w:tc>
        <w:tc>
          <w:tcPr>
            <w:tcW w:w="3601" w:type="dxa"/>
          </w:tcPr>
          <w:p w:rsidR="00CC66E1" w:rsidRPr="00CC66E1" w:rsidRDefault="00EF7299" w:rsidP="009F4856">
            <w:r>
              <w:t>Title VI, EEO, and DBE Team Leader</w:t>
            </w:r>
            <w:r w:rsidR="00CC66E1" w:rsidRPr="00CC66E1">
              <w:t>, FTA Headquarters</w:t>
            </w:r>
          </w:p>
        </w:tc>
        <w:tc>
          <w:tcPr>
            <w:tcW w:w="1530" w:type="dxa"/>
          </w:tcPr>
          <w:p w:rsidR="00CC66E1" w:rsidRPr="00CC66E1" w:rsidRDefault="00CC66E1" w:rsidP="009F4856">
            <w:r w:rsidRPr="00CC66E1">
              <w:t>202-366-5130</w:t>
            </w:r>
          </w:p>
        </w:tc>
        <w:tc>
          <w:tcPr>
            <w:tcW w:w="3092" w:type="dxa"/>
          </w:tcPr>
          <w:p w:rsidR="00CC66E1" w:rsidRPr="00CC66E1" w:rsidRDefault="007F764D" w:rsidP="009F4856">
            <w:pPr>
              <w:pStyle w:val="Header"/>
              <w:tabs>
                <w:tab w:val="clear" w:pos="4320"/>
                <w:tab w:val="clear" w:pos="8640"/>
              </w:tabs>
            </w:pPr>
            <w:hyperlink r:id="rId33" w:history="1">
              <w:r w:rsidR="00791C68" w:rsidRPr="00BA071F">
                <w:rPr>
                  <w:rStyle w:val="Hyperlink"/>
                </w:rPr>
                <w:t>amber.ontiveros@dot.gov</w:t>
              </w:r>
            </w:hyperlink>
            <w:r w:rsidR="00CC66E1" w:rsidRPr="00CC66E1">
              <w:t xml:space="preserve"> </w:t>
            </w:r>
          </w:p>
        </w:tc>
      </w:tr>
      <w:tr w:rsidR="00EF7299" w:rsidTr="00D625B8">
        <w:tblPrEx>
          <w:tblCellMar>
            <w:left w:w="108" w:type="dxa"/>
            <w:right w:w="108" w:type="dxa"/>
          </w:tblCellMar>
        </w:tblPrEx>
        <w:trPr>
          <w:cantSplit/>
          <w:jc w:val="center"/>
        </w:trPr>
        <w:tc>
          <w:tcPr>
            <w:tcW w:w="2700" w:type="dxa"/>
          </w:tcPr>
          <w:p w:rsidR="00EF7299" w:rsidRDefault="00EF7299" w:rsidP="00D625B8">
            <w:r>
              <w:t>Derrin Jourdan</w:t>
            </w:r>
          </w:p>
        </w:tc>
        <w:tc>
          <w:tcPr>
            <w:tcW w:w="3601" w:type="dxa"/>
          </w:tcPr>
          <w:p w:rsidR="00EF7299" w:rsidRPr="00CC66E1" w:rsidRDefault="00EF7299" w:rsidP="009F4856">
            <w:r>
              <w:t>Region IX Civil Rights Officer</w:t>
            </w:r>
          </w:p>
        </w:tc>
        <w:tc>
          <w:tcPr>
            <w:tcW w:w="1530" w:type="dxa"/>
          </w:tcPr>
          <w:p w:rsidR="00EF7299" w:rsidRPr="00CC66E1" w:rsidRDefault="00EF7299" w:rsidP="009F4856">
            <w:r>
              <w:t>415-744-2729</w:t>
            </w:r>
          </w:p>
        </w:tc>
        <w:tc>
          <w:tcPr>
            <w:tcW w:w="3092" w:type="dxa"/>
          </w:tcPr>
          <w:p w:rsidR="00EF7299" w:rsidRDefault="007F764D" w:rsidP="009F4856">
            <w:pPr>
              <w:pStyle w:val="Header"/>
              <w:tabs>
                <w:tab w:val="clear" w:pos="4320"/>
                <w:tab w:val="clear" w:pos="8640"/>
              </w:tabs>
            </w:pPr>
            <w:hyperlink r:id="rId34" w:history="1">
              <w:r w:rsidR="00F26C66" w:rsidRPr="00655F0F">
                <w:rPr>
                  <w:rStyle w:val="Hyperlink"/>
                </w:rPr>
                <w:t>derrin.jourdan@dot.gov</w:t>
              </w:r>
            </w:hyperlink>
          </w:p>
        </w:tc>
      </w:tr>
      <w:tr w:rsidR="00CC66E1" w:rsidRPr="00523022" w:rsidTr="00D625B8">
        <w:trPr>
          <w:cantSplit/>
          <w:jc w:val="center"/>
        </w:trPr>
        <w:tc>
          <w:tcPr>
            <w:tcW w:w="10923" w:type="dxa"/>
            <w:gridSpan w:val="4"/>
          </w:tcPr>
          <w:p w:rsidR="00CC66E1" w:rsidRPr="00523022" w:rsidRDefault="00CC66E1" w:rsidP="00D625B8">
            <w:pPr>
              <w:rPr>
                <w:b/>
                <w:sz w:val="24"/>
              </w:rPr>
            </w:pPr>
            <w:r>
              <w:rPr>
                <w:b/>
                <w:sz w:val="24"/>
              </w:rPr>
              <w:t>REVIEW TEAM – The DMP Group, LLC</w:t>
            </w:r>
          </w:p>
        </w:tc>
      </w:tr>
      <w:tr w:rsidR="00CC66E1" w:rsidTr="00D625B8">
        <w:trPr>
          <w:cantSplit/>
          <w:jc w:val="center"/>
        </w:trPr>
        <w:tc>
          <w:tcPr>
            <w:tcW w:w="2700" w:type="dxa"/>
          </w:tcPr>
          <w:p w:rsidR="00CC66E1" w:rsidRPr="008F0120" w:rsidRDefault="00CC66E1" w:rsidP="00D625B8">
            <w:r>
              <w:t>John Potts</w:t>
            </w:r>
          </w:p>
        </w:tc>
        <w:tc>
          <w:tcPr>
            <w:tcW w:w="3601" w:type="dxa"/>
          </w:tcPr>
          <w:p w:rsidR="00CC66E1" w:rsidRPr="008F0120" w:rsidRDefault="00CC66E1" w:rsidP="00D625B8">
            <w:r w:rsidRPr="008F0120">
              <w:t>Lead Reviewer</w:t>
            </w:r>
          </w:p>
        </w:tc>
        <w:tc>
          <w:tcPr>
            <w:tcW w:w="1530" w:type="dxa"/>
          </w:tcPr>
          <w:p w:rsidR="00CC66E1" w:rsidRPr="008F0120" w:rsidRDefault="00CC66E1" w:rsidP="00A14D28">
            <w:r>
              <w:t>504-283-7661</w:t>
            </w:r>
          </w:p>
        </w:tc>
        <w:tc>
          <w:tcPr>
            <w:tcW w:w="3092" w:type="dxa"/>
          </w:tcPr>
          <w:p w:rsidR="00CC66E1" w:rsidRPr="008F0120" w:rsidRDefault="007F764D" w:rsidP="00D625B8">
            <w:hyperlink r:id="rId35" w:history="1">
              <w:r w:rsidR="00CC66E1" w:rsidRPr="00401823">
                <w:rPr>
                  <w:rStyle w:val="Hyperlink"/>
                </w:rPr>
                <w:t>johnpotts@thedmpgroup.com</w:t>
              </w:r>
            </w:hyperlink>
            <w:r w:rsidR="00CC66E1" w:rsidRPr="008F0120">
              <w:t xml:space="preserve"> </w:t>
            </w:r>
          </w:p>
        </w:tc>
      </w:tr>
      <w:tr w:rsidR="00CC66E1" w:rsidTr="00D625B8">
        <w:trPr>
          <w:cantSplit/>
          <w:jc w:val="center"/>
        </w:trPr>
        <w:tc>
          <w:tcPr>
            <w:tcW w:w="2700" w:type="dxa"/>
          </w:tcPr>
          <w:p w:rsidR="00CC66E1" w:rsidRPr="008F0120" w:rsidRDefault="00CC66E1" w:rsidP="00D625B8">
            <w:r>
              <w:t>Donald Lucas</w:t>
            </w:r>
          </w:p>
        </w:tc>
        <w:tc>
          <w:tcPr>
            <w:tcW w:w="3601" w:type="dxa"/>
          </w:tcPr>
          <w:p w:rsidR="00CC66E1" w:rsidRPr="008F0120" w:rsidRDefault="00CC66E1" w:rsidP="00D625B8">
            <w:r w:rsidRPr="008F0120">
              <w:t>Reviewer</w:t>
            </w:r>
          </w:p>
        </w:tc>
        <w:tc>
          <w:tcPr>
            <w:tcW w:w="1530" w:type="dxa"/>
          </w:tcPr>
          <w:p w:rsidR="00CC66E1" w:rsidRPr="008F0120" w:rsidRDefault="00CC66E1" w:rsidP="00D625B8">
            <w:r>
              <w:t>202-726-2630</w:t>
            </w:r>
          </w:p>
        </w:tc>
        <w:tc>
          <w:tcPr>
            <w:tcW w:w="3092" w:type="dxa"/>
          </w:tcPr>
          <w:p w:rsidR="00CC66E1" w:rsidRPr="008F0120" w:rsidRDefault="007F764D" w:rsidP="00D625B8">
            <w:hyperlink r:id="rId36" w:history="1">
              <w:r w:rsidR="00CC66E1" w:rsidRPr="00401823">
                <w:rPr>
                  <w:rStyle w:val="Hyperlink"/>
                </w:rPr>
                <w:t>donald.lucas@thedmpgroup.com</w:t>
              </w:r>
            </w:hyperlink>
          </w:p>
        </w:tc>
      </w:tr>
      <w:tr w:rsidR="00CC66E1" w:rsidTr="00D625B8">
        <w:trPr>
          <w:cantSplit/>
          <w:jc w:val="center"/>
        </w:trPr>
        <w:tc>
          <w:tcPr>
            <w:tcW w:w="2700" w:type="dxa"/>
          </w:tcPr>
          <w:p w:rsidR="00CC66E1" w:rsidRDefault="00CC66E1" w:rsidP="00D625B8">
            <w:r>
              <w:t>Khalique Davis</w:t>
            </w:r>
          </w:p>
        </w:tc>
        <w:tc>
          <w:tcPr>
            <w:tcW w:w="3601" w:type="dxa"/>
          </w:tcPr>
          <w:p w:rsidR="00CC66E1" w:rsidRPr="008F0120" w:rsidRDefault="00CC66E1" w:rsidP="00D625B8">
            <w:r>
              <w:t>Reviewer</w:t>
            </w:r>
          </w:p>
        </w:tc>
        <w:tc>
          <w:tcPr>
            <w:tcW w:w="1530" w:type="dxa"/>
          </w:tcPr>
          <w:p w:rsidR="00CC66E1" w:rsidRDefault="00CC66E1" w:rsidP="00D625B8">
            <w:r>
              <w:t>412-952-9007</w:t>
            </w:r>
          </w:p>
        </w:tc>
        <w:tc>
          <w:tcPr>
            <w:tcW w:w="3092" w:type="dxa"/>
          </w:tcPr>
          <w:p w:rsidR="00CC66E1" w:rsidRDefault="007F764D" w:rsidP="00D625B8">
            <w:hyperlink r:id="rId37" w:history="1">
              <w:r w:rsidR="000B086E" w:rsidRPr="00BA071F">
                <w:rPr>
                  <w:rStyle w:val="Hyperlink"/>
                </w:rPr>
                <w:t>khalique.davis@thedmpgroup.com</w:t>
              </w:r>
            </w:hyperlink>
          </w:p>
        </w:tc>
      </w:tr>
      <w:bookmarkEnd w:id="29"/>
    </w:tbl>
    <w:p w:rsidR="00523022" w:rsidRDefault="00523022"/>
    <w:sectPr w:rsidR="00523022" w:rsidSect="00035671">
      <w:headerReference w:type="default" r:id="rId38"/>
      <w:footerReference w:type="even" r:id="rId39"/>
      <w:footerReference w:type="default" r:id="rId40"/>
      <w:footerReference w:type="first" r:id="rId41"/>
      <w:pgSz w:w="12240" w:h="15840" w:code="1"/>
      <w:pgMar w:top="1440" w:right="1440" w:bottom="1440" w:left="1440" w:header="720" w:footer="144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F88" w:rsidRDefault="00DC1F88">
      <w:r>
        <w:separator/>
      </w:r>
    </w:p>
  </w:endnote>
  <w:endnote w:type="continuationSeparator" w:id="0">
    <w:p w:rsidR="00DC1F88" w:rsidRDefault="00DC1F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88" w:rsidRDefault="00DC1F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DC1F88" w:rsidRDefault="00DC1F8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88" w:rsidRDefault="00DC1F88">
    <w:pPr>
      <w:pStyle w:val="Footer"/>
      <w:framePr w:wrap="around" w:vAnchor="text" w:hAnchor="margin" w:xAlign="center" w:y="1"/>
      <w:jc w:val="center"/>
      <w:rPr>
        <w:rStyle w:val="PageNumber"/>
      </w:rPr>
    </w:pPr>
  </w:p>
  <w:p w:rsidR="00DC1F88" w:rsidRDefault="00DC1F88">
    <w:pPr>
      <w:pStyle w:val="Footer"/>
      <w:framePr w:wrap="around" w:vAnchor="text" w:hAnchor="margin" w:xAlign="center" w:y="1"/>
      <w:ind w:right="360"/>
      <w:jc w:val="center"/>
      <w:rPr>
        <w:rStyle w:val="PageNumber"/>
      </w:rPr>
    </w:pPr>
  </w:p>
  <w:p w:rsidR="00DC1F88" w:rsidRDefault="00DC1F88">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88" w:rsidRDefault="00DC1F88">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88" w:rsidRDefault="00DC1F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DC1F88" w:rsidRDefault="00DC1F88">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88" w:rsidRDefault="00DC1F88" w:rsidP="00F1730E">
    <w:pPr>
      <w:pStyle w:val="Footer"/>
      <w:framePr w:wrap="around" w:vAnchor="text" w:hAnchor="margin" w:xAlign="center" w:y="1"/>
      <w:ind w:right="360"/>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p w:rsidR="00DC1F88" w:rsidRDefault="00DC1F88">
    <w:pPr>
      <w:pStyle w:val="Footer"/>
      <w:jc w:val="center"/>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88" w:rsidRDefault="00DC1F8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F88" w:rsidRDefault="00DC1F88">
      <w:r>
        <w:separator/>
      </w:r>
    </w:p>
  </w:footnote>
  <w:footnote w:type="continuationSeparator" w:id="0">
    <w:p w:rsidR="00DC1F88" w:rsidRDefault="00DC1F88">
      <w:r>
        <w:continuationSeparator/>
      </w:r>
    </w:p>
  </w:footnote>
  <w:footnote w:id="1">
    <w:p w:rsidR="00DC1F88" w:rsidRDefault="00DC1F88" w:rsidP="005100E7">
      <w:pPr>
        <w:pStyle w:val="FootnoteText"/>
      </w:pPr>
      <w:r>
        <w:rPr>
          <w:rStyle w:val="FootnoteReference"/>
        </w:rPr>
        <w:footnoteRef/>
      </w:r>
      <w:r>
        <w:t xml:space="preserve"> </w:t>
      </w:r>
      <w:r>
        <w:rPr>
          <w:bCs/>
        </w:rPr>
        <w:t>Per the 2000 Census, people of Hispanic origin can be, and in most cases are, counted in two or more race categories.</w:t>
      </w:r>
    </w:p>
  </w:footnote>
  <w:footnote w:id="2">
    <w:p w:rsidR="00DC1F88" w:rsidRDefault="00DC1F88" w:rsidP="009D33CE">
      <w:pPr>
        <w:pStyle w:val="FootnoteText"/>
      </w:pPr>
      <w:r>
        <w:rPr>
          <w:rStyle w:val="FootnoteReference"/>
        </w:rPr>
        <w:footnoteRef/>
      </w:r>
      <w:r>
        <w:t xml:space="preserve"> </w:t>
      </w:r>
      <w:r>
        <w:rPr>
          <w:bCs/>
        </w:rPr>
        <w:t>Per the 2000 Census, people of Hispanic origin can be, and in most cases are, counted in two or more race categories.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88" w:rsidRDefault="00DC1F88">
    <w:pPr>
      <w:pStyle w:val="Header"/>
    </w:pPr>
  </w:p>
  <w:p w:rsidR="00DC1F88" w:rsidRDefault="00DC1F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88" w:rsidRDefault="00DC1F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0C2A1E"/>
    <w:multiLevelType w:val="hybridMultilevel"/>
    <w:tmpl w:val="FF50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F102B"/>
    <w:multiLevelType w:val="singleLevel"/>
    <w:tmpl w:val="7136B062"/>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4">
    <w:nsid w:val="14E95C24"/>
    <w:multiLevelType w:val="hybridMultilevel"/>
    <w:tmpl w:val="2540933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23EB1EC8"/>
    <w:multiLevelType w:val="hybridMultilevel"/>
    <w:tmpl w:val="288CE89A"/>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6">
    <w:nsid w:val="243D7338"/>
    <w:multiLevelType w:val="hybridMultilevel"/>
    <w:tmpl w:val="17F68F2E"/>
    <w:lvl w:ilvl="0" w:tplc="3AF2DED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2A216D4A"/>
    <w:multiLevelType w:val="hybridMultilevel"/>
    <w:tmpl w:val="14B0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A0D7C"/>
    <w:multiLevelType w:val="hybridMultilevel"/>
    <w:tmpl w:val="1BC0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BB7F49"/>
    <w:multiLevelType w:val="hybridMultilevel"/>
    <w:tmpl w:val="E5C6877A"/>
    <w:lvl w:ilvl="0" w:tplc="A796BAF0">
      <w:start w:val="1"/>
      <w:numFmt w:val="bullet"/>
      <w:lvlText w:val=""/>
      <w:lvlJc w:val="left"/>
      <w:pPr>
        <w:tabs>
          <w:tab w:val="num" w:pos="1080"/>
        </w:tabs>
        <w:ind w:left="1080" w:hanging="360"/>
      </w:pPr>
      <w:rPr>
        <w:rFonts w:ascii="Symbol" w:hAnsi="Symbol" w:hint="default"/>
      </w:rPr>
    </w:lvl>
    <w:lvl w:ilvl="1" w:tplc="7F28A4B6">
      <w:start w:val="1"/>
      <w:numFmt w:val="bullet"/>
      <w:lvlText w:val=""/>
      <w:lvlJc w:val="left"/>
      <w:pPr>
        <w:ind w:left="2160" w:hanging="720"/>
      </w:pPr>
      <w:rPr>
        <w:rFonts w:ascii="Symbol" w:hAnsi="Symbol"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7894259"/>
    <w:multiLevelType w:val="hybridMultilevel"/>
    <w:tmpl w:val="FFA02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D801753"/>
    <w:multiLevelType w:val="hybridMultilevel"/>
    <w:tmpl w:val="0896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61578"/>
    <w:multiLevelType w:val="hybridMultilevel"/>
    <w:tmpl w:val="7FBCD5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0F4AFC"/>
    <w:multiLevelType w:val="hybridMultilevel"/>
    <w:tmpl w:val="BB0EB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010870"/>
    <w:multiLevelType w:val="hybridMultilevel"/>
    <w:tmpl w:val="8230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F15E19"/>
    <w:multiLevelType w:val="singleLevel"/>
    <w:tmpl w:val="33E073C4"/>
    <w:lvl w:ilvl="0">
      <w:start w:val="1"/>
      <w:numFmt w:val="lowerLetter"/>
      <w:lvlText w:val="%1."/>
      <w:lvlJc w:val="left"/>
      <w:pPr>
        <w:tabs>
          <w:tab w:val="num" w:pos="360"/>
        </w:tabs>
        <w:ind w:left="360" w:hanging="360"/>
      </w:pPr>
    </w:lvl>
  </w:abstractNum>
  <w:abstractNum w:abstractNumId="17">
    <w:nsid w:val="4C04072D"/>
    <w:multiLevelType w:val="hybridMultilevel"/>
    <w:tmpl w:val="382203B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8">
    <w:nsid w:val="4F7B54DD"/>
    <w:multiLevelType w:val="hybridMultilevel"/>
    <w:tmpl w:val="EBB8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8D72EE"/>
    <w:multiLevelType w:val="hybridMultilevel"/>
    <w:tmpl w:val="097AEB4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535C3FA7"/>
    <w:multiLevelType w:val="hybridMultilevel"/>
    <w:tmpl w:val="303E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6165D5"/>
    <w:multiLevelType w:val="hybridMultilevel"/>
    <w:tmpl w:val="C85E6DEC"/>
    <w:lvl w:ilvl="0" w:tplc="04090019">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6565C87"/>
    <w:multiLevelType w:val="hybridMultilevel"/>
    <w:tmpl w:val="EB84BCF2"/>
    <w:lvl w:ilvl="0" w:tplc="356CE102">
      <w:start w:val="1"/>
      <w:numFmt w:val="bullet"/>
      <w:lvlText w:val=""/>
      <w:lvlJc w:val="left"/>
      <w:pPr>
        <w:tabs>
          <w:tab w:val="num" w:pos="720"/>
        </w:tabs>
        <w:ind w:left="720" w:hanging="360"/>
      </w:pPr>
      <w:rPr>
        <w:rFonts w:ascii="Symbol" w:hAnsi="Symbol" w:hint="default"/>
      </w:rPr>
    </w:lvl>
    <w:lvl w:ilvl="1" w:tplc="85024394" w:tentative="1">
      <w:start w:val="1"/>
      <w:numFmt w:val="bullet"/>
      <w:lvlText w:val="o"/>
      <w:lvlJc w:val="left"/>
      <w:pPr>
        <w:tabs>
          <w:tab w:val="num" w:pos="1440"/>
        </w:tabs>
        <w:ind w:left="1440" w:hanging="360"/>
      </w:pPr>
      <w:rPr>
        <w:rFonts w:ascii="Courier New" w:hAnsi="Courier New" w:hint="default"/>
      </w:rPr>
    </w:lvl>
    <w:lvl w:ilvl="2" w:tplc="13EA3F30" w:tentative="1">
      <w:start w:val="1"/>
      <w:numFmt w:val="bullet"/>
      <w:lvlText w:val=""/>
      <w:lvlJc w:val="left"/>
      <w:pPr>
        <w:tabs>
          <w:tab w:val="num" w:pos="2160"/>
        </w:tabs>
        <w:ind w:left="2160" w:hanging="360"/>
      </w:pPr>
      <w:rPr>
        <w:rFonts w:ascii="Wingdings" w:hAnsi="Wingdings" w:hint="default"/>
      </w:rPr>
    </w:lvl>
    <w:lvl w:ilvl="3" w:tplc="A7481E64" w:tentative="1">
      <w:start w:val="1"/>
      <w:numFmt w:val="bullet"/>
      <w:lvlText w:val=""/>
      <w:lvlJc w:val="left"/>
      <w:pPr>
        <w:tabs>
          <w:tab w:val="num" w:pos="2880"/>
        </w:tabs>
        <w:ind w:left="2880" w:hanging="360"/>
      </w:pPr>
      <w:rPr>
        <w:rFonts w:ascii="Symbol" w:hAnsi="Symbol" w:hint="default"/>
      </w:rPr>
    </w:lvl>
    <w:lvl w:ilvl="4" w:tplc="33DAA20E" w:tentative="1">
      <w:start w:val="1"/>
      <w:numFmt w:val="bullet"/>
      <w:lvlText w:val="o"/>
      <w:lvlJc w:val="left"/>
      <w:pPr>
        <w:tabs>
          <w:tab w:val="num" w:pos="3600"/>
        </w:tabs>
        <w:ind w:left="3600" w:hanging="360"/>
      </w:pPr>
      <w:rPr>
        <w:rFonts w:ascii="Courier New" w:hAnsi="Courier New" w:hint="default"/>
      </w:rPr>
    </w:lvl>
    <w:lvl w:ilvl="5" w:tplc="9808077E" w:tentative="1">
      <w:start w:val="1"/>
      <w:numFmt w:val="bullet"/>
      <w:lvlText w:val=""/>
      <w:lvlJc w:val="left"/>
      <w:pPr>
        <w:tabs>
          <w:tab w:val="num" w:pos="4320"/>
        </w:tabs>
        <w:ind w:left="4320" w:hanging="360"/>
      </w:pPr>
      <w:rPr>
        <w:rFonts w:ascii="Wingdings" w:hAnsi="Wingdings" w:hint="default"/>
      </w:rPr>
    </w:lvl>
    <w:lvl w:ilvl="6" w:tplc="F06ABC98" w:tentative="1">
      <w:start w:val="1"/>
      <w:numFmt w:val="bullet"/>
      <w:lvlText w:val=""/>
      <w:lvlJc w:val="left"/>
      <w:pPr>
        <w:tabs>
          <w:tab w:val="num" w:pos="5040"/>
        </w:tabs>
        <w:ind w:left="5040" w:hanging="360"/>
      </w:pPr>
      <w:rPr>
        <w:rFonts w:ascii="Symbol" w:hAnsi="Symbol" w:hint="default"/>
      </w:rPr>
    </w:lvl>
    <w:lvl w:ilvl="7" w:tplc="B2D06116" w:tentative="1">
      <w:start w:val="1"/>
      <w:numFmt w:val="bullet"/>
      <w:lvlText w:val="o"/>
      <w:lvlJc w:val="left"/>
      <w:pPr>
        <w:tabs>
          <w:tab w:val="num" w:pos="5760"/>
        </w:tabs>
        <w:ind w:left="5760" w:hanging="360"/>
      </w:pPr>
      <w:rPr>
        <w:rFonts w:ascii="Courier New" w:hAnsi="Courier New" w:hint="default"/>
      </w:rPr>
    </w:lvl>
    <w:lvl w:ilvl="8" w:tplc="11AC6A98" w:tentative="1">
      <w:start w:val="1"/>
      <w:numFmt w:val="bullet"/>
      <w:lvlText w:val=""/>
      <w:lvlJc w:val="left"/>
      <w:pPr>
        <w:tabs>
          <w:tab w:val="num" w:pos="6480"/>
        </w:tabs>
        <w:ind w:left="6480" w:hanging="360"/>
      </w:pPr>
      <w:rPr>
        <w:rFonts w:ascii="Wingdings" w:hAnsi="Wingdings" w:hint="default"/>
      </w:rPr>
    </w:lvl>
  </w:abstractNum>
  <w:abstractNum w:abstractNumId="23">
    <w:nsid w:val="5B2437D5"/>
    <w:multiLevelType w:val="hybridMultilevel"/>
    <w:tmpl w:val="5706EEC4"/>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5E216E3A"/>
    <w:multiLevelType w:val="hybridMultilevel"/>
    <w:tmpl w:val="EA0EC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40D23B2"/>
    <w:multiLevelType w:val="hybridMultilevel"/>
    <w:tmpl w:val="C364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175308"/>
    <w:multiLevelType w:val="singleLevel"/>
    <w:tmpl w:val="0409000F"/>
    <w:lvl w:ilvl="0">
      <w:start w:val="1"/>
      <w:numFmt w:val="decimal"/>
      <w:lvlText w:val="%1."/>
      <w:lvlJc w:val="left"/>
      <w:pPr>
        <w:tabs>
          <w:tab w:val="num" w:pos="720"/>
        </w:tabs>
        <w:ind w:left="720" w:hanging="360"/>
      </w:pPr>
    </w:lvl>
  </w:abstractNum>
  <w:abstractNum w:abstractNumId="27">
    <w:nsid w:val="6A120607"/>
    <w:multiLevelType w:val="hybridMultilevel"/>
    <w:tmpl w:val="D64CD7FE"/>
    <w:lvl w:ilvl="0" w:tplc="E48080E2">
      <w:start w:val="1"/>
      <w:numFmt w:val="bullet"/>
      <w:lvlText w:val=""/>
      <w:lvlJc w:val="left"/>
      <w:pPr>
        <w:ind w:left="720" w:hanging="360"/>
      </w:pPr>
      <w:rPr>
        <w:rFonts w:ascii="Symbol" w:hAnsi="Symbol" w:hint="default"/>
      </w:rPr>
    </w:lvl>
    <w:lvl w:ilvl="1" w:tplc="F5242DD2" w:tentative="1">
      <w:start w:val="1"/>
      <w:numFmt w:val="bullet"/>
      <w:lvlText w:val="o"/>
      <w:lvlJc w:val="left"/>
      <w:pPr>
        <w:ind w:left="1440" w:hanging="360"/>
      </w:pPr>
      <w:rPr>
        <w:rFonts w:ascii="Courier New" w:hAnsi="Courier New" w:cs="Courier New" w:hint="default"/>
      </w:rPr>
    </w:lvl>
    <w:lvl w:ilvl="2" w:tplc="3C12DEBA" w:tentative="1">
      <w:start w:val="1"/>
      <w:numFmt w:val="bullet"/>
      <w:lvlText w:val=""/>
      <w:lvlJc w:val="left"/>
      <w:pPr>
        <w:ind w:left="2160" w:hanging="360"/>
      </w:pPr>
      <w:rPr>
        <w:rFonts w:ascii="Wingdings" w:hAnsi="Wingdings" w:hint="default"/>
      </w:rPr>
    </w:lvl>
    <w:lvl w:ilvl="3" w:tplc="1DD624AE" w:tentative="1">
      <w:start w:val="1"/>
      <w:numFmt w:val="bullet"/>
      <w:lvlText w:val=""/>
      <w:lvlJc w:val="left"/>
      <w:pPr>
        <w:ind w:left="2880" w:hanging="360"/>
      </w:pPr>
      <w:rPr>
        <w:rFonts w:ascii="Symbol" w:hAnsi="Symbol" w:hint="default"/>
      </w:rPr>
    </w:lvl>
    <w:lvl w:ilvl="4" w:tplc="77DC97CE" w:tentative="1">
      <w:start w:val="1"/>
      <w:numFmt w:val="bullet"/>
      <w:lvlText w:val="o"/>
      <w:lvlJc w:val="left"/>
      <w:pPr>
        <w:ind w:left="3600" w:hanging="360"/>
      </w:pPr>
      <w:rPr>
        <w:rFonts w:ascii="Courier New" w:hAnsi="Courier New" w:cs="Courier New" w:hint="default"/>
      </w:rPr>
    </w:lvl>
    <w:lvl w:ilvl="5" w:tplc="634497FE" w:tentative="1">
      <w:start w:val="1"/>
      <w:numFmt w:val="bullet"/>
      <w:lvlText w:val=""/>
      <w:lvlJc w:val="left"/>
      <w:pPr>
        <w:ind w:left="4320" w:hanging="360"/>
      </w:pPr>
      <w:rPr>
        <w:rFonts w:ascii="Wingdings" w:hAnsi="Wingdings" w:hint="default"/>
      </w:rPr>
    </w:lvl>
    <w:lvl w:ilvl="6" w:tplc="5DAC0272" w:tentative="1">
      <w:start w:val="1"/>
      <w:numFmt w:val="bullet"/>
      <w:lvlText w:val=""/>
      <w:lvlJc w:val="left"/>
      <w:pPr>
        <w:ind w:left="5040" w:hanging="360"/>
      </w:pPr>
      <w:rPr>
        <w:rFonts w:ascii="Symbol" w:hAnsi="Symbol" w:hint="default"/>
      </w:rPr>
    </w:lvl>
    <w:lvl w:ilvl="7" w:tplc="2332B380" w:tentative="1">
      <w:start w:val="1"/>
      <w:numFmt w:val="bullet"/>
      <w:lvlText w:val="o"/>
      <w:lvlJc w:val="left"/>
      <w:pPr>
        <w:ind w:left="5760" w:hanging="360"/>
      </w:pPr>
      <w:rPr>
        <w:rFonts w:ascii="Courier New" w:hAnsi="Courier New" w:cs="Courier New" w:hint="default"/>
      </w:rPr>
    </w:lvl>
    <w:lvl w:ilvl="8" w:tplc="BCA824A2" w:tentative="1">
      <w:start w:val="1"/>
      <w:numFmt w:val="bullet"/>
      <w:lvlText w:val=""/>
      <w:lvlJc w:val="left"/>
      <w:pPr>
        <w:ind w:left="6480" w:hanging="360"/>
      </w:pPr>
      <w:rPr>
        <w:rFonts w:ascii="Wingdings" w:hAnsi="Wingdings" w:hint="default"/>
      </w:rPr>
    </w:lvl>
  </w:abstractNum>
  <w:abstractNum w:abstractNumId="28">
    <w:nsid w:val="6E225CF9"/>
    <w:multiLevelType w:val="hybridMultilevel"/>
    <w:tmpl w:val="ADE4846A"/>
    <w:lvl w:ilvl="0" w:tplc="7E74CC72">
      <w:start w:val="1"/>
      <w:numFmt w:val="bullet"/>
      <w:lvlText w:val=""/>
      <w:lvlJc w:val="left"/>
      <w:pPr>
        <w:ind w:left="360" w:hanging="360"/>
      </w:pPr>
      <w:rPr>
        <w:rFonts w:ascii="Symbol" w:hAnsi="Symbol" w:hint="default"/>
      </w:rPr>
    </w:lvl>
    <w:lvl w:ilvl="1" w:tplc="BB74EDA0">
      <w:start w:val="1"/>
      <w:numFmt w:val="bullet"/>
      <w:lvlText w:val=""/>
      <w:lvlJc w:val="left"/>
      <w:pPr>
        <w:ind w:left="1080" w:hanging="360"/>
      </w:pPr>
      <w:rPr>
        <w:rFonts w:ascii="Symbol" w:hAnsi="Symbol" w:hint="default"/>
      </w:rPr>
    </w:lvl>
    <w:lvl w:ilvl="2" w:tplc="B01828B2" w:tentative="1">
      <w:start w:val="1"/>
      <w:numFmt w:val="lowerRoman"/>
      <w:lvlText w:val="%3."/>
      <w:lvlJc w:val="right"/>
      <w:pPr>
        <w:ind w:left="1800" w:hanging="180"/>
      </w:pPr>
    </w:lvl>
    <w:lvl w:ilvl="3" w:tplc="B1C8E188" w:tentative="1">
      <w:start w:val="1"/>
      <w:numFmt w:val="decimal"/>
      <w:lvlText w:val="%4."/>
      <w:lvlJc w:val="left"/>
      <w:pPr>
        <w:ind w:left="2520" w:hanging="360"/>
      </w:pPr>
    </w:lvl>
    <w:lvl w:ilvl="4" w:tplc="D3282644" w:tentative="1">
      <w:start w:val="1"/>
      <w:numFmt w:val="lowerLetter"/>
      <w:lvlText w:val="%5."/>
      <w:lvlJc w:val="left"/>
      <w:pPr>
        <w:ind w:left="3240" w:hanging="360"/>
      </w:pPr>
    </w:lvl>
    <w:lvl w:ilvl="5" w:tplc="441069B6" w:tentative="1">
      <w:start w:val="1"/>
      <w:numFmt w:val="lowerRoman"/>
      <w:lvlText w:val="%6."/>
      <w:lvlJc w:val="right"/>
      <w:pPr>
        <w:ind w:left="3960" w:hanging="180"/>
      </w:pPr>
    </w:lvl>
    <w:lvl w:ilvl="6" w:tplc="0414C83C" w:tentative="1">
      <w:start w:val="1"/>
      <w:numFmt w:val="decimal"/>
      <w:lvlText w:val="%7."/>
      <w:lvlJc w:val="left"/>
      <w:pPr>
        <w:ind w:left="4680" w:hanging="360"/>
      </w:pPr>
    </w:lvl>
    <w:lvl w:ilvl="7" w:tplc="2C5ACD22" w:tentative="1">
      <w:start w:val="1"/>
      <w:numFmt w:val="lowerLetter"/>
      <w:lvlText w:val="%8."/>
      <w:lvlJc w:val="left"/>
      <w:pPr>
        <w:ind w:left="5400" w:hanging="360"/>
      </w:pPr>
    </w:lvl>
    <w:lvl w:ilvl="8" w:tplc="2EACE29C" w:tentative="1">
      <w:start w:val="1"/>
      <w:numFmt w:val="lowerRoman"/>
      <w:lvlText w:val="%9."/>
      <w:lvlJc w:val="right"/>
      <w:pPr>
        <w:ind w:left="6120" w:hanging="180"/>
      </w:pPr>
    </w:lvl>
  </w:abstractNum>
  <w:abstractNum w:abstractNumId="29">
    <w:nsid w:val="6ECF4481"/>
    <w:multiLevelType w:val="hybridMultilevel"/>
    <w:tmpl w:val="BBE6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9222C0"/>
    <w:multiLevelType w:val="hybridMultilevel"/>
    <w:tmpl w:val="9DA66A14"/>
    <w:lvl w:ilvl="0" w:tplc="6EF2AD18">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1">
    <w:nsid w:val="799C2CA9"/>
    <w:multiLevelType w:val="singleLevel"/>
    <w:tmpl w:val="F33A9BAE"/>
    <w:lvl w:ilvl="0">
      <w:start w:val="1"/>
      <w:numFmt w:val="upperRoman"/>
      <w:pStyle w:val="BHLevel1"/>
      <w:lvlText w:val="%1."/>
      <w:lvlJc w:val="left"/>
      <w:pPr>
        <w:tabs>
          <w:tab w:val="num" w:pos="720"/>
        </w:tabs>
        <w:ind w:left="720" w:hanging="720"/>
      </w:pPr>
      <w:rPr>
        <w:rFonts w:ascii="Times New Roman" w:hAnsi="Times New Roman" w:hint="default"/>
        <w:b/>
        <w:i w:val="0"/>
        <w:sz w:val="28"/>
        <w:u w:val="none"/>
      </w:rPr>
    </w:lvl>
  </w:abstractNum>
  <w:abstractNum w:abstractNumId="32">
    <w:nsid w:val="7D870473"/>
    <w:multiLevelType w:val="hybridMultilevel"/>
    <w:tmpl w:val="9EB047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
  </w:num>
  <w:num w:numId="3">
    <w:abstractNumId w:val="0"/>
  </w:num>
  <w:num w:numId="4">
    <w:abstractNumId w:val="26"/>
  </w:num>
  <w:num w:numId="5">
    <w:abstractNumId w:val="16"/>
  </w:num>
  <w:num w:numId="6">
    <w:abstractNumId w:val="31"/>
  </w:num>
  <w:num w:numId="7">
    <w:abstractNumId w:val="3"/>
  </w:num>
  <w:num w:numId="8">
    <w:abstractNumId w:val="22"/>
  </w:num>
  <w:num w:numId="9">
    <w:abstractNumId w:val="23"/>
  </w:num>
  <w:num w:numId="10">
    <w:abstractNumId w:val="21"/>
  </w:num>
  <w:num w:numId="11">
    <w:abstractNumId w:val="17"/>
  </w:num>
  <w:num w:numId="12">
    <w:abstractNumId w:val="30"/>
  </w:num>
  <w:num w:numId="13">
    <w:abstractNumId w:val="28"/>
  </w:num>
  <w:num w:numId="14">
    <w:abstractNumId w:val="5"/>
  </w:num>
  <w:num w:numId="15">
    <w:abstractNumId w:val="15"/>
  </w:num>
  <w:num w:numId="16">
    <w:abstractNumId w:val="19"/>
  </w:num>
  <w:num w:numId="17">
    <w:abstractNumId w:val="31"/>
  </w:num>
  <w:num w:numId="18">
    <w:abstractNumId w:val="6"/>
  </w:num>
  <w:num w:numId="19">
    <w:abstractNumId w:val="27"/>
  </w:num>
  <w:num w:numId="20">
    <w:abstractNumId w:val="24"/>
  </w:num>
  <w:num w:numId="21">
    <w:abstractNumId w:val="11"/>
  </w:num>
  <w:num w:numId="22">
    <w:abstractNumId w:val="13"/>
  </w:num>
  <w:num w:numId="23">
    <w:abstractNumId w:val="18"/>
  </w:num>
  <w:num w:numId="24">
    <w:abstractNumId w:val="29"/>
  </w:num>
  <w:num w:numId="25">
    <w:abstractNumId w:val="20"/>
  </w:num>
  <w:num w:numId="26">
    <w:abstractNumId w:val="10"/>
  </w:num>
  <w:num w:numId="27">
    <w:abstractNumId w:val="8"/>
  </w:num>
  <w:num w:numId="28">
    <w:abstractNumId w:val="25"/>
  </w:num>
  <w:num w:numId="29">
    <w:abstractNumId w:val="9"/>
  </w:num>
  <w:num w:numId="30">
    <w:abstractNumId w:val="14"/>
  </w:num>
  <w:num w:numId="31">
    <w:abstractNumId w:val="12"/>
  </w:num>
  <w:num w:numId="32">
    <w:abstractNumId w:val="2"/>
  </w:num>
  <w:num w:numId="33">
    <w:abstractNumId w:val="32"/>
  </w:num>
  <w:num w:numId="34">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14106"/>
    <w:rsid w:val="00000741"/>
    <w:rsid w:val="000019B7"/>
    <w:rsid w:val="00002E69"/>
    <w:rsid w:val="00003CF5"/>
    <w:rsid w:val="000055D5"/>
    <w:rsid w:val="00007891"/>
    <w:rsid w:val="00010922"/>
    <w:rsid w:val="00014997"/>
    <w:rsid w:val="00015E00"/>
    <w:rsid w:val="00015E41"/>
    <w:rsid w:val="0001726C"/>
    <w:rsid w:val="000229BA"/>
    <w:rsid w:val="00024D21"/>
    <w:rsid w:val="00024E21"/>
    <w:rsid w:val="00025BEE"/>
    <w:rsid w:val="000330A2"/>
    <w:rsid w:val="00034C4A"/>
    <w:rsid w:val="00035671"/>
    <w:rsid w:val="0004231E"/>
    <w:rsid w:val="00042834"/>
    <w:rsid w:val="00042F82"/>
    <w:rsid w:val="0004419D"/>
    <w:rsid w:val="00044E4A"/>
    <w:rsid w:val="00044EF7"/>
    <w:rsid w:val="00045083"/>
    <w:rsid w:val="000476A3"/>
    <w:rsid w:val="00050AAE"/>
    <w:rsid w:val="00050F9C"/>
    <w:rsid w:val="000518E4"/>
    <w:rsid w:val="000611BB"/>
    <w:rsid w:val="00061754"/>
    <w:rsid w:val="00061D44"/>
    <w:rsid w:val="00062693"/>
    <w:rsid w:val="00064AF5"/>
    <w:rsid w:val="000658ED"/>
    <w:rsid w:val="000670FA"/>
    <w:rsid w:val="000671C0"/>
    <w:rsid w:val="0006796C"/>
    <w:rsid w:val="00071824"/>
    <w:rsid w:val="00081DC2"/>
    <w:rsid w:val="00083FEF"/>
    <w:rsid w:val="00085F3E"/>
    <w:rsid w:val="00086FBD"/>
    <w:rsid w:val="00094092"/>
    <w:rsid w:val="00095186"/>
    <w:rsid w:val="000A1004"/>
    <w:rsid w:val="000A35C9"/>
    <w:rsid w:val="000A56BF"/>
    <w:rsid w:val="000A65D4"/>
    <w:rsid w:val="000A771A"/>
    <w:rsid w:val="000B086E"/>
    <w:rsid w:val="000B0ED9"/>
    <w:rsid w:val="000B116A"/>
    <w:rsid w:val="000B19E7"/>
    <w:rsid w:val="000B2EE6"/>
    <w:rsid w:val="000B3C66"/>
    <w:rsid w:val="000B5317"/>
    <w:rsid w:val="000B62C1"/>
    <w:rsid w:val="000C13DC"/>
    <w:rsid w:val="000C450A"/>
    <w:rsid w:val="000C57CE"/>
    <w:rsid w:val="000C5AF1"/>
    <w:rsid w:val="000D0924"/>
    <w:rsid w:val="000D1D98"/>
    <w:rsid w:val="000D3659"/>
    <w:rsid w:val="000D5A73"/>
    <w:rsid w:val="000E0EDD"/>
    <w:rsid w:val="000E23F3"/>
    <w:rsid w:val="000E39FF"/>
    <w:rsid w:val="000F1C0E"/>
    <w:rsid w:val="000F5188"/>
    <w:rsid w:val="000F7F86"/>
    <w:rsid w:val="001016C1"/>
    <w:rsid w:val="001033FC"/>
    <w:rsid w:val="001035FE"/>
    <w:rsid w:val="001050CE"/>
    <w:rsid w:val="001055A6"/>
    <w:rsid w:val="00110832"/>
    <w:rsid w:val="00110F04"/>
    <w:rsid w:val="001123AE"/>
    <w:rsid w:val="00115C26"/>
    <w:rsid w:val="00117DFD"/>
    <w:rsid w:val="001226FE"/>
    <w:rsid w:val="00124C35"/>
    <w:rsid w:val="00130731"/>
    <w:rsid w:val="00134B44"/>
    <w:rsid w:val="00135803"/>
    <w:rsid w:val="00136B66"/>
    <w:rsid w:val="00142881"/>
    <w:rsid w:val="00145C5E"/>
    <w:rsid w:val="001479AA"/>
    <w:rsid w:val="00151EBA"/>
    <w:rsid w:val="00153447"/>
    <w:rsid w:val="0015693C"/>
    <w:rsid w:val="00156F2E"/>
    <w:rsid w:val="00157AAA"/>
    <w:rsid w:val="00164B0B"/>
    <w:rsid w:val="001650B4"/>
    <w:rsid w:val="0016772D"/>
    <w:rsid w:val="001712C1"/>
    <w:rsid w:val="001742B4"/>
    <w:rsid w:val="00174DCA"/>
    <w:rsid w:val="00175368"/>
    <w:rsid w:val="00176420"/>
    <w:rsid w:val="00180653"/>
    <w:rsid w:val="001811A1"/>
    <w:rsid w:val="00185CC6"/>
    <w:rsid w:val="00186683"/>
    <w:rsid w:val="00186943"/>
    <w:rsid w:val="00191FC1"/>
    <w:rsid w:val="0019298E"/>
    <w:rsid w:val="00194105"/>
    <w:rsid w:val="001954EA"/>
    <w:rsid w:val="001B054A"/>
    <w:rsid w:val="001B7A76"/>
    <w:rsid w:val="001C03A3"/>
    <w:rsid w:val="001C03D3"/>
    <w:rsid w:val="001D0C8E"/>
    <w:rsid w:val="001D229E"/>
    <w:rsid w:val="001D64DC"/>
    <w:rsid w:val="001E0ADE"/>
    <w:rsid w:val="001E1445"/>
    <w:rsid w:val="001E73B0"/>
    <w:rsid w:val="001F1DAD"/>
    <w:rsid w:val="001F1FE3"/>
    <w:rsid w:val="001F319D"/>
    <w:rsid w:val="001F43AA"/>
    <w:rsid w:val="001F5ED7"/>
    <w:rsid w:val="001F6025"/>
    <w:rsid w:val="00210E88"/>
    <w:rsid w:val="002124BB"/>
    <w:rsid w:val="00212C5B"/>
    <w:rsid w:val="00213759"/>
    <w:rsid w:val="00213EBB"/>
    <w:rsid w:val="00214183"/>
    <w:rsid w:val="002150EA"/>
    <w:rsid w:val="00220244"/>
    <w:rsid w:val="002207BE"/>
    <w:rsid w:val="002235F3"/>
    <w:rsid w:val="00223C10"/>
    <w:rsid w:val="00225B6A"/>
    <w:rsid w:val="0022753A"/>
    <w:rsid w:val="00230026"/>
    <w:rsid w:val="00231A47"/>
    <w:rsid w:val="002327EC"/>
    <w:rsid w:val="002351CC"/>
    <w:rsid w:val="00235583"/>
    <w:rsid w:val="00235BFD"/>
    <w:rsid w:val="00236054"/>
    <w:rsid w:val="00236583"/>
    <w:rsid w:val="00236E81"/>
    <w:rsid w:val="00242631"/>
    <w:rsid w:val="0024275D"/>
    <w:rsid w:val="0024308F"/>
    <w:rsid w:val="00243C23"/>
    <w:rsid w:val="0025092F"/>
    <w:rsid w:val="00253555"/>
    <w:rsid w:val="00254388"/>
    <w:rsid w:val="00255EE1"/>
    <w:rsid w:val="002566B9"/>
    <w:rsid w:val="002567E3"/>
    <w:rsid w:val="002615D5"/>
    <w:rsid w:val="00261C1A"/>
    <w:rsid w:val="00262D9C"/>
    <w:rsid w:val="00264F2C"/>
    <w:rsid w:val="00265AD2"/>
    <w:rsid w:val="00283218"/>
    <w:rsid w:val="00290F08"/>
    <w:rsid w:val="0029253F"/>
    <w:rsid w:val="002947FC"/>
    <w:rsid w:val="00295271"/>
    <w:rsid w:val="00295C80"/>
    <w:rsid w:val="0029648B"/>
    <w:rsid w:val="002A00FE"/>
    <w:rsid w:val="002A3DCC"/>
    <w:rsid w:val="002B02FD"/>
    <w:rsid w:val="002B0A85"/>
    <w:rsid w:val="002B0DFD"/>
    <w:rsid w:val="002B6C30"/>
    <w:rsid w:val="002C041C"/>
    <w:rsid w:val="002C2651"/>
    <w:rsid w:val="002C4E6D"/>
    <w:rsid w:val="002C61EF"/>
    <w:rsid w:val="002D2C84"/>
    <w:rsid w:val="002D7A56"/>
    <w:rsid w:val="002D7B46"/>
    <w:rsid w:val="002E4775"/>
    <w:rsid w:val="002E58E4"/>
    <w:rsid w:val="002F0F66"/>
    <w:rsid w:val="002F1687"/>
    <w:rsid w:val="002F227D"/>
    <w:rsid w:val="002F409B"/>
    <w:rsid w:val="002F4689"/>
    <w:rsid w:val="00300EFE"/>
    <w:rsid w:val="00302B6A"/>
    <w:rsid w:val="00302FEA"/>
    <w:rsid w:val="00305B86"/>
    <w:rsid w:val="00305C83"/>
    <w:rsid w:val="0030644F"/>
    <w:rsid w:val="00317E9A"/>
    <w:rsid w:val="003210E2"/>
    <w:rsid w:val="00322714"/>
    <w:rsid w:val="00325C0B"/>
    <w:rsid w:val="00337DFC"/>
    <w:rsid w:val="0034228C"/>
    <w:rsid w:val="00347579"/>
    <w:rsid w:val="003537F0"/>
    <w:rsid w:val="00353980"/>
    <w:rsid w:val="003544D9"/>
    <w:rsid w:val="00354B4B"/>
    <w:rsid w:val="003567EC"/>
    <w:rsid w:val="003579CC"/>
    <w:rsid w:val="0036079D"/>
    <w:rsid w:val="00361CCC"/>
    <w:rsid w:val="00363338"/>
    <w:rsid w:val="00363373"/>
    <w:rsid w:val="00367096"/>
    <w:rsid w:val="00372163"/>
    <w:rsid w:val="00373A00"/>
    <w:rsid w:val="00373EA9"/>
    <w:rsid w:val="003759EA"/>
    <w:rsid w:val="0037611B"/>
    <w:rsid w:val="0037750C"/>
    <w:rsid w:val="0038078B"/>
    <w:rsid w:val="003900E6"/>
    <w:rsid w:val="00390C09"/>
    <w:rsid w:val="003953B5"/>
    <w:rsid w:val="003A0B73"/>
    <w:rsid w:val="003A1836"/>
    <w:rsid w:val="003A78A3"/>
    <w:rsid w:val="003B06B0"/>
    <w:rsid w:val="003B11B7"/>
    <w:rsid w:val="003B1D4C"/>
    <w:rsid w:val="003B5DDA"/>
    <w:rsid w:val="003B6E93"/>
    <w:rsid w:val="003B7372"/>
    <w:rsid w:val="003C070C"/>
    <w:rsid w:val="003C0AEE"/>
    <w:rsid w:val="003C1A2F"/>
    <w:rsid w:val="003C1A5C"/>
    <w:rsid w:val="003C2C05"/>
    <w:rsid w:val="003C68B7"/>
    <w:rsid w:val="003D19DD"/>
    <w:rsid w:val="003D2001"/>
    <w:rsid w:val="003D6D76"/>
    <w:rsid w:val="003E37D4"/>
    <w:rsid w:val="003E483E"/>
    <w:rsid w:val="003E576A"/>
    <w:rsid w:val="003E70DC"/>
    <w:rsid w:val="003F018E"/>
    <w:rsid w:val="003F38BD"/>
    <w:rsid w:val="003F4DDC"/>
    <w:rsid w:val="003F4E83"/>
    <w:rsid w:val="00400958"/>
    <w:rsid w:val="00401E04"/>
    <w:rsid w:val="00404B66"/>
    <w:rsid w:val="00407122"/>
    <w:rsid w:val="00411599"/>
    <w:rsid w:val="00412DD6"/>
    <w:rsid w:val="00415407"/>
    <w:rsid w:val="004155AD"/>
    <w:rsid w:val="00417A9F"/>
    <w:rsid w:val="00422A30"/>
    <w:rsid w:val="00422C7F"/>
    <w:rsid w:val="004277A3"/>
    <w:rsid w:val="00430B26"/>
    <w:rsid w:val="004320B6"/>
    <w:rsid w:val="00434AC5"/>
    <w:rsid w:val="00436B64"/>
    <w:rsid w:val="004377CB"/>
    <w:rsid w:val="004404B6"/>
    <w:rsid w:val="00440AC6"/>
    <w:rsid w:val="00443A26"/>
    <w:rsid w:val="00444848"/>
    <w:rsid w:val="00451F35"/>
    <w:rsid w:val="004522A2"/>
    <w:rsid w:val="004532F2"/>
    <w:rsid w:val="00453607"/>
    <w:rsid w:val="00455321"/>
    <w:rsid w:val="004557BD"/>
    <w:rsid w:val="00456253"/>
    <w:rsid w:val="00461AED"/>
    <w:rsid w:val="0046273D"/>
    <w:rsid w:val="00465FFF"/>
    <w:rsid w:val="004665B2"/>
    <w:rsid w:val="00474E7F"/>
    <w:rsid w:val="00474FAB"/>
    <w:rsid w:val="004779B6"/>
    <w:rsid w:val="0048219F"/>
    <w:rsid w:val="00483CBF"/>
    <w:rsid w:val="0048587B"/>
    <w:rsid w:val="0049198D"/>
    <w:rsid w:val="004A28B7"/>
    <w:rsid w:val="004A4156"/>
    <w:rsid w:val="004A6F01"/>
    <w:rsid w:val="004A7496"/>
    <w:rsid w:val="004B00F7"/>
    <w:rsid w:val="004B446C"/>
    <w:rsid w:val="004B4661"/>
    <w:rsid w:val="004B4E49"/>
    <w:rsid w:val="004B54C0"/>
    <w:rsid w:val="004B5E77"/>
    <w:rsid w:val="004B6E6E"/>
    <w:rsid w:val="004C1CCF"/>
    <w:rsid w:val="004C3A89"/>
    <w:rsid w:val="004D001C"/>
    <w:rsid w:val="004D02BF"/>
    <w:rsid w:val="004D089F"/>
    <w:rsid w:val="004D1E50"/>
    <w:rsid w:val="004D1FBA"/>
    <w:rsid w:val="004D4E0D"/>
    <w:rsid w:val="004D4F10"/>
    <w:rsid w:val="004D7B63"/>
    <w:rsid w:val="004E6F7F"/>
    <w:rsid w:val="004F1897"/>
    <w:rsid w:val="004F4C66"/>
    <w:rsid w:val="004F6378"/>
    <w:rsid w:val="004F7D8E"/>
    <w:rsid w:val="005004EC"/>
    <w:rsid w:val="005007B8"/>
    <w:rsid w:val="00502690"/>
    <w:rsid w:val="00502FB7"/>
    <w:rsid w:val="00505677"/>
    <w:rsid w:val="00505A57"/>
    <w:rsid w:val="005100E7"/>
    <w:rsid w:val="0051146A"/>
    <w:rsid w:val="005117CC"/>
    <w:rsid w:val="00511A21"/>
    <w:rsid w:val="00512311"/>
    <w:rsid w:val="005209AC"/>
    <w:rsid w:val="005223CA"/>
    <w:rsid w:val="00523022"/>
    <w:rsid w:val="00524385"/>
    <w:rsid w:val="0052544A"/>
    <w:rsid w:val="00533171"/>
    <w:rsid w:val="00533CB2"/>
    <w:rsid w:val="0053731C"/>
    <w:rsid w:val="00541B4B"/>
    <w:rsid w:val="005438EA"/>
    <w:rsid w:val="00544B32"/>
    <w:rsid w:val="00546D46"/>
    <w:rsid w:val="00552B51"/>
    <w:rsid w:val="00553625"/>
    <w:rsid w:val="00557EE8"/>
    <w:rsid w:val="00561423"/>
    <w:rsid w:val="00561623"/>
    <w:rsid w:val="0056210B"/>
    <w:rsid w:val="005624F9"/>
    <w:rsid w:val="00563732"/>
    <w:rsid w:val="005640A2"/>
    <w:rsid w:val="00567B4B"/>
    <w:rsid w:val="00571591"/>
    <w:rsid w:val="00572C32"/>
    <w:rsid w:val="005772CD"/>
    <w:rsid w:val="00577BF9"/>
    <w:rsid w:val="00577C32"/>
    <w:rsid w:val="005807C5"/>
    <w:rsid w:val="00584474"/>
    <w:rsid w:val="00584F51"/>
    <w:rsid w:val="005910BC"/>
    <w:rsid w:val="00592EB2"/>
    <w:rsid w:val="005946B9"/>
    <w:rsid w:val="00596328"/>
    <w:rsid w:val="0059658D"/>
    <w:rsid w:val="005A0372"/>
    <w:rsid w:val="005A29B0"/>
    <w:rsid w:val="005A29C8"/>
    <w:rsid w:val="005A2ECA"/>
    <w:rsid w:val="005A50D6"/>
    <w:rsid w:val="005B1F1E"/>
    <w:rsid w:val="005B389A"/>
    <w:rsid w:val="005B6E53"/>
    <w:rsid w:val="005C0553"/>
    <w:rsid w:val="005D02DD"/>
    <w:rsid w:val="005D1E48"/>
    <w:rsid w:val="005D2D43"/>
    <w:rsid w:val="005D76CC"/>
    <w:rsid w:val="005E03C5"/>
    <w:rsid w:val="005E0AF9"/>
    <w:rsid w:val="005E2261"/>
    <w:rsid w:val="005E2DBB"/>
    <w:rsid w:val="005E5045"/>
    <w:rsid w:val="005E6D56"/>
    <w:rsid w:val="005E7A10"/>
    <w:rsid w:val="005F1E85"/>
    <w:rsid w:val="005F291D"/>
    <w:rsid w:val="005F690B"/>
    <w:rsid w:val="0060012B"/>
    <w:rsid w:val="00602064"/>
    <w:rsid w:val="00605A3F"/>
    <w:rsid w:val="006060FA"/>
    <w:rsid w:val="006062E3"/>
    <w:rsid w:val="006071F2"/>
    <w:rsid w:val="006105B1"/>
    <w:rsid w:val="00610CD0"/>
    <w:rsid w:val="00610E83"/>
    <w:rsid w:val="0061121D"/>
    <w:rsid w:val="00612019"/>
    <w:rsid w:val="00613C0F"/>
    <w:rsid w:val="00614D9E"/>
    <w:rsid w:val="00616566"/>
    <w:rsid w:val="00616D5E"/>
    <w:rsid w:val="00617FED"/>
    <w:rsid w:val="00620835"/>
    <w:rsid w:val="00622C18"/>
    <w:rsid w:val="00622D14"/>
    <w:rsid w:val="006277B1"/>
    <w:rsid w:val="006324B6"/>
    <w:rsid w:val="00633AC3"/>
    <w:rsid w:val="00634B82"/>
    <w:rsid w:val="00634C60"/>
    <w:rsid w:val="006358DB"/>
    <w:rsid w:val="0063686C"/>
    <w:rsid w:val="00637D83"/>
    <w:rsid w:val="0064099D"/>
    <w:rsid w:val="00642F9A"/>
    <w:rsid w:val="006439E4"/>
    <w:rsid w:val="006511CB"/>
    <w:rsid w:val="00651DDB"/>
    <w:rsid w:val="00655622"/>
    <w:rsid w:val="00655A50"/>
    <w:rsid w:val="006577C6"/>
    <w:rsid w:val="00661E48"/>
    <w:rsid w:val="00663A6D"/>
    <w:rsid w:val="00664598"/>
    <w:rsid w:val="00664E30"/>
    <w:rsid w:val="0066635E"/>
    <w:rsid w:val="00666E96"/>
    <w:rsid w:val="00670EB2"/>
    <w:rsid w:val="00671501"/>
    <w:rsid w:val="0067153D"/>
    <w:rsid w:val="00671962"/>
    <w:rsid w:val="00673B34"/>
    <w:rsid w:val="006767A4"/>
    <w:rsid w:val="006773B4"/>
    <w:rsid w:val="00680605"/>
    <w:rsid w:val="00680E7B"/>
    <w:rsid w:val="00684B7D"/>
    <w:rsid w:val="0068742C"/>
    <w:rsid w:val="006900AA"/>
    <w:rsid w:val="006926F0"/>
    <w:rsid w:val="00693350"/>
    <w:rsid w:val="00693625"/>
    <w:rsid w:val="00693EC2"/>
    <w:rsid w:val="006941AE"/>
    <w:rsid w:val="00694D53"/>
    <w:rsid w:val="006A01C3"/>
    <w:rsid w:val="006A0832"/>
    <w:rsid w:val="006A0E22"/>
    <w:rsid w:val="006A71E7"/>
    <w:rsid w:val="006A7348"/>
    <w:rsid w:val="006B00F6"/>
    <w:rsid w:val="006B27C7"/>
    <w:rsid w:val="006B2E7F"/>
    <w:rsid w:val="006B3D97"/>
    <w:rsid w:val="006B4675"/>
    <w:rsid w:val="006B6109"/>
    <w:rsid w:val="006C274C"/>
    <w:rsid w:val="006C2D53"/>
    <w:rsid w:val="006C37A0"/>
    <w:rsid w:val="006C663A"/>
    <w:rsid w:val="006D09E0"/>
    <w:rsid w:val="006D3B06"/>
    <w:rsid w:val="006D47E3"/>
    <w:rsid w:val="006D4F26"/>
    <w:rsid w:val="006E2763"/>
    <w:rsid w:val="006E28FE"/>
    <w:rsid w:val="006E416D"/>
    <w:rsid w:val="006E621A"/>
    <w:rsid w:val="006E6C7C"/>
    <w:rsid w:val="006F00F4"/>
    <w:rsid w:val="006F0682"/>
    <w:rsid w:val="006F3013"/>
    <w:rsid w:val="006F4A20"/>
    <w:rsid w:val="007028B7"/>
    <w:rsid w:val="00702D33"/>
    <w:rsid w:val="00703761"/>
    <w:rsid w:val="00703DBA"/>
    <w:rsid w:val="007051AE"/>
    <w:rsid w:val="00706E4C"/>
    <w:rsid w:val="00710946"/>
    <w:rsid w:val="00710FAC"/>
    <w:rsid w:val="007115AD"/>
    <w:rsid w:val="00713553"/>
    <w:rsid w:val="007138E6"/>
    <w:rsid w:val="0071410D"/>
    <w:rsid w:val="00715E8B"/>
    <w:rsid w:val="00720B1A"/>
    <w:rsid w:val="00722475"/>
    <w:rsid w:val="00724AFC"/>
    <w:rsid w:val="00724CD0"/>
    <w:rsid w:val="00725A45"/>
    <w:rsid w:val="00725F9F"/>
    <w:rsid w:val="0073227E"/>
    <w:rsid w:val="00732494"/>
    <w:rsid w:val="007331D7"/>
    <w:rsid w:val="007333D7"/>
    <w:rsid w:val="00733A47"/>
    <w:rsid w:val="00734CAA"/>
    <w:rsid w:val="0073657B"/>
    <w:rsid w:val="0073681A"/>
    <w:rsid w:val="00740BCF"/>
    <w:rsid w:val="00742593"/>
    <w:rsid w:val="00742E3B"/>
    <w:rsid w:val="00745F60"/>
    <w:rsid w:val="00746F1E"/>
    <w:rsid w:val="00750162"/>
    <w:rsid w:val="00750E12"/>
    <w:rsid w:val="00751820"/>
    <w:rsid w:val="00752593"/>
    <w:rsid w:val="00752A92"/>
    <w:rsid w:val="00752B4E"/>
    <w:rsid w:val="00752E59"/>
    <w:rsid w:val="007549FE"/>
    <w:rsid w:val="007554DE"/>
    <w:rsid w:val="00755659"/>
    <w:rsid w:val="00756FD4"/>
    <w:rsid w:val="00757272"/>
    <w:rsid w:val="00760F74"/>
    <w:rsid w:val="00762F36"/>
    <w:rsid w:val="00765676"/>
    <w:rsid w:val="007807A6"/>
    <w:rsid w:val="007809A9"/>
    <w:rsid w:val="007851AF"/>
    <w:rsid w:val="007864A5"/>
    <w:rsid w:val="00786FE8"/>
    <w:rsid w:val="00787B1F"/>
    <w:rsid w:val="00791C68"/>
    <w:rsid w:val="00795E45"/>
    <w:rsid w:val="007A3746"/>
    <w:rsid w:val="007A4FD0"/>
    <w:rsid w:val="007A6572"/>
    <w:rsid w:val="007A6C29"/>
    <w:rsid w:val="007C38C5"/>
    <w:rsid w:val="007C3CA4"/>
    <w:rsid w:val="007C4FFE"/>
    <w:rsid w:val="007C6DB1"/>
    <w:rsid w:val="007C7F41"/>
    <w:rsid w:val="007D228E"/>
    <w:rsid w:val="007D458A"/>
    <w:rsid w:val="007D6036"/>
    <w:rsid w:val="007D6219"/>
    <w:rsid w:val="007E0B7D"/>
    <w:rsid w:val="007E15BC"/>
    <w:rsid w:val="007E1C00"/>
    <w:rsid w:val="007E3CBB"/>
    <w:rsid w:val="007E58AD"/>
    <w:rsid w:val="007E62E8"/>
    <w:rsid w:val="007F238D"/>
    <w:rsid w:val="007F2F49"/>
    <w:rsid w:val="007F741E"/>
    <w:rsid w:val="007F764D"/>
    <w:rsid w:val="00802484"/>
    <w:rsid w:val="00807357"/>
    <w:rsid w:val="0080784D"/>
    <w:rsid w:val="00807EBC"/>
    <w:rsid w:val="00811A0C"/>
    <w:rsid w:val="008121C5"/>
    <w:rsid w:val="008131F6"/>
    <w:rsid w:val="00814CBE"/>
    <w:rsid w:val="00820328"/>
    <w:rsid w:val="0082394A"/>
    <w:rsid w:val="00825829"/>
    <w:rsid w:val="008260EF"/>
    <w:rsid w:val="00832B4C"/>
    <w:rsid w:val="008330FB"/>
    <w:rsid w:val="008333DD"/>
    <w:rsid w:val="008335BD"/>
    <w:rsid w:val="00834417"/>
    <w:rsid w:val="00835B40"/>
    <w:rsid w:val="008519C9"/>
    <w:rsid w:val="00852C4E"/>
    <w:rsid w:val="00852FA1"/>
    <w:rsid w:val="0085661C"/>
    <w:rsid w:val="00861914"/>
    <w:rsid w:val="00863084"/>
    <w:rsid w:val="00864D74"/>
    <w:rsid w:val="00866337"/>
    <w:rsid w:val="008715F4"/>
    <w:rsid w:val="00872213"/>
    <w:rsid w:val="00875251"/>
    <w:rsid w:val="00883113"/>
    <w:rsid w:val="00892577"/>
    <w:rsid w:val="00893991"/>
    <w:rsid w:val="00893BCA"/>
    <w:rsid w:val="00897D03"/>
    <w:rsid w:val="008B106E"/>
    <w:rsid w:val="008B1733"/>
    <w:rsid w:val="008B4934"/>
    <w:rsid w:val="008B49BE"/>
    <w:rsid w:val="008B4B3C"/>
    <w:rsid w:val="008C1061"/>
    <w:rsid w:val="008C10D4"/>
    <w:rsid w:val="008C1CA0"/>
    <w:rsid w:val="008C3DD1"/>
    <w:rsid w:val="008C59EE"/>
    <w:rsid w:val="008C6590"/>
    <w:rsid w:val="008C6BBE"/>
    <w:rsid w:val="008D07A2"/>
    <w:rsid w:val="008D1286"/>
    <w:rsid w:val="008D1B20"/>
    <w:rsid w:val="008D64EC"/>
    <w:rsid w:val="008E06FC"/>
    <w:rsid w:val="008E0ACD"/>
    <w:rsid w:val="008E2118"/>
    <w:rsid w:val="008E3063"/>
    <w:rsid w:val="008E514F"/>
    <w:rsid w:val="008E6F00"/>
    <w:rsid w:val="008E716D"/>
    <w:rsid w:val="008F0120"/>
    <w:rsid w:val="008F1857"/>
    <w:rsid w:val="00901209"/>
    <w:rsid w:val="00901710"/>
    <w:rsid w:val="009059FF"/>
    <w:rsid w:val="009065D9"/>
    <w:rsid w:val="00913B7A"/>
    <w:rsid w:val="00916238"/>
    <w:rsid w:val="00916DBF"/>
    <w:rsid w:val="00917FFD"/>
    <w:rsid w:val="009208E6"/>
    <w:rsid w:val="00920927"/>
    <w:rsid w:val="00925633"/>
    <w:rsid w:val="00925F26"/>
    <w:rsid w:val="009315F0"/>
    <w:rsid w:val="00931BC1"/>
    <w:rsid w:val="009333BD"/>
    <w:rsid w:val="00933D67"/>
    <w:rsid w:val="00934380"/>
    <w:rsid w:val="009371C0"/>
    <w:rsid w:val="00937619"/>
    <w:rsid w:val="0094009B"/>
    <w:rsid w:val="009417AE"/>
    <w:rsid w:val="009449A9"/>
    <w:rsid w:val="009452D6"/>
    <w:rsid w:val="00945EEA"/>
    <w:rsid w:val="00946B72"/>
    <w:rsid w:val="00947294"/>
    <w:rsid w:val="009474F5"/>
    <w:rsid w:val="00951E5B"/>
    <w:rsid w:val="00953139"/>
    <w:rsid w:val="009537E4"/>
    <w:rsid w:val="00955040"/>
    <w:rsid w:val="00956314"/>
    <w:rsid w:val="00956A26"/>
    <w:rsid w:val="00957ABD"/>
    <w:rsid w:val="009622F3"/>
    <w:rsid w:val="00966FE6"/>
    <w:rsid w:val="009726DF"/>
    <w:rsid w:val="009734DD"/>
    <w:rsid w:val="00974787"/>
    <w:rsid w:val="00977599"/>
    <w:rsid w:val="0098263F"/>
    <w:rsid w:val="00986C18"/>
    <w:rsid w:val="0099457A"/>
    <w:rsid w:val="0099521B"/>
    <w:rsid w:val="009A0D26"/>
    <w:rsid w:val="009A2651"/>
    <w:rsid w:val="009A51F4"/>
    <w:rsid w:val="009A52A0"/>
    <w:rsid w:val="009A531B"/>
    <w:rsid w:val="009A6444"/>
    <w:rsid w:val="009B2C92"/>
    <w:rsid w:val="009B4053"/>
    <w:rsid w:val="009B517F"/>
    <w:rsid w:val="009B588B"/>
    <w:rsid w:val="009C023A"/>
    <w:rsid w:val="009C6AE7"/>
    <w:rsid w:val="009C6DE5"/>
    <w:rsid w:val="009D17EE"/>
    <w:rsid w:val="009D33CE"/>
    <w:rsid w:val="009D7F43"/>
    <w:rsid w:val="009E4696"/>
    <w:rsid w:val="009E48C9"/>
    <w:rsid w:val="009E7B51"/>
    <w:rsid w:val="009F04DF"/>
    <w:rsid w:val="009F14EA"/>
    <w:rsid w:val="009F1CC3"/>
    <w:rsid w:val="009F243B"/>
    <w:rsid w:val="009F35B4"/>
    <w:rsid w:val="009F419B"/>
    <w:rsid w:val="009F4856"/>
    <w:rsid w:val="009F59D5"/>
    <w:rsid w:val="00A009FF"/>
    <w:rsid w:val="00A060BD"/>
    <w:rsid w:val="00A06C27"/>
    <w:rsid w:val="00A0725D"/>
    <w:rsid w:val="00A103D8"/>
    <w:rsid w:val="00A113CF"/>
    <w:rsid w:val="00A14D28"/>
    <w:rsid w:val="00A1515A"/>
    <w:rsid w:val="00A203F5"/>
    <w:rsid w:val="00A21149"/>
    <w:rsid w:val="00A23683"/>
    <w:rsid w:val="00A24CED"/>
    <w:rsid w:val="00A2623C"/>
    <w:rsid w:val="00A26FCC"/>
    <w:rsid w:val="00A27D57"/>
    <w:rsid w:val="00A36F9E"/>
    <w:rsid w:val="00A4191C"/>
    <w:rsid w:val="00A45684"/>
    <w:rsid w:val="00A46C80"/>
    <w:rsid w:val="00A52D2B"/>
    <w:rsid w:val="00A54D1D"/>
    <w:rsid w:val="00A550A9"/>
    <w:rsid w:val="00A557D1"/>
    <w:rsid w:val="00A60F6D"/>
    <w:rsid w:val="00A61832"/>
    <w:rsid w:val="00A6419C"/>
    <w:rsid w:val="00A65290"/>
    <w:rsid w:val="00A65544"/>
    <w:rsid w:val="00A674BE"/>
    <w:rsid w:val="00A72E00"/>
    <w:rsid w:val="00A73090"/>
    <w:rsid w:val="00A73EF1"/>
    <w:rsid w:val="00A7657B"/>
    <w:rsid w:val="00A92686"/>
    <w:rsid w:val="00A9287D"/>
    <w:rsid w:val="00A92E80"/>
    <w:rsid w:val="00A94C3C"/>
    <w:rsid w:val="00A970AA"/>
    <w:rsid w:val="00A978E9"/>
    <w:rsid w:val="00A97BAC"/>
    <w:rsid w:val="00AA18FA"/>
    <w:rsid w:val="00AA4D01"/>
    <w:rsid w:val="00AA59B8"/>
    <w:rsid w:val="00AB27CF"/>
    <w:rsid w:val="00AB2F80"/>
    <w:rsid w:val="00AC2D6D"/>
    <w:rsid w:val="00AC454E"/>
    <w:rsid w:val="00AC527A"/>
    <w:rsid w:val="00AD0841"/>
    <w:rsid w:val="00AD546D"/>
    <w:rsid w:val="00AD572D"/>
    <w:rsid w:val="00AD630C"/>
    <w:rsid w:val="00AE178C"/>
    <w:rsid w:val="00AE50E6"/>
    <w:rsid w:val="00AE59FA"/>
    <w:rsid w:val="00AE6E3F"/>
    <w:rsid w:val="00AF0BFC"/>
    <w:rsid w:val="00AF33EE"/>
    <w:rsid w:val="00AF43F2"/>
    <w:rsid w:val="00AF6217"/>
    <w:rsid w:val="00AF7BCD"/>
    <w:rsid w:val="00B00DDC"/>
    <w:rsid w:val="00B00E32"/>
    <w:rsid w:val="00B022E8"/>
    <w:rsid w:val="00B03A95"/>
    <w:rsid w:val="00B05942"/>
    <w:rsid w:val="00B06DF0"/>
    <w:rsid w:val="00B10968"/>
    <w:rsid w:val="00B10EE8"/>
    <w:rsid w:val="00B10EEF"/>
    <w:rsid w:val="00B14E80"/>
    <w:rsid w:val="00B15F82"/>
    <w:rsid w:val="00B1765E"/>
    <w:rsid w:val="00B1782E"/>
    <w:rsid w:val="00B24518"/>
    <w:rsid w:val="00B26A92"/>
    <w:rsid w:val="00B26E51"/>
    <w:rsid w:val="00B27F38"/>
    <w:rsid w:val="00B31BD6"/>
    <w:rsid w:val="00B409E5"/>
    <w:rsid w:val="00B40ACD"/>
    <w:rsid w:val="00B41963"/>
    <w:rsid w:val="00B43EAD"/>
    <w:rsid w:val="00B440AF"/>
    <w:rsid w:val="00B5182E"/>
    <w:rsid w:val="00B52857"/>
    <w:rsid w:val="00B52B14"/>
    <w:rsid w:val="00B530EB"/>
    <w:rsid w:val="00B53DC8"/>
    <w:rsid w:val="00B551F4"/>
    <w:rsid w:val="00B5587A"/>
    <w:rsid w:val="00B55B8D"/>
    <w:rsid w:val="00B57586"/>
    <w:rsid w:val="00B60A72"/>
    <w:rsid w:val="00B61446"/>
    <w:rsid w:val="00B61713"/>
    <w:rsid w:val="00B61D57"/>
    <w:rsid w:val="00B62CA9"/>
    <w:rsid w:val="00B63217"/>
    <w:rsid w:val="00B65C63"/>
    <w:rsid w:val="00B701A0"/>
    <w:rsid w:val="00B73748"/>
    <w:rsid w:val="00B74DF3"/>
    <w:rsid w:val="00B75288"/>
    <w:rsid w:val="00B7561E"/>
    <w:rsid w:val="00B75CC4"/>
    <w:rsid w:val="00B7618B"/>
    <w:rsid w:val="00B82A43"/>
    <w:rsid w:val="00B83F28"/>
    <w:rsid w:val="00B87331"/>
    <w:rsid w:val="00B92A4F"/>
    <w:rsid w:val="00B95DAC"/>
    <w:rsid w:val="00B965EA"/>
    <w:rsid w:val="00BA2449"/>
    <w:rsid w:val="00BA37B1"/>
    <w:rsid w:val="00BA66BF"/>
    <w:rsid w:val="00BB01A5"/>
    <w:rsid w:val="00BB1BF5"/>
    <w:rsid w:val="00BB2536"/>
    <w:rsid w:val="00BC0D42"/>
    <w:rsid w:val="00BC214E"/>
    <w:rsid w:val="00BC2C48"/>
    <w:rsid w:val="00BC6B3E"/>
    <w:rsid w:val="00BD0727"/>
    <w:rsid w:val="00BD239B"/>
    <w:rsid w:val="00BD26DB"/>
    <w:rsid w:val="00BD2A16"/>
    <w:rsid w:val="00BD3EFF"/>
    <w:rsid w:val="00BD3F8E"/>
    <w:rsid w:val="00BD5A0C"/>
    <w:rsid w:val="00BD5D47"/>
    <w:rsid w:val="00BE43D8"/>
    <w:rsid w:val="00BE48B9"/>
    <w:rsid w:val="00BE4A3F"/>
    <w:rsid w:val="00BF0F95"/>
    <w:rsid w:val="00BF0FDB"/>
    <w:rsid w:val="00BF2F25"/>
    <w:rsid w:val="00BF31DE"/>
    <w:rsid w:val="00BF32B0"/>
    <w:rsid w:val="00BF49EA"/>
    <w:rsid w:val="00BF4BBC"/>
    <w:rsid w:val="00C00537"/>
    <w:rsid w:val="00C05329"/>
    <w:rsid w:val="00C07D18"/>
    <w:rsid w:val="00C10267"/>
    <w:rsid w:val="00C10F1F"/>
    <w:rsid w:val="00C13927"/>
    <w:rsid w:val="00C15496"/>
    <w:rsid w:val="00C15503"/>
    <w:rsid w:val="00C205C8"/>
    <w:rsid w:val="00C22326"/>
    <w:rsid w:val="00C23771"/>
    <w:rsid w:val="00C256EB"/>
    <w:rsid w:val="00C3070B"/>
    <w:rsid w:val="00C32ED3"/>
    <w:rsid w:val="00C36410"/>
    <w:rsid w:val="00C41B08"/>
    <w:rsid w:val="00C45C9E"/>
    <w:rsid w:val="00C474B5"/>
    <w:rsid w:val="00C47F39"/>
    <w:rsid w:val="00C5043B"/>
    <w:rsid w:val="00C5389E"/>
    <w:rsid w:val="00C546F9"/>
    <w:rsid w:val="00C54E20"/>
    <w:rsid w:val="00C5609F"/>
    <w:rsid w:val="00C57208"/>
    <w:rsid w:val="00C60656"/>
    <w:rsid w:val="00C6318B"/>
    <w:rsid w:val="00C634B4"/>
    <w:rsid w:val="00C6444F"/>
    <w:rsid w:val="00C657B3"/>
    <w:rsid w:val="00C66E50"/>
    <w:rsid w:val="00C7537A"/>
    <w:rsid w:val="00C77D87"/>
    <w:rsid w:val="00C77E7E"/>
    <w:rsid w:val="00C86322"/>
    <w:rsid w:val="00C923AB"/>
    <w:rsid w:val="00C92771"/>
    <w:rsid w:val="00C92D2E"/>
    <w:rsid w:val="00C93222"/>
    <w:rsid w:val="00C9381F"/>
    <w:rsid w:val="00C93C11"/>
    <w:rsid w:val="00C967AD"/>
    <w:rsid w:val="00CA08A7"/>
    <w:rsid w:val="00CA12B2"/>
    <w:rsid w:val="00CA1585"/>
    <w:rsid w:val="00CA19D8"/>
    <w:rsid w:val="00CA2B66"/>
    <w:rsid w:val="00CA4F4B"/>
    <w:rsid w:val="00CA7C79"/>
    <w:rsid w:val="00CB33F0"/>
    <w:rsid w:val="00CB4B37"/>
    <w:rsid w:val="00CB542D"/>
    <w:rsid w:val="00CB5A60"/>
    <w:rsid w:val="00CC05B6"/>
    <w:rsid w:val="00CC22D0"/>
    <w:rsid w:val="00CC3819"/>
    <w:rsid w:val="00CC3BF8"/>
    <w:rsid w:val="00CC47CA"/>
    <w:rsid w:val="00CC66E1"/>
    <w:rsid w:val="00CC76F3"/>
    <w:rsid w:val="00CC78EE"/>
    <w:rsid w:val="00CD259E"/>
    <w:rsid w:val="00CD4538"/>
    <w:rsid w:val="00CD7869"/>
    <w:rsid w:val="00CE10B1"/>
    <w:rsid w:val="00CE30DF"/>
    <w:rsid w:val="00CE346C"/>
    <w:rsid w:val="00CE7406"/>
    <w:rsid w:val="00CF1DF2"/>
    <w:rsid w:val="00CF236D"/>
    <w:rsid w:val="00CF4D72"/>
    <w:rsid w:val="00D021E2"/>
    <w:rsid w:val="00D03052"/>
    <w:rsid w:val="00D05C78"/>
    <w:rsid w:val="00D13C93"/>
    <w:rsid w:val="00D13CCD"/>
    <w:rsid w:val="00D3053F"/>
    <w:rsid w:val="00D30B30"/>
    <w:rsid w:val="00D32894"/>
    <w:rsid w:val="00D374A1"/>
    <w:rsid w:val="00D3791B"/>
    <w:rsid w:val="00D4154E"/>
    <w:rsid w:val="00D424B0"/>
    <w:rsid w:val="00D4331A"/>
    <w:rsid w:val="00D45A6E"/>
    <w:rsid w:val="00D46449"/>
    <w:rsid w:val="00D51E24"/>
    <w:rsid w:val="00D526D1"/>
    <w:rsid w:val="00D52E7C"/>
    <w:rsid w:val="00D52F5B"/>
    <w:rsid w:val="00D5524B"/>
    <w:rsid w:val="00D6090A"/>
    <w:rsid w:val="00D6129E"/>
    <w:rsid w:val="00D625B8"/>
    <w:rsid w:val="00D732D6"/>
    <w:rsid w:val="00D73550"/>
    <w:rsid w:val="00D7612B"/>
    <w:rsid w:val="00D7762B"/>
    <w:rsid w:val="00D77862"/>
    <w:rsid w:val="00D80F42"/>
    <w:rsid w:val="00D82A13"/>
    <w:rsid w:val="00D83233"/>
    <w:rsid w:val="00D84791"/>
    <w:rsid w:val="00D86230"/>
    <w:rsid w:val="00D94012"/>
    <w:rsid w:val="00D95113"/>
    <w:rsid w:val="00D962E6"/>
    <w:rsid w:val="00D96504"/>
    <w:rsid w:val="00DA107B"/>
    <w:rsid w:val="00DA1C54"/>
    <w:rsid w:val="00DA2D01"/>
    <w:rsid w:val="00DA4A62"/>
    <w:rsid w:val="00DA5593"/>
    <w:rsid w:val="00DA6237"/>
    <w:rsid w:val="00DA6510"/>
    <w:rsid w:val="00DB0412"/>
    <w:rsid w:val="00DB098B"/>
    <w:rsid w:val="00DB2213"/>
    <w:rsid w:val="00DB2C25"/>
    <w:rsid w:val="00DB472F"/>
    <w:rsid w:val="00DB53E7"/>
    <w:rsid w:val="00DB599D"/>
    <w:rsid w:val="00DB7637"/>
    <w:rsid w:val="00DB77DA"/>
    <w:rsid w:val="00DC03C9"/>
    <w:rsid w:val="00DC1F88"/>
    <w:rsid w:val="00DC2B23"/>
    <w:rsid w:val="00DC3AEF"/>
    <w:rsid w:val="00DC5337"/>
    <w:rsid w:val="00DC533C"/>
    <w:rsid w:val="00DC6BC0"/>
    <w:rsid w:val="00DD1189"/>
    <w:rsid w:val="00DD1553"/>
    <w:rsid w:val="00DD252E"/>
    <w:rsid w:val="00DD4180"/>
    <w:rsid w:val="00DD6DB6"/>
    <w:rsid w:val="00DE0674"/>
    <w:rsid w:val="00DE237F"/>
    <w:rsid w:val="00DE3DC0"/>
    <w:rsid w:val="00DE45D2"/>
    <w:rsid w:val="00DE56A2"/>
    <w:rsid w:val="00DE6139"/>
    <w:rsid w:val="00DE6801"/>
    <w:rsid w:val="00DE71F1"/>
    <w:rsid w:val="00DE75FB"/>
    <w:rsid w:val="00DF052F"/>
    <w:rsid w:val="00DF6F25"/>
    <w:rsid w:val="00E00DB7"/>
    <w:rsid w:val="00E01A2F"/>
    <w:rsid w:val="00E047DD"/>
    <w:rsid w:val="00E05E80"/>
    <w:rsid w:val="00E06C47"/>
    <w:rsid w:val="00E10723"/>
    <w:rsid w:val="00E10A1F"/>
    <w:rsid w:val="00E17792"/>
    <w:rsid w:val="00E22E02"/>
    <w:rsid w:val="00E2301C"/>
    <w:rsid w:val="00E230E2"/>
    <w:rsid w:val="00E312B2"/>
    <w:rsid w:val="00E339CD"/>
    <w:rsid w:val="00E34860"/>
    <w:rsid w:val="00E34B0C"/>
    <w:rsid w:val="00E3540D"/>
    <w:rsid w:val="00E3609F"/>
    <w:rsid w:val="00E36D52"/>
    <w:rsid w:val="00E404C2"/>
    <w:rsid w:val="00E434D0"/>
    <w:rsid w:val="00E467E8"/>
    <w:rsid w:val="00E46B09"/>
    <w:rsid w:val="00E4793C"/>
    <w:rsid w:val="00E47B97"/>
    <w:rsid w:val="00E5385F"/>
    <w:rsid w:val="00E61632"/>
    <w:rsid w:val="00E638CF"/>
    <w:rsid w:val="00E66E39"/>
    <w:rsid w:val="00E718F7"/>
    <w:rsid w:val="00E7226D"/>
    <w:rsid w:val="00E7300A"/>
    <w:rsid w:val="00E75576"/>
    <w:rsid w:val="00E80E06"/>
    <w:rsid w:val="00E81B56"/>
    <w:rsid w:val="00E84124"/>
    <w:rsid w:val="00E84554"/>
    <w:rsid w:val="00E8705E"/>
    <w:rsid w:val="00E90433"/>
    <w:rsid w:val="00E9080A"/>
    <w:rsid w:val="00E91108"/>
    <w:rsid w:val="00E95667"/>
    <w:rsid w:val="00E95E46"/>
    <w:rsid w:val="00E95F7A"/>
    <w:rsid w:val="00E97751"/>
    <w:rsid w:val="00EA0F06"/>
    <w:rsid w:val="00EA3382"/>
    <w:rsid w:val="00EB0C19"/>
    <w:rsid w:val="00EB135C"/>
    <w:rsid w:val="00EB2159"/>
    <w:rsid w:val="00EC1C1B"/>
    <w:rsid w:val="00EC1DFE"/>
    <w:rsid w:val="00EC453A"/>
    <w:rsid w:val="00EC485C"/>
    <w:rsid w:val="00EC50B2"/>
    <w:rsid w:val="00EC72DF"/>
    <w:rsid w:val="00ED2322"/>
    <w:rsid w:val="00ED3439"/>
    <w:rsid w:val="00ED36F7"/>
    <w:rsid w:val="00ED5A85"/>
    <w:rsid w:val="00ED5B3C"/>
    <w:rsid w:val="00ED6E12"/>
    <w:rsid w:val="00ED77C1"/>
    <w:rsid w:val="00EE009B"/>
    <w:rsid w:val="00EE2F2C"/>
    <w:rsid w:val="00EE4AB5"/>
    <w:rsid w:val="00EE4E9C"/>
    <w:rsid w:val="00EF2C37"/>
    <w:rsid w:val="00EF7299"/>
    <w:rsid w:val="00F017C1"/>
    <w:rsid w:val="00F02858"/>
    <w:rsid w:val="00F02C3F"/>
    <w:rsid w:val="00F0485E"/>
    <w:rsid w:val="00F04AA1"/>
    <w:rsid w:val="00F04B62"/>
    <w:rsid w:val="00F05AEC"/>
    <w:rsid w:val="00F069AA"/>
    <w:rsid w:val="00F11FB2"/>
    <w:rsid w:val="00F13B22"/>
    <w:rsid w:val="00F14106"/>
    <w:rsid w:val="00F14DCD"/>
    <w:rsid w:val="00F14EE6"/>
    <w:rsid w:val="00F1730E"/>
    <w:rsid w:val="00F17763"/>
    <w:rsid w:val="00F21F0C"/>
    <w:rsid w:val="00F239D9"/>
    <w:rsid w:val="00F26C66"/>
    <w:rsid w:val="00F31383"/>
    <w:rsid w:val="00F33500"/>
    <w:rsid w:val="00F367BD"/>
    <w:rsid w:val="00F46E13"/>
    <w:rsid w:val="00F473DF"/>
    <w:rsid w:val="00F53E01"/>
    <w:rsid w:val="00F54869"/>
    <w:rsid w:val="00F55A24"/>
    <w:rsid w:val="00F57221"/>
    <w:rsid w:val="00F61EAF"/>
    <w:rsid w:val="00F6415B"/>
    <w:rsid w:val="00F64955"/>
    <w:rsid w:val="00F748A3"/>
    <w:rsid w:val="00F76C84"/>
    <w:rsid w:val="00F80A8D"/>
    <w:rsid w:val="00F84BD3"/>
    <w:rsid w:val="00F93D42"/>
    <w:rsid w:val="00F96221"/>
    <w:rsid w:val="00F97516"/>
    <w:rsid w:val="00FA162D"/>
    <w:rsid w:val="00FA3F3B"/>
    <w:rsid w:val="00FB58CE"/>
    <w:rsid w:val="00FB65B6"/>
    <w:rsid w:val="00FC1A3B"/>
    <w:rsid w:val="00FC2DD3"/>
    <w:rsid w:val="00FC5775"/>
    <w:rsid w:val="00FC6992"/>
    <w:rsid w:val="00FD1AD0"/>
    <w:rsid w:val="00FD1CFD"/>
    <w:rsid w:val="00FD5932"/>
    <w:rsid w:val="00FD68FC"/>
    <w:rsid w:val="00FD73B9"/>
    <w:rsid w:val="00FE1098"/>
    <w:rsid w:val="00FE3BEF"/>
    <w:rsid w:val="00FE74C2"/>
    <w:rsid w:val="00FE7A14"/>
    <w:rsid w:val="00FF17E0"/>
    <w:rsid w:val="00FF455A"/>
    <w:rsid w:val="00FF4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37"/>
  </w:style>
  <w:style w:type="paragraph" w:styleId="Heading1">
    <w:name w:val="heading 1"/>
    <w:basedOn w:val="Normal"/>
    <w:next w:val="Normal"/>
    <w:qFormat/>
    <w:rsid w:val="00CB4B37"/>
    <w:pPr>
      <w:keepNext/>
      <w:jc w:val="center"/>
      <w:outlineLvl w:val="0"/>
    </w:pPr>
    <w:rPr>
      <w:b/>
    </w:rPr>
  </w:style>
  <w:style w:type="paragraph" w:styleId="Heading2">
    <w:name w:val="heading 2"/>
    <w:basedOn w:val="Normal"/>
    <w:next w:val="Normal"/>
    <w:qFormat/>
    <w:rsid w:val="00CB4B37"/>
    <w:pPr>
      <w:keepNext/>
      <w:outlineLvl w:val="1"/>
    </w:pPr>
    <w:rPr>
      <w:b/>
    </w:rPr>
  </w:style>
  <w:style w:type="paragraph" w:styleId="Heading3">
    <w:name w:val="heading 3"/>
    <w:basedOn w:val="Normal"/>
    <w:next w:val="Normal"/>
    <w:qFormat/>
    <w:rsid w:val="00CB4B37"/>
    <w:pPr>
      <w:keepNext/>
      <w:outlineLvl w:val="2"/>
    </w:pPr>
    <w:rPr>
      <w:sz w:val="24"/>
    </w:rPr>
  </w:style>
  <w:style w:type="paragraph" w:styleId="Heading4">
    <w:name w:val="heading 4"/>
    <w:basedOn w:val="Normal"/>
    <w:next w:val="Normal"/>
    <w:link w:val="Heading4Char"/>
    <w:qFormat/>
    <w:rsid w:val="00CB4B37"/>
    <w:pPr>
      <w:keepNext/>
      <w:outlineLvl w:val="3"/>
    </w:pPr>
    <w:rPr>
      <w:b/>
      <w:sz w:val="24"/>
    </w:rPr>
  </w:style>
  <w:style w:type="paragraph" w:styleId="Heading5">
    <w:name w:val="heading 5"/>
    <w:basedOn w:val="Normal"/>
    <w:next w:val="Normal"/>
    <w:qFormat/>
    <w:rsid w:val="00CB4B37"/>
    <w:pPr>
      <w:keepNext/>
      <w:outlineLvl w:val="4"/>
    </w:pPr>
    <w:rPr>
      <w:sz w:val="24"/>
      <w:u w:val="single"/>
    </w:rPr>
  </w:style>
  <w:style w:type="paragraph" w:styleId="Heading6">
    <w:name w:val="heading 6"/>
    <w:basedOn w:val="Normal"/>
    <w:next w:val="Normal"/>
    <w:qFormat/>
    <w:rsid w:val="00CB4B37"/>
    <w:pPr>
      <w:keepNext/>
      <w:ind w:left="720" w:firstLine="720"/>
      <w:outlineLvl w:val="5"/>
    </w:pPr>
    <w:rPr>
      <w:sz w:val="24"/>
    </w:rPr>
  </w:style>
  <w:style w:type="paragraph" w:styleId="Heading7">
    <w:name w:val="heading 7"/>
    <w:basedOn w:val="Normal"/>
    <w:next w:val="Normal"/>
    <w:qFormat/>
    <w:rsid w:val="00CB4B37"/>
    <w:pPr>
      <w:keepNext/>
      <w:ind w:left="1440"/>
      <w:outlineLvl w:val="6"/>
    </w:pPr>
    <w:rPr>
      <w:sz w:val="24"/>
    </w:rPr>
  </w:style>
  <w:style w:type="paragraph" w:styleId="Heading8">
    <w:name w:val="heading 8"/>
    <w:basedOn w:val="Normal"/>
    <w:next w:val="Normal"/>
    <w:qFormat/>
    <w:rsid w:val="00CB4B37"/>
    <w:pPr>
      <w:keepNext/>
      <w:outlineLvl w:val="7"/>
    </w:pPr>
    <w:rPr>
      <w:b/>
      <w:sz w:val="24"/>
      <w:u w:val="single"/>
    </w:rPr>
  </w:style>
  <w:style w:type="paragraph" w:styleId="Heading9">
    <w:name w:val="heading 9"/>
    <w:basedOn w:val="Normal"/>
    <w:next w:val="Normal"/>
    <w:qFormat/>
    <w:rsid w:val="00CB4B37"/>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4B37"/>
    <w:pPr>
      <w:jc w:val="center"/>
    </w:pPr>
    <w:rPr>
      <w:sz w:val="24"/>
    </w:rPr>
  </w:style>
  <w:style w:type="paragraph" w:styleId="BodyText">
    <w:name w:val="Body Text"/>
    <w:basedOn w:val="Normal"/>
    <w:link w:val="BodyTextChar"/>
    <w:uiPriority w:val="99"/>
    <w:semiHidden/>
    <w:rsid w:val="00CB4B37"/>
    <w:rPr>
      <w:sz w:val="24"/>
    </w:rPr>
  </w:style>
  <w:style w:type="paragraph" w:styleId="Header">
    <w:name w:val="header"/>
    <w:basedOn w:val="Normal"/>
    <w:rsid w:val="00CB4B37"/>
    <w:pPr>
      <w:tabs>
        <w:tab w:val="center" w:pos="4320"/>
        <w:tab w:val="right" w:pos="8640"/>
      </w:tabs>
    </w:pPr>
  </w:style>
  <w:style w:type="paragraph" w:styleId="Footer">
    <w:name w:val="footer"/>
    <w:basedOn w:val="Normal"/>
    <w:semiHidden/>
    <w:rsid w:val="00CB4B37"/>
    <w:pPr>
      <w:tabs>
        <w:tab w:val="center" w:pos="4320"/>
        <w:tab w:val="right" w:pos="8640"/>
      </w:tabs>
    </w:pPr>
  </w:style>
  <w:style w:type="character" w:styleId="PageNumber">
    <w:name w:val="page number"/>
    <w:basedOn w:val="DefaultParagraphFont"/>
    <w:semiHidden/>
    <w:rsid w:val="00CB4B37"/>
  </w:style>
  <w:style w:type="paragraph" w:styleId="List">
    <w:name w:val="List"/>
    <w:basedOn w:val="Normal"/>
    <w:semiHidden/>
    <w:rsid w:val="00CB4B37"/>
    <w:pPr>
      <w:ind w:left="360" w:hanging="360"/>
    </w:pPr>
  </w:style>
  <w:style w:type="paragraph" w:styleId="List2">
    <w:name w:val="List 2"/>
    <w:basedOn w:val="Normal"/>
    <w:semiHidden/>
    <w:rsid w:val="00CB4B37"/>
    <w:pPr>
      <w:ind w:left="720" w:hanging="360"/>
    </w:pPr>
  </w:style>
  <w:style w:type="paragraph" w:styleId="ListBullet">
    <w:name w:val="List Bullet"/>
    <w:basedOn w:val="Normal"/>
    <w:autoRedefine/>
    <w:semiHidden/>
    <w:rsid w:val="00CB4B37"/>
    <w:pPr>
      <w:numPr>
        <w:numId w:val="2"/>
      </w:numPr>
    </w:pPr>
  </w:style>
  <w:style w:type="paragraph" w:styleId="ListBullet2">
    <w:name w:val="List Bullet 2"/>
    <w:basedOn w:val="Normal"/>
    <w:autoRedefine/>
    <w:semiHidden/>
    <w:rsid w:val="00CB4B37"/>
    <w:pPr>
      <w:numPr>
        <w:numId w:val="3"/>
      </w:numPr>
    </w:pPr>
  </w:style>
  <w:style w:type="paragraph" w:styleId="ListContinue2">
    <w:name w:val="List Continue 2"/>
    <w:basedOn w:val="Normal"/>
    <w:semiHidden/>
    <w:rsid w:val="00CB4B37"/>
    <w:pPr>
      <w:spacing w:after="120"/>
      <w:ind w:left="720"/>
    </w:pPr>
  </w:style>
  <w:style w:type="paragraph" w:customStyle="1" w:styleId="InsideAddress">
    <w:name w:val="Inside Address"/>
    <w:basedOn w:val="Normal"/>
    <w:rsid w:val="00CB4B37"/>
  </w:style>
  <w:style w:type="paragraph" w:styleId="BodyTextIndent">
    <w:name w:val="Body Text Indent"/>
    <w:basedOn w:val="Normal"/>
    <w:semiHidden/>
    <w:rsid w:val="00CB4B37"/>
    <w:pPr>
      <w:spacing w:after="120"/>
      <w:ind w:left="360"/>
    </w:pPr>
  </w:style>
  <w:style w:type="paragraph" w:styleId="Subtitle">
    <w:name w:val="Subtitle"/>
    <w:basedOn w:val="Normal"/>
    <w:qFormat/>
    <w:rsid w:val="00CB4B37"/>
    <w:pPr>
      <w:spacing w:after="60"/>
      <w:jc w:val="center"/>
      <w:outlineLvl w:val="1"/>
    </w:pPr>
    <w:rPr>
      <w:rFonts w:ascii="Arial" w:hAnsi="Arial"/>
      <w:sz w:val="24"/>
    </w:rPr>
  </w:style>
  <w:style w:type="paragraph" w:customStyle="1" w:styleId="ReferenceLine">
    <w:name w:val="Reference Line"/>
    <w:basedOn w:val="BodyText"/>
    <w:rsid w:val="00CB4B37"/>
  </w:style>
  <w:style w:type="paragraph" w:styleId="BodyText2">
    <w:name w:val="Body Text 2"/>
    <w:basedOn w:val="Normal"/>
    <w:semiHidden/>
    <w:rsid w:val="00CB4B37"/>
    <w:pPr>
      <w:spacing w:line="480" w:lineRule="auto"/>
      <w:jc w:val="center"/>
    </w:pPr>
    <w:rPr>
      <w:b/>
      <w:sz w:val="32"/>
    </w:rPr>
  </w:style>
  <w:style w:type="paragraph" w:styleId="TOC1">
    <w:name w:val="toc 1"/>
    <w:basedOn w:val="Normal"/>
    <w:next w:val="Normal"/>
    <w:autoRedefine/>
    <w:uiPriority w:val="39"/>
    <w:rsid w:val="004D1FBA"/>
    <w:pPr>
      <w:tabs>
        <w:tab w:val="left" w:pos="720"/>
        <w:tab w:val="right" w:leader="dot" w:pos="9360"/>
      </w:tabs>
      <w:spacing w:before="240" w:line="480" w:lineRule="auto"/>
    </w:pPr>
    <w:rPr>
      <w:b/>
      <w:noProof/>
      <w:sz w:val="24"/>
    </w:rPr>
  </w:style>
  <w:style w:type="paragraph" w:styleId="TOC2">
    <w:name w:val="toc 2"/>
    <w:basedOn w:val="Normal"/>
    <w:next w:val="Normal"/>
    <w:autoRedefine/>
    <w:uiPriority w:val="39"/>
    <w:rsid w:val="00CB4B37"/>
    <w:pPr>
      <w:tabs>
        <w:tab w:val="left" w:pos="720"/>
        <w:tab w:val="left" w:pos="1170"/>
        <w:tab w:val="right" w:leader="dot" w:pos="9350"/>
      </w:tabs>
      <w:ind w:left="720"/>
    </w:pPr>
    <w:rPr>
      <w:noProof/>
      <w:sz w:val="24"/>
    </w:rPr>
  </w:style>
  <w:style w:type="paragraph" w:customStyle="1" w:styleId="BHLevel2">
    <w:name w:val="BHLevel2"/>
    <w:basedOn w:val="Normal"/>
    <w:next w:val="Normal"/>
    <w:rsid w:val="00CB4B37"/>
    <w:pPr>
      <w:keepNext/>
      <w:numPr>
        <w:numId w:val="7"/>
      </w:numPr>
      <w:spacing w:before="240" w:after="240"/>
      <w:outlineLvl w:val="1"/>
    </w:pPr>
    <w:rPr>
      <w:b/>
      <w:sz w:val="24"/>
      <w:u w:val="single"/>
    </w:rPr>
  </w:style>
  <w:style w:type="paragraph" w:customStyle="1" w:styleId="BHLevel1">
    <w:name w:val="BHLevel1"/>
    <w:basedOn w:val="Normal"/>
    <w:next w:val="Normal"/>
    <w:rsid w:val="00CB4B37"/>
    <w:pPr>
      <w:numPr>
        <w:numId w:val="17"/>
      </w:numPr>
      <w:spacing w:before="240" w:after="240"/>
      <w:outlineLvl w:val="0"/>
    </w:pPr>
    <w:rPr>
      <w:b/>
      <w:caps/>
      <w:sz w:val="24"/>
      <w:u w:val="single"/>
    </w:rPr>
  </w:style>
  <w:style w:type="paragraph" w:styleId="ListBullet3">
    <w:name w:val="List Bullet 3"/>
    <w:basedOn w:val="Normal"/>
    <w:autoRedefine/>
    <w:semiHidden/>
    <w:rsid w:val="00CB4B37"/>
    <w:pPr>
      <w:tabs>
        <w:tab w:val="num" w:pos="1080"/>
      </w:tabs>
      <w:ind w:left="1080" w:hanging="360"/>
    </w:pPr>
    <w:rPr>
      <w:noProof/>
      <w:sz w:val="24"/>
    </w:rPr>
  </w:style>
  <w:style w:type="paragraph" w:styleId="ListBullet4">
    <w:name w:val="List Bullet 4"/>
    <w:basedOn w:val="Normal"/>
    <w:autoRedefine/>
    <w:semiHidden/>
    <w:rsid w:val="00CB4B37"/>
    <w:pPr>
      <w:tabs>
        <w:tab w:val="num" w:pos="1440"/>
      </w:tabs>
      <w:ind w:left="1440" w:hanging="360"/>
    </w:pPr>
    <w:rPr>
      <w:noProof/>
      <w:sz w:val="24"/>
    </w:rPr>
  </w:style>
  <w:style w:type="character" w:styleId="Hyperlink">
    <w:name w:val="Hyperlink"/>
    <w:basedOn w:val="DefaultParagraphFont"/>
    <w:rsid w:val="00CB4B37"/>
    <w:rPr>
      <w:color w:val="0000FF"/>
      <w:u w:val="single"/>
    </w:rPr>
  </w:style>
  <w:style w:type="paragraph" w:styleId="BodyTextIndent2">
    <w:name w:val="Body Text Indent 2"/>
    <w:basedOn w:val="Normal"/>
    <w:link w:val="BodyTextIndent2Char"/>
    <w:semiHidden/>
    <w:rsid w:val="00CB4B37"/>
    <w:pPr>
      <w:ind w:firstLine="720"/>
    </w:pPr>
    <w:rPr>
      <w:sz w:val="22"/>
    </w:rPr>
  </w:style>
  <w:style w:type="paragraph" w:styleId="BodyTextIndent3">
    <w:name w:val="Body Text Indent 3"/>
    <w:basedOn w:val="Normal"/>
    <w:semiHidden/>
    <w:rsid w:val="00CB4B37"/>
    <w:pPr>
      <w:ind w:left="720"/>
    </w:pPr>
    <w:rPr>
      <w:sz w:val="24"/>
    </w:rPr>
  </w:style>
  <w:style w:type="character" w:styleId="FollowedHyperlink">
    <w:name w:val="FollowedHyperlink"/>
    <w:basedOn w:val="DefaultParagraphFont"/>
    <w:semiHidden/>
    <w:rsid w:val="00CB4B37"/>
    <w:rPr>
      <w:color w:val="800080"/>
      <w:u w:val="single"/>
    </w:rPr>
  </w:style>
  <w:style w:type="paragraph" w:styleId="BodyText3">
    <w:name w:val="Body Text 3"/>
    <w:basedOn w:val="Normal"/>
    <w:semiHidden/>
    <w:rsid w:val="00CB4B37"/>
    <w:rPr>
      <w:b/>
      <w:i/>
      <w:iCs/>
      <w:sz w:val="24"/>
      <w:u w:val="single"/>
    </w:rPr>
  </w:style>
  <w:style w:type="paragraph" w:styleId="BalloonText">
    <w:name w:val="Balloon Text"/>
    <w:basedOn w:val="Normal"/>
    <w:semiHidden/>
    <w:rsid w:val="00CB4B37"/>
    <w:rPr>
      <w:rFonts w:ascii="Tahoma" w:hAnsi="Tahoma" w:cs="Tahoma"/>
      <w:sz w:val="16"/>
      <w:szCs w:val="16"/>
    </w:rPr>
  </w:style>
  <w:style w:type="paragraph" w:styleId="FootnoteText">
    <w:name w:val="footnote text"/>
    <w:basedOn w:val="Normal"/>
    <w:link w:val="FootnoteTextChar"/>
    <w:semiHidden/>
    <w:rsid w:val="00CB4B37"/>
  </w:style>
  <w:style w:type="character" w:customStyle="1" w:styleId="BHLevel1Char">
    <w:name w:val="BHLevel1 Char"/>
    <w:basedOn w:val="DefaultParagraphFont"/>
    <w:rsid w:val="00CB4B37"/>
    <w:rPr>
      <w:b/>
      <w:caps/>
      <w:noProof w:val="0"/>
      <w:sz w:val="24"/>
      <w:u w:val="single"/>
      <w:lang w:val="en-US" w:eastAsia="en-US" w:bidi="ar-SA"/>
    </w:rPr>
  </w:style>
  <w:style w:type="character" w:styleId="FootnoteReference">
    <w:name w:val="footnote reference"/>
    <w:basedOn w:val="DefaultParagraphFont"/>
    <w:semiHidden/>
    <w:rsid w:val="00CB4B37"/>
    <w:rPr>
      <w:vertAlign w:val="superscript"/>
    </w:rPr>
  </w:style>
  <w:style w:type="paragraph" w:customStyle="1" w:styleId="NumberList">
    <w:name w:val="Number List"/>
    <w:basedOn w:val="Normal"/>
    <w:rsid w:val="00CB4B37"/>
    <w:rPr>
      <w:noProof/>
      <w:sz w:val="24"/>
    </w:rPr>
  </w:style>
  <w:style w:type="paragraph" w:styleId="DocumentMap">
    <w:name w:val="Document Map"/>
    <w:basedOn w:val="Normal"/>
    <w:semiHidden/>
    <w:rsid w:val="00CB4B37"/>
    <w:pPr>
      <w:shd w:val="clear" w:color="auto" w:fill="000080"/>
    </w:pPr>
    <w:rPr>
      <w:rFonts w:ascii="Tahoma" w:hAnsi="Tahoma" w:cs="Tahoma"/>
    </w:rPr>
  </w:style>
  <w:style w:type="paragraph" w:customStyle="1" w:styleId="body">
    <w:name w:val="body"/>
    <w:basedOn w:val="Normal"/>
    <w:rsid w:val="00CB4B37"/>
    <w:pPr>
      <w:spacing w:before="100" w:beforeAutospacing="1" w:after="100" w:afterAutospacing="1"/>
    </w:pPr>
    <w:rPr>
      <w:rFonts w:ascii="Verdana" w:hAnsi="Verdana"/>
      <w:sz w:val="26"/>
      <w:szCs w:val="26"/>
    </w:rPr>
  </w:style>
  <w:style w:type="character" w:customStyle="1" w:styleId="body1">
    <w:name w:val="body1"/>
    <w:basedOn w:val="DefaultParagraphFont"/>
    <w:rsid w:val="00CB4B37"/>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CB4B37"/>
    <w:pPr>
      <w:spacing w:before="100" w:beforeAutospacing="1" w:after="100" w:afterAutospacing="1"/>
      <w:ind w:left="1440" w:right="1440"/>
    </w:pPr>
    <w:rPr>
      <w:color w:val="464646"/>
      <w:spacing w:val="4"/>
      <w:sz w:val="28"/>
    </w:rPr>
  </w:style>
  <w:style w:type="paragraph" w:customStyle="1" w:styleId="Outlinea">
    <w:name w:val="Outline a"/>
    <w:basedOn w:val="BodyText"/>
    <w:link w:val="OutlineaChar"/>
    <w:rsid w:val="00CB4B37"/>
    <w:pPr>
      <w:tabs>
        <w:tab w:val="num" w:pos="720"/>
      </w:tabs>
      <w:spacing w:after="240"/>
      <w:ind w:left="720" w:hanging="360"/>
    </w:pPr>
  </w:style>
  <w:style w:type="paragraph" w:styleId="NormalWeb">
    <w:name w:val="Normal (Web)"/>
    <w:basedOn w:val="Normal"/>
    <w:uiPriority w:val="99"/>
    <w:semiHidden/>
    <w:rsid w:val="00CB4B37"/>
    <w:pPr>
      <w:spacing w:before="100" w:beforeAutospacing="1" w:after="100" w:afterAutospacing="1"/>
    </w:pPr>
    <w:rPr>
      <w:sz w:val="24"/>
      <w:szCs w:val="24"/>
    </w:rPr>
  </w:style>
  <w:style w:type="paragraph" w:customStyle="1" w:styleId="Outline1">
    <w:name w:val="Outline 1"/>
    <w:basedOn w:val="BodyText"/>
    <w:rsid w:val="00CB4B37"/>
    <w:pPr>
      <w:tabs>
        <w:tab w:val="num" w:pos="360"/>
        <w:tab w:val="left" w:pos="504"/>
      </w:tabs>
      <w:spacing w:after="240"/>
      <w:ind w:left="360" w:hanging="360"/>
    </w:pPr>
  </w:style>
  <w:style w:type="character" w:styleId="Strong">
    <w:name w:val="Strong"/>
    <w:basedOn w:val="DefaultParagraphFont"/>
    <w:qFormat/>
    <w:rsid w:val="00CB4B37"/>
    <w:rPr>
      <w:b/>
      <w:bCs/>
    </w:rPr>
  </w:style>
  <w:style w:type="character" w:styleId="Emphasis">
    <w:name w:val="Emphasis"/>
    <w:basedOn w:val="DefaultParagraphFont"/>
    <w:qFormat/>
    <w:rsid w:val="00CB4B37"/>
    <w:rPr>
      <w:i/>
      <w:iCs/>
    </w:rPr>
  </w:style>
  <w:style w:type="paragraph" w:customStyle="1" w:styleId="Outlinelevel5">
    <w:name w:val="Outline level 5"/>
    <w:basedOn w:val="BodyText"/>
    <w:rsid w:val="00CB4B37"/>
    <w:pPr>
      <w:tabs>
        <w:tab w:val="num" w:pos="1980"/>
        <w:tab w:val="left" w:pos="2592"/>
      </w:tabs>
      <w:spacing w:after="240"/>
      <w:ind w:left="1980" w:hanging="360"/>
    </w:pPr>
  </w:style>
  <w:style w:type="paragraph" w:customStyle="1" w:styleId="Outline1Char">
    <w:name w:val="Outline 1 Char"/>
    <w:basedOn w:val="BodyText"/>
    <w:rsid w:val="00CB4B37"/>
    <w:pPr>
      <w:tabs>
        <w:tab w:val="left" w:pos="504"/>
      </w:tabs>
      <w:spacing w:after="240"/>
      <w:ind w:left="720" w:hanging="360"/>
    </w:pPr>
  </w:style>
  <w:style w:type="paragraph" w:customStyle="1" w:styleId="Outline10">
    <w:name w:val="Outline (1)"/>
    <w:basedOn w:val="BodyText"/>
    <w:link w:val="Outline1Char0"/>
    <w:rsid w:val="00CB4B37"/>
    <w:pPr>
      <w:tabs>
        <w:tab w:val="num" w:pos="1152"/>
        <w:tab w:val="left" w:pos="1584"/>
      </w:tabs>
      <w:spacing w:after="240"/>
      <w:ind w:left="1152" w:hanging="432"/>
    </w:pPr>
  </w:style>
  <w:style w:type="paragraph" w:customStyle="1" w:styleId="Outlinea0">
    <w:name w:val="Outline (a)"/>
    <w:basedOn w:val="BodyText"/>
    <w:rsid w:val="00CB4B37"/>
    <w:pPr>
      <w:tabs>
        <w:tab w:val="num" w:pos="1584"/>
        <w:tab w:val="left" w:pos="2160"/>
      </w:tabs>
      <w:spacing w:after="240"/>
      <w:ind w:left="1584" w:hanging="432"/>
    </w:pPr>
  </w:style>
  <w:style w:type="paragraph" w:customStyle="1" w:styleId="Outlinelevel6">
    <w:name w:val="Outline level 6"/>
    <w:basedOn w:val="BodyText"/>
    <w:rsid w:val="00CB4B37"/>
    <w:pPr>
      <w:tabs>
        <w:tab w:val="num" w:pos="2304"/>
        <w:tab w:val="left" w:pos="3024"/>
      </w:tabs>
      <w:spacing w:after="240"/>
      <w:ind w:left="2304" w:hanging="360"/>
    </w:pPr>
  </w:style>
  <w:style w:type="paragraph" w:styleId="ListParagraph">
    <w:name w:val="List Paragraph"/>
    <w:basedOn w:val="Normal"/>
    <w:uiPriority w:val="34"/>
    <w:qFormat/>
    <w:rsid w:val="00CB4B37"/>
    <w:pPr>
      <w:ind w:left="720"/>
    </w:pPr>
  </w:style>
  <w:style w:type="character" w:customStyle="1" w:styleId="Heading9Char">
    <w:name w:val="Heading 9 Char"/>
    <w:basedOn w:val="DefaultParagraphFont"/>
    <w:rsid w:val="00CB4B37"/>
    <w:rPr>
      <w:sz w:val="24"/>
    </w:rPr>
  </w:style>
  <w:style w:type="character" w:customStyle="1" w:styleId="HeaderChar">
    <w:name w:val="Header Char"/>
    <w:basedOn w:val="DefaultParagraphFont"/>
    <w:rsid w:val="00CB4B37"/>
  </w:style>
  <w:style w:type="character" w:styleId="SubtleReference">
    <w:name w:val="Subtle Reference"/>
    <w:basedOn w:val="DefaultParagraphFont"/>
    <w:qFormat/>
    <w:rsid w:val="00CB4B37"/>
    <w:rPr>
      <w:smallCaps/>
      <w:color w:val="C0504D"/>
      <w:u w:val="single"/>
    </w:rPr>
  </w:style>
  <w:style w:type="table" w:styleId="TableGrid">
    <w:name w:val="Table Grid"/>
    <w:basedOn w:val="TableNormal"/>
    <w:rsid w:val="00DD4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E48B9"/>
    <w:rPr>
      <w:b/>
      <w:sz w:val="24"/>
    </w:rPr>
  </w:style>
  <w:style w:type="character" w:customStyle="1" w:styleId="FootnoteTextChar">
    <w:name w:val="Footnote Text Char"/>
    <w:basedOn w:val="DefaultParagraphFont"/>
    <w:link w:val="FootnoteText"/>
    <w:semiHidden/>
    <w:rsid w:val="00BE48B9"/>
  </w:style>
  <w:style w:type="character" w:styleId="CommentReference">
    <w:name w:val="annotation reference"/>
    <w:basedOn w:val="DefaultParagraphFont"/>
    <w:uiPriority w:val="99"/>
    <w:semiHidden/>
    <w:unhideWhenUsed/>
    <w:rsid w:val="00E10723"/>
    <w:rPr>
      <w:sz w:val="16"/>
      <w:szCs w:val="16"/>
    </w:rPr>
  </w:style>
  <w:style w:type="paragraph" w:styleId="CommentText">
    <w:name w:val="annotation text"/>
    <w:basedOn w:val="Normal"/>
    <w:link w:val="CommentTextChar"/>
    <w:semiHidden/>
    <w:unhideWhenUsed/>
    <w:rsid w:val="00E10723"/>
  </w:style>
  <w:style w:type="character" w:customStyle="1" w:styleId="CommentTextChar">
    <w:name w:val="Comment Text Char"/>
    <w:basedOn w:val="DefaultParagraphFont"/>
    <w:link w:val="CommentText"/>
    <w:uiPriority w:val="99"/>
    <w:semiHidden/>
    <w:rsid w:val="00E10723"/>
  </w:style>
  <w:style w:type="paragraph" w:styleId="CommentSubject">
    <w:name w:val="annotation subject"/>
    <w:basedOn w:val="CommentText"/>
    <w:next w:val="CommentText"/>
    <w:link w:val="CommentSubjectChar"/>
    <w:uiPriority w:val="99"/>
    <w:semiHidden/>
    <w:unhideWhenUsed/>
    <w:rsid w:val="00E10723"/>
    <w:rPr>
      <w:b/>
      <w:bCs/>
    </w:rPr>
  </w:style>
  <w:style w:type="character" w:customStyle="1" w:styleId="CommentSubjectChar">
    <w:name w:val="Comment Subject Char"/>
    <w:basedOn w:val="CommentTextChar"/>
    <w:link w:val="CommentSubject"/>
    <w:uiPriority w:val="99"/>
    <w:semiHidden/>
    <w:rsid w:val="00E10723"/>
    <w:rPr>
      <w:b/>
      <w:bCs/>
    </w:rPr>
  </w:style>
  <w:style w:type="paragraph" w:customStyle="1" w:styleId="Default">
    <w:name w:val="Default"/>
    <w:rsid w:val="00180653"/>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3759EA"/>
  </w:style>
  <w:style w:type="character" w:customStyle="1" w:styleId="OutlineaChar">
    <w:name w:val="Outline a Char"/>
    <w:basedOn w:val="DefaultParagraphFont"/>
    <w:link w:val="Outlinea"/>
    <w:rsid w:val="00451F35"/>
    <w:rPr>
      <w:sz w:val="24"/>
    </w:rPr>
  </w:style>
  <w:style w:type="character" w:customStyle="1" w:styleId="Outline1Char0">
    <w:name w:val="Outline (1) Char"/>
    <w:basedOn w:val="DefaultParagraphFont"/>
    <w:link w:val="Outline10"/>
    <w:rsid w:val="00300EFE"/>
    <w:rPr>
      <w:sz w:val="24"/>
    </w:rPr>
  </w:style>
  <w:style w:type="paragraph" w:styleId="HTMLPreformatted">
    <w:name w:val="HTML Preformatted"/>
    <w:basedOn w:val="Normal"/>
    <w:link w:val="HTMLPreformattedChar"/>
    <w:uiPriority w:val="99"/>
    <w:unhideWhenUsed/>
    <w:rsid w:val="00D7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77862"/>
    <w:rPr>
      <w:rFonts w:ascii="Courier New" w:hAnsi="Courier New" w:cs="Courier New"/>
    </w:rPr>
  </w:style>
  <w:style w:type="character" w:customStyle="1" w:styleId="BodyTextChar">
    <w:name w:val="Body Text Char"/>
    <w:basedOn w:val="DefaultParagraphFont"/>
    <w:link w:val="BodyText"/>
    <w:uiPriority w:val="99"/>
    <w:semiHidden/>
    <w:rsid w:val="004B5E77"/>
    <w:rPr>
      <w:sz w:val="24"/>
    </w:rPr>
  </w:style>
  <w:style w:type="character" w:customStyle="1" w:styleId="BodyTextIndent2Char">
    <w:name w:val="Body Text Indent 2 Char"/>
    <w:basedOn w:val="DefaultParagraphFont"/>
    <w:link w:val="BodyTextIndent2"/>
    <w:semiHidden/>
    <w:rsid w:val="00DB2C2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37"/>
  </w:style>
  <w:style w:type="paragraph" w:styleId="Heading1">
    <w:name w:val="heading 1"/>
    <w:basedOn w:val="Normal"/>
    <w:next w:val="Normal"/>
    <w:qFormat/>
    <w:rsid w:val="00CB4B37"/>
    <w:pPr>
      <w:keepNext/>
      <w:jc w:val="center"/>
      <w:outlineLvl w:val="0"/>
    </w:pPr>
    <w:rPr>
      <w:b/>
    </w:rPr>
  </w:style>
  <w:style w:type="paragraph" w:styleId="Heading2">
    <w:name w:val="heading 2"/>
    <w:basedOn w:val="Normal"/>
    <w:next w:val="Normal"/>
    <w:qFormat/>
    <w:rsid w:val="00CB4B37"/>
    <w:pPr>
      <w:keepNext/>
      <w:outlineLvl w:val="1"/>
    </w:pPr>
    <w:rPr>
      <w:b/>
    </w:rPr>
  </w:style>
  <w:style w:type="paragraph" w:styleId="Heading3">
    <w:name w:val="heading 3"/>
    <w:basedOn w:val="Normal"/>
    <w:next w:val="Normal"/>
    <w:qFormat/>
    <w:rsid w:val="00CB4B37"/>
    <w:pPr>
      <w:keepNext/>
      <w:outlineLvl w:val="2"/>
    </w:pPr>
    <w:rPr>
      <w:sz w:val="24"/>
    </w:rPr>
  </w:style>
  <w:style w:type="paragraph" w:styleId="Heading4">
    <w:name w:val="heading 4"/>
    <w:basedOn w:val="Normal"/>
    <w:next w:val="Normal"/>
    <w:link w:val="Heading4Char"/>
    <w:qFormat/>
    <w:rsid w:val="00CB4B37"/>
    <w:pPr>
      <w:keepNext/>
      <w:outlineLvl w:val="3"/>
    </w:pPr>
    <w:rPr>
      <w:b/>
      <w:sz w:val="24"/>
    </w:rPr>
  </w:style>
  <w:style w:type="paragraph" w:styleId="Heading5">
    <w:name w:val="heading 5"/>
    <w:basedOn w:val="Normal"/>
    <w:next w:val="Normal"/>
    <w:qFormat/>
    <w:rsid w:val="00CB4B37"/>
    <w:pPr>
      <w:keepNext/>
      <w:outlineLvl w:val="4"/>
    </w:pPr>
    <w:rPr>
      <w:sz w:val="24"/>
      <w:u w:val="single"/>
    </w:rPr>
  </w:style>
  <w:style w:type="paragraph" w:styleId="Heading6">
    <w:name w:val="heading 6"/>
    <w:basedOn w:val="Normal"/>
    <w:next w:val="Normal"/>
    <w:qFormat/>
    <w:rsid w:val="00CB4B37"/>
    <w:pPr>
      <w:keepNext/>
      <w:ind w:left="720" w:firstLine="720"/>
      <w:outlineLvl w:val="5"/>
    </w:pPr>
    <w:rPr>
      <w:sz w:val="24"/>
    </w:rPr>
  </w:style>
  <w:style w:type="paragraph" w:styleId="Heading7">
    <w:name w:val="heading 7"/>
    <w:basedOn w:val="Normal"/>
    <w:next w:val="Normal"/>
    <w:qFormat/>
    <w:rsid w:val="00CB4B37"/>
    <w:pPr>
      <w:keepNext/>
      <w:ind w:left="1440"/>
      <w:outlineLvl w:val="6"/>
    </w:pPr>
    <w:rPr>
      <w:sz w:val="24"/>
    </w:rPr>
  </w:style>
  <w:style w:type="paragraph" w:styleId="Heading8">
    <w:name w:val="heading 8"/>
    <w:basedOn w:val="Normal"/>
    <w:next w:val="Normal"/>
    <w:qFormat/>
    <w:rsid w:val="00CB4B37"/>
    <w:pPr>
      <w:keepNext/>
      <w:outlineLvl w:val="7"/>
    </w:pPr>
    <w:rPr>
      <w:b/>
      <w:sz w:val="24"/>
      <w:u w:val="single"/>
    </w:rPr>
  </w:style>
  <w:style w:type="paragraph" w:styleId="Heading9">
    <w:name w:val="heading 9"/>
    <w:basedOn w:val="Normal"/>
    <w:next w:val="Normal"/>
    <w:qFormat/>
    <w:rsid w:val="00CB4B37"/>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4B37"/>
    <w:pPr>
      <w:jc w:val="center"/>
    </w:pPr>
    <w:rPr>
      <w:sz w:val="24"/>
    </w:rPr>
  </w:style>
  <w:style w:type="paragraph" w:styleId="BodyText">
    <w:name w:val="Body Text"/>
    <w:basedOn w:val="Normal"/>
    <w:link w:val="BodyTextChar"/>
    <w:uiPriority w:val="99"/>
    <w:semiHidden/>
    <w:rsid w:val="00CB4B37"/>
    <w:rPr>
      <w:sz w:val="24"/>
    </w:rPr>
  </w:style>
  <w:style w:type="paragraph" w:styleId="Header">
    <w:name w:val="header"/>
    <w:basedOn w:val="Normal"/>
    <w:rsid w:val="00CB4B37"/>
    <w:pPr>
      <w:tabs>
        <w:tab w:val="center" w:pos="4320"/>
        <w:tab w:val="right" w:pos="8640"/>
      </w:tabs>
    </w:pPr>
  </w:style>
  <w:style w:type="paragraph" w:styleId="Footer">
    <w:name w:val="footer"/>
    <w:basedOn w:val="Normal"/>
    <w:semiHidden/>
    <w:rsid w:val="00CB4B37"/>
    <w:pPr>
      <w:tabs>
        <w:tab w:val="center" w:pos="4320"/>
        <w:tab w:val="right" w:pos="8640"/>
      </w:tabs>
    </w:pPr>
  </w:style>
  <w:style w:type="character" w:styleId="PageNumber">
    <w:name w:val="page number"/>
    <w:basedOn w:val="DefaultParagraphFont"/>
    <w:semiHidden/>
    <w:rsid w:val="00CB4B37"/>
  </w:style>
  <w:style w:type="paragraph" w:styleId="List">
    <w:name w:val="List"/>
    <w:basedOn w:val="Normal"/>
    <w:semiHidden/>
    <w:rsid w:val="00CB4B37"/>
    <w:pPr>
      <w:ind w:left="360" w:hanging="360"/>
    </w:pPr>
  </w:style>
  <w:style w:type="paragraph" w:styleId="List2">
    <w:name w:val="List 2"/>
    <w:basedOn w:val="Normal"/>
    <w:semiHidden/>
    <w:rsid w:val="00CB4B37"/>
    <w:pPr>
      <w:ind w:left="720" w:hanging="360"/>
    </w:pPr>
  </w:style>
  <w:style w:type="paragraph" w:styleId="ListBullet">
    <w:name w:val="List Bullet"/>
    <w:basedOn w:val="Normal"/>
    <w:autoRedefine/>
    <w:semiHidden/>
    <w:rsid w:val="00CB4B37"/>
    <w:pPr>
      <w:numPr>
        <w:numId w:val="2"/>
      </w:numPr>
    </w:pPr>
  </w:style>
  <w:style w:type="paragraph" w:styleId="ListBullet2">
    <w:name w:val="List Bullet 2"/>
    <w:basedOn w:val="Normal"/>
    <w:autoRedefine/>
    <w:semiHidden/>
    <w:rsid w:val="00CB4B37"/>
    <w:pPr>
      <w:numPr>
        <w:numId w:val="3"/>
      </w:numPr>
    </w:pPr>
  </w:style>
  <w:style w:type="paragraph" w:styleId="ListContinue2">
    <w:name w:val="List Continue 2"/>
    <w:basedOn w:val="Normal"/>
    <w:semiHidden/>
    <w:rsid w:val="00CB4B37"/>
    <w:pPr>
      <w:spacing w:after="120"/>
      <w:ind w:left="720"/>
    </w:pPr>
  </w:style>
  <w:style w:type="paragraph" w:customStyle="1" w:styleId="InsideAddress">
    <w:name w:val="Inside Address"/>
    <w:basedOn w:val="Normal"/>
    <w:rsid w:val="00CB4B37"/>
  </w:style>
  <w:style w:type="paragraph" w:styleId="BodyTextIndent">
    <w:name w:val="Body Text Indent"/>
    <w:basedOn w:val="Normal"/>
    <w:semiHidden/>
    <w:rsid w:val="00CB4B37"/>
    <w:pPr>
      <w:spacing w:after="120"/>
      <w:ind w:left="360"/>
    </w:pPr>
  </w:style>
  <w:style w:type="paragraph" w:styleId="Subtitle">
    <w:name w:val="Subtitle"/>
    <w:basedOn w:val="Normal"/>
    <w:qFormat/>
    <w:rsid w:val="00CB4B37"/>
    <w:pPr>
      <w:spacing w:after="60"/>
      <w:jc w:val="center"/>
      <w:outlineLvl w:val="1"/>
    </w:pPr>
    <w:rPr>
      <w:rFonts w:ascii="Arial" w:hAnsi="Arial"/>
      <w:sz w:val="24"/>
    </w:rPr>
  </w:style>
  <w:style w:type="paragraph" w:customStyle="1" w:styleId="ReferenceLine">
    <w:name w:val="Reference Line"/>
    <w:basedOn w:val="BodyText"/>
    <w:rsid w:val="00CB4B37"/>
  </w:style>
  <w:style w:type="paragraph" w:styleId="BodyText2">
    <w:name w:val="Body Text 2"/>
    <w:basedOn w:val="Normal"/>
    <w:semiHidden/>
    <w:rsid w:val="00CB4B37"/>
    <w:pPr>
      <w:spacing w:line="480" w:lineRule="auto"/>
      <w:jc w:val="center"/>
    </w:pPr>
    <w:rPr>
      <w:b/>
      <w:sz w:val="32"/>
    </w:rPr>
  </w:style>
  <w:style w:type="paragraph" w:styleId="TOC1">
    <w:name w:val="toc 1"/>
    <w:basedOn w:val="Normal"/>
    <w:next w:val="Normal"/>
    <w:autoRedefine/>
    <w:uiPriority w:val="39"/>
    <w:rsid w:val="004D1FBA"/>
    <w:pPr>
      <w:tabs>
        <w:tab w:val="left" w:pos="720"/>
        <w:tab w:val="right" w:leader="dot" w:pos="9360"/>
      </w:tabs>
      <w:spacing w:before="240" w:line="480" w:lineRule="auto"/>
    </w:pPr>
    <w:rPr>
      <w:b/>
      <w:noProof/>
      <w:sz w:val="24"/>
    </w:rPr>
  </w:style>
  <w:style w:type="paragraph" w:styleId="TOC2">
    <w:name w:val="toc 2"/>
    <w:basedOn w:val="Normal"/>
    <w:next w:val="Normal"/>
    <w:autoRedefine/>
    <w:uiPriority w:val="39"/>
    <w:rsid w:val="00CB4B37"/>
    <w:pPr>
      <w:tabs>
        <w:tab w:val="left" w:pos="720"/>
        <w:tab w:val="left" w:pos="1170"/>
        <w:tab w:val="right" w:leader="dot" w:pos="9350"/>
      </w:tabs>
      <w:ind w:left="720"/>
    </w:pPr>
    <w:rPr>
      <w:noProof/>
      <w:sz w:val="24"/>
    </w:rPr>
  </w:style>
  <w:style w:type="paragraph" w:customStyle="1" w:styleId="BHLevel2">
    <w:name w:val="BHLevel2"/>
    <w:basedOn w:val="Normal"/>
    <w:next w:val="Normal"/>
    <w:rsid w:val="00CB4B37"/>
    <w:pPr>
      <w:keepNext/>
      <w:numPr>
        <w:numId w:val="7"/>
      </w:numPr>
      <w:spacing w:before="240" w:after="240"/>
      <w:outlineLvl w:val="1"/>
    </w:pPr>
    <w:rPr>
      <w:b/>
      <w:sz w:val="24"/>
      <w:u w:val="single"/>
    </w:rPr>
  </w:style>
  <w:style w:type="paragraph" w:customStyle="1" w:styleId="BHLevel1">
    <w:name w:val="BHLevel1"/>
    <w:basedOn w:val="Normal"/>
    <w:next w:val="Normal"/>
    <w:rsid w:val="00CB4B37"/>
    <w:pPr>
      <w:numPr>
        <w:numId w:val="17"/>
      </w:numPr>
      <w:spacing w:before="240" w:after="240"/>
      <w:outlineLvl w:val="0"/>
    </w:pPr>
    <w:rPr>
      <w:b/>
      <w:caps/>
      <w:sz w:val="24"/>
      <w:u w:val="single"/>
    </w:rPr>
  </w:style>
  <w:style w:type="paragraph" w:styleId="ListBullet3">
    <w:name w:val="List Bullet 3"/>
    <w:basedOn w:val="Normal"/>
    <w:autoRedefine/>
    <w:semiHidden/>
    <w:rsid w:val="00CB4B37"/>
    <w:pPr>
      <w:tabs>
        <w:tab w:val="num" w:pos="1080"/>
      </w:tabs>
      <w:ind w:left="1080" w:hanging="360"/>
    </w:pPr>
    <w:rPr>
      <w:noProof/>
      <w:sz w:val="24"/>
    </w:rPr>
  </w:style>
  <w:style w:type="paragraph" w:styleId="ListBullet4">
    <w:name w:val="List Bullet 4"/>
    <w:basedOn w:val="Normal"/>
    <w:autoRedefine/>
    <w:semiHidden/>
    <w:rsid w:val="00CB4B37"/>
    <w:pPr>
      <w:tabs>
        <w:tab w:val="num" w:pos="1440"/>
      </w:tabs>
      <w:ind w:left="1440" w:hanging="360"/>
    </w:pPr>
    <w:rPr>
      <w:noProof/>
      <w:sz w:val="24"/>
    </w:rPr>
  </w:style>
  <w:style w:type="character" w:styleId="Hyperlink">
    <w:name w:val="Hyperlink"/>
    <w:basedOn w:val="DefaultParagraphFont"/>
    <w:rsid w:val="00CB4B37"/>
    <w:rPr>
      <w:color w:val="0000FF"/>
      <w:u w:val="single"/>
    </w:rPr>
  </w:style>
  <w:style w:type="paragraph" w:styleId="BodyTextIndent2">
    <w:name w:val="Body Text Indent 2"/>
    <w:basedOn w:val="Normal"/>
    <w:link w:val="BodyTextIndent2Char"/>
    <w:semiHidden/>
    <w:rsid w:val="00CB4B37"/>
    <w:pPr>
      <w:ind w:firstLine="720"/>
    </w:pPr>
    <w:rPr>
      <w:sz w:val="22"/>
    </w:rPr>
  </w:style>
  <w:style w:type="paragraph" w:styleId="BodyTextIndent3">
    <w:name w:val="Body Text Indent 3"/>
    <w:basedOn w:val="Normal"/>
    <w:semiHidden/>
    <w:rsid w:val="00CB4B37"/>
    <w:pPr>
      <w:ind w:left="720"/>
    </w:pPr>
    <w:rPr>
      <w:sz w:val="24"/>
    </w:rPr>
  </w:style>
  <w:style w:type="character" w:styleId="FollowedHyperlink">
    <w:name w:val="FollowedHyperlink"/>
    <w:basedOn w:val="DefaultParagraphFont"/>
    <w:semiHidden/>
    <w:rsid w:val="00CB4B37"/>
    <w:rPr>
      <w:color w:val="800080"/>
      <w:u w:val="single"/>
    </w:rPr>
  </w:style>
  <w:style w:type="paragraph" w:styleId="BodyText3">
    <w:name w:val="Body Text 3"/>
    <w:basedOn w:val="Normal"/>
    <w:semiHidden/>
    <w:rsid w:val="00CB4B37"/>
    <w:rPr>
      <w:b/>
      <w:i/>
      <w:iCs/>
      <w:sz w:val="24"/>
      <w:u w:val="single"/>
    </w:rPr>
  </w:style>
  <w:style w:type="paragraph" w:styleId="BalloonText">
    <w:name w:val="Balloon Text"/>
    <w:basedOn w:val="Normal"/>
    <w:semiHidden/>
    <w:rsid w:val="00CB4B37"/>
    <w:rPr>
      <w:rFonts w:ascii="Tahoma" w:hAnsi="Tahoma" w:cs="Tahoma"/>
      <w:sz w:val="16"/>
      <w:szCs w:val="16"/>
    </w:rPr>
  </w:style>
  <w:style w:type="paragraph" w:styleId="FootnoteText">
    <w:name w:val="footnote text"/>
    <w:basedOn w:val="Normal"/>
    <w:link w:val="FootnoteTextChar"/>
    <w:semiHidden/>
    <w:rsid w:val="00CB4B37"/>
  </w:style>
  <w:style w:type="character" w:customStyle="1" w:styleId="BHLevel1Char">
    <w:name w:val="BHLevel1 Char"/>
    <w:basedOn w:val="DefaultParagraphFont"/>
    <w:rsid w:val="00CB4B37"/>
    <w:rPr>
      <w:b/>
      <w:caps/>
      <w:noProof w:val="0"/>
      <w:sz w:val="24"/>
      <w:u w:val="single"/>
      <w:lang w:val="en-US" w:eastAsia="en-US" w:bidi="ar-SA"/>
    </w:rPr>
  </w:style>
  <w:style w:type="character" w:styleId="FootnoteReference">
    <w:name w:val="footnote reference"/>
    <w:basedOn w:val="DefaultParagraphFont"/>
    <w:semiHidden/>
    <w:rsid w:val="00CB4B37"/>
    <w:rPr>
      <w:vertAlign w:val="superscript"/>
    </w:rPr>
  </w:style>
  <w:style w:type="paragraph" w:customStyle="1" w:styleId="NumberList">
    <w:name w:val="Number List"/>
    <w:basedOn w:val="Normal"/>
    <w:rsid w:val="00CB4B37"/>
    <w:rPr>
      <w:noProof/>
      <w:sz w:val="24"/>
    </w:rPr>
  </w:style>
  <w:style w:type="paragraph" w:styleId="DocumentMap">
    <w:name w:val="Document Map"/>
    <w:basedOn w:val="Normal"/>
    <w:semiHidden/>
    <w:rsid w:val="00CB4B37"/>
    <w:pPr>
      <w:shd w:val="clear" w:color="auto" w:fill="000080"/>
    </w:pPr>
    <w:rPr>
      <w:rFonts w:ascii="Tahoma" w:hAnsi="Tahoma" w:cs="Tahoma"/>
    </w:rPr>
  </w:style>
  <w:style w:type="paragraph" w:customStyle="1" w:styleId="body">
    <w:name w:val="body"/>
    <w:basedOn w:val="Normal"/>
    <w:rsid w:val="00CB4B37"/>
    <w:pPr>
      <w:spacing w:before="100" w:beforeAutospacing="1" w:after="100" w:afterAutospacing="1"/>
    </w:pPr>
    <w:rPr>
      <w:rFonts w:ascii="Verdana" w:hAnsi="Verdana"/>
      <w:sz w:val="26"/>
      <w:szCs w:val="26"/>
    </w:rPr>
  </w:style>
  <w:style w:type="character" w:customStyle="1" w:styleId="body1">
    <w:name w:val="body1"/>
    <w:basedOn w:val="DefaultParagraphFont"/>
    <w:rsid w:val="00CB4B37"/>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CB4B37"/>
    <w:pPr>
      <w:spacing w:before="100" w:beforeAutospacing="1" w:after="100" w:afterAutospacing="1"/>
      <w:ind w:left="1440" w:right="1440"/>
    </w:pPr>
    <w:rPr>
      <w:color w:val="464646"/>
      <w:spacing w:val="4"/>
      <w:sz w:val="28"/>
    </w:rPr>
  </w:style>
  <w:style w:type="paragraph" w:customStyle="1" w:styleId="Outlinea">
    <w:name w:val="Outline a"/>
    <w:basedOn w:val="BodyText"/>
    <w:link w:val="OutlineaChar"/>
    <w:rsid w:val="00CB4B37"/>
    <w:pPr>
      <w:tabs>
        <w:tab w:val="num" w:pos="720"/>
      </w:tabs>
      <w:spacing w:after="240"/>
      <w:ind w:left="720" w:hanging="360"/>
    </w:pPr>
  </w:style>
  <w:style w:type="paragraph" w:styleId="NormalWeb">
    <w:name w:val="Normal (Web)"/>
    <w:basedOn w:val="Normal"/>
    <w:uiPriority w:val="99"/>
    <w:semiHidden/>
    <w:rsid w:val="00CB4B37"/>
    <w:pPr>
      <w:spacing w:before="100" w:beforeAutospacing="1" w:after="100" w:afterAutospacing="1"/>
    </w:pPr>
    <w:rPr>
      <w:sz w:val="24"/>
      <w:szCs w:val="24"/>
    </w:rPr>
  </w:style>
  <w:style w:type="paragraph" w:customStyle="1" w:styleId="Outline1">
    <w:name w:val="Outline 1"/>
    <w:basedOn w:val="BodyText"/>
    <w:rsid w:val="00CB4B37"/>
    <w:pPr>
      <w:tabs>
        <w:tab w:val="num" w:pos="360"/>
        <w:tab w:val="left" w:pos="504"/>
      </w:tabs>
      <w:spacing w:after="240"/>
      <w:ind w:left="360" w:hanging="360"/>
    </w:pPr>
  </w:style>
  <w:style w:type="character" w:styleId="Strong">
    <w:name w:val="Strong"/>
    <w:basedOn w:val="DefaultParagraphFont"/>
    <w:qFormat/>
    <w:rsid w:val="00CB4B37"/>
    <w:rPr>
      <w:b/>
      <w:bCs/>
    </w:rPr>
  </w:style>
  <w:style w:type="character" w:styleId="Emphasis">
    <w:name w:val="Emphasis"/>
    <w:basedOn w:val="DefaultParagraphFont"/>
    <w:qFormat/>
    <w:rsid w:val="00CB4B37"/>
    <w:rPr>
      <w:i/>
      <w:iCs/>
    </w:rPr>
  </w:style>
  <w:style w:type="paragraph" w:customStyle="1" w:styleId="Outlinelevel5">
    <w:name w:val="Outline level 5"/>
    <w:basedOn w:val="BodyText"/>
    <w:rsid w:val="00CB4B37"/>
    <w:pPr>
      <w:tabs>
        <w:tab w:val="num" w:pos="1980"/>
        <w:tab w:val="left" w:pos="2592"/>
      </w:tabs>
      <w:spacing w:after="240"/>
      <w:ind w:left="1980" w:hanging="360"/>
    </w:pPr>
  </w:style>
  <w:style w:type="paragraph" w:customStyle="1" w:styleId="Outline1Char">
    <w:name w:val="Outline 1 Char"/>
    <w:basedOn w:val="BodyText"/>
    <w:rsid w:val="00CB4B37"/>
    <w:pPr>
      <w:tabs>
        <w:tab w:val="left" w:pos="504"/>
      </w:tabs>
      <w:spacing w:after="240"/>
      <w:ind w:left="720" w:hanging="360"/>
    </w:pPr>
  </w:style>
  <w:style w:type="paragraph" w:customStyle="1" w:styleId="Outline10">
    <w:name w:val="Outline (1)"/>
    <w:basedOn w:val="BodyText"/>
    <w:link w:val="Outline1Char0"/>
    <w:rsid w:val="00CB4B37"/>
    <w:pPr>
      <w:tabs>
        <w:tab w:val="num" w:pos="1152"/>
        <w:tab w:val="left" w:pos="1584"/>
      </w:tabs>
      <w:spacing w:after="240"/>
      <w:ind w:left="1152" w:hanging="432"/>
    </w:pPr>
  </w:style>
  <w:style w:type="paragraph" w:customStyle="1" w:styleId="Outlinea0">
    <w:name w:val="Outline (a)"/>
    <w:basedOn w:val="BodyText"/>
    <w:rsid w:val="00CB4B37"/>
    <w:pPr>
      <w:tabs>
        <w:tab w:val="num" w:pos="1584"/>
        <w:tab w:val="left" w:pos="2160"/>
      </w:tabs>
      <w:spacing w:after="240"/>
      <w:ind w:left="1584" w:hanging="432"/>
    </w:pPr>
  </w:style>
  <w:style w:type="paragraph" w:customStyle="1" w:styleId="Outlinelevel6">
    <w:name w:val="Outline level 6"/>
    <w:basedOn w:val="BodyText"/>
    <w:rsid w:val="00CB4B37"/>
    <w:pPr>
      <w:tabs>
        <w:tab w:val="num" w:pos="2304"/>
        <w:tab w:val="left" w:pos="3024"/>
      </w:tabs>
      <w:spacing w:after="240"/>
      <w:ind w:left="2304" w:hanging="360"/>
    </w:pPr>
  </w:style>
  <w:style w:type="paragraph" w:styleId="ListParagraph">
    <w:name w:val="List Paragraph"/>
    <w:basedOn w:val="Normal"/>
    <w:uiPriority w:val="34"/>
    <w:qFormat/>
    <w:rsid w:val="00CB4B37"/>
    <w:pPr>
      <w:ind w:left="720"/>
    </w:pPr>
  </w:style>
  <w:style w:type="character" w:customStyle="1" w:styleId="Heading9Char">
    <w:name w:val="Heading 9 Char"/>
    <w:basedOn w:val="DefaultParagraphFont"/>
    <w:rsid w:val="00CB4B37"/>
    <w:rPr>
      <w:sz w:val="24"/>
    </w:rPr>
  </w:style>
  <w:style w:type="character" w:customStyle="1" w:styleId="HeaderChar">
    <w:name w:val="Header Char"/>
    <w:basedOn w:val="DefaultParagraphFont"/>
    <w:rsid w:val="00CB4B37"/>
  </w:style>
  <w:style w:type="character" w:styleId="SubtleReference">
    <w:name w:val="Subtle Reference"/>
    <w:basedOn w:val="DefaultParagraphFont"/>
    <w:qFormat/>
    <w:rsid w:val="00CB4B37"/>
    <w:rPr>
      <w:smallCaps/>
      <w:color w:val="C0504D"/>
      <w:u w:val="single"/>
    </w:rPr>
  </w:style>
  <w:style w:type="table" w:styleId="TableGrid">
    <w:name w:val="Table Grid"/>
    <w:basedOn w:val="TableNormal"/>
    <w:rsid w:val="00DD4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E48B9"/>
    <w:rPr>
      <w:b/>
      <w:sz w:val="24"/>
    </w:rPr>
  </w:style>
  <w:style w:type="character" w:customStyle="1" w:styleId="FootnoteTextChar">
    <w:name w:val="Footnote Text Char"/>
    <w:basedOn w:val="DefaultParagraphFont"/>
    <w:link w:val="FootnoteText"/>
    <w:semiHidden/>
    <w:rsid w:val="00BE48B9"/>
  </w:style>
  <w:style w:type="character" w:styleId="CommentReference">
    <w:name w:val="annotation reference"/>
    <w:basedOn w:val="DefaultParagraphFont"/>
    <w:uiPriority w:val="99"/>
    <w:semiHidden/>
    <w:unhideWhenUsed/>
    <w:rsid w:val="00E10723"/>
    <w:rPr>
      <w:sz w:val="16"/>
      <w:szCs w:val="16"/>
    </w:rPr>
  </w:style>
  <w:style w:type="paragraph" w:styleId="CommentText">
    <w:name w:val="annotation text"/>
    <w:basedOn w:val="Normal"/>
    <w:link w:val="CommentTextChar"/>
    <w:semiHidden/>
    <w:unhideWhenUsed/>
    <w:rsid w:val="00E10723"/>
  </w:style>
  <w:style w:type="character" w:customStyle="1" w:styleId="CommentTextChar">
    <w:name w:val="Comment Text Char"/>
    <w:basedOn w:val="DefaultParagraphFont"/>
    <w:link w:val="CommentText"/>
    <w:uiPriority w:val="99"/>
    <w:semiHidden/>
    <w:rsid w:val="00E10723"/>
  </w:style>
  <w:style w:type="paragraph" w:styleId="CommentSubject">
    <w:name w:val="annotation subject"/>
    <w:basedOn w:val="CommentText"/>
    <w:next w:val="CommentText"/>
    <w:link w:val="CommentSubjectChar"/>
    <w:uiPriority w:val="99"/>
    <w:semiHidden/>
    <w:unhideWhenUsed/>
    <w:rsid w:val="00E10723"/>
    <w:rPr>
      <w:b/>
      <w:bCs/>
    </w:rPr>
  </w:style>
  <w:style w:type="character" w:customStyle="1" w:styleId="CommentSubjectChar">
    <w:name w:val="Comment Subject Char"/>
    <w:basedOn w:val="CommentTextChar"/>
    <w:link w:val="CommentSubject"/>
    <w:uiPriority w:val="99"/>
    <w:semiHidden/>
    <w:rsid w:val="00E10723"/>
    <w:rPr>
      <w:b/>
      <w:bCs/>
    </w:rPr>
  </w:style>
  <w:style w:type="paragraph" w:customStyle="1" w:styleId="Default">
    <w:name w:val="Default"/>
    <w:rsid w:val="00180653"/>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3759EA"/>
  </w:style>
  <w:style w:type="character" w:customStyle="1" w:styleId="OutlineaChar">
    <w:name w:val="Outline a Char"/>
    <w:basedOn w:val="DefaultParagraphFont"/>
    <w:link w:val="Outlinea"/>
    <w:rsid w:val="00451F35"/>
    <w:rPr>
      <w:sz w:val="24"/>
    </w:rPr>
  </w:style>
  <w:style w:type="character" w:customStyle="1" w:styleId="Outline1Char0">
    <w:name w:val="Outline (1) Char"/>
    <w:basedOn w:val="DefaultParagraphFont"/>
    <w:link w:val="Outline10"/>
    <w:rsid w:val="00300EFE"/>
    <w:rPr>
      <w:sz w:val="24"/>
    </w:rPr>
  </w:style>
  <w:style w:type="paragraph" w:styleId="HTMLPreformatted">
    <w:name w:val="HTML Preformatted"/>
    <w:basedOn w:val="Normal"/>
    <w:link w:val="HTMLPreformattedChar"/>
    <w:uiPriority w:val="99"/>
    <w:unhideWhenUsed/>
    <w:rsid w:val="00D7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77862"/>
    <w:rPr>
      <w:rFonts w:ascii="Courier New" w:hAnsi="Courier New" w:cs="Courier New"/>
    </w:rPr>
  </w:style>
  <w:style w:type="character" w:customStyle="1" w:styleId="BodyTextChar">
    <w:name w:val="Body Text Char"/>
    <w:basedOn w:val="DefaultParagraphFont"/>
    <w:link w:val="BodyText"/>
    <w:uiPriority w:val="99"/>
    <w:semiHidden/>
    <w:rsid w:val="004B5E77"/>
    <w:rPr>
      <w:sz w:val="24"/>
    </w:rPr>
  </w:style>
  <w:style w:type="character" w:customStyle="1" w:styleId="BodyTextIndent2Char">
    <w:name w:val="Body Text Indent 2 Char"/>
    <w:basedOn w:val="DefaultParagraphFont"/>
    <w:link w:val="BodyTextIndent2"/>
    <w:semiHidden/>
    <w:rsid w:val="00DB2C25"/>
    <w:rPr>
      <w:sz w:val="22"/>
    </w:rPr>
  </w:style>
</w:styles>
</file>

<file path=word/webSettings.xml><?xml version="1.0" encoding="utf-8"?>
<w:webSettings xmlns:r="http://schemas.openxmlformats.org/officeDocument/2006/relationships" xmlns:w="http://schemas.openxmlformats.org/wordprocessingml/2006/main">
  <w:divs>
    <w:div w:id="99450667">
      <w:bodyDiv w:val="1"/>
      <w:marLeft w:val="0"/>
      <w:marRight w:val="0"/>
      <w:marTop w:val="0"/>
      <w:marBottom w:val="0"/>
      <w:divBdr>
        <w:top w:val="none" w:sz="0" w:space="0" w:color="auto"/>
        <w:left w:val="none" w:sz="0" w:space="0" w:color="auto"/>
        <w:bottom w:val="none" w:sz="0" w:space="0" w:color="auto"/>
        <w:right w:val="none" w:sz="0" w:space="0" w:color="auto"/>
      </w:divBdr>
    </w:div>
    <w:div w:id="111487573">
      <w:bodyDiv w:val="1"/>
      <w:marLeft w:val="0"/>
      <w:marRight w:val="0"/>
      <w:marTop w:val="0"/>
      <w:marBottom w:val="0"/>
      <w:divBdr>
        <w:top w:val="none" w:sz="0" w:space="0" w:color="auto"/>
        <w:left w:val="none" w:sz="0" w:space="0" w:color="auto"/>
        <w:bottom w:val="none" w:sz="0" w:space="0" w:color="auto"/>
        <w:right w:val="none" w:sz="0" w:space="0" w:color="auto"/>
      </w:divBdr>
    </w:div>
    <w:div w:id="307591066">
      <w:bodyDiv w:val="1"/>
      <w:marLeft w:val="0"/>
      <w:marRight w:val="0"/>
      <w:marTop w:val="0"/>
      <w:marBottom w:val="0"/>
      <w:divBdr>
        <w:top w:val="none" w:sz="0" w:space="0" w:color="auto"/>
        <w:left w:val="none" w:sz="0" w:space="0" w:color="auto"/>
        <w:bottom w:val="none" w:sz="0" w:space="0" w:color="auto"/>
        <w:right w:val="none" w:sz="0" w:space="0" w:color="auto"/>
      </w:divBdr>
      <w:divsChild>
        <w:div w:id="720908018">
          <w:marLeft w:val="0"/>
          <w:marRight w:val="0"/>
          <w:marTop w:val="0"/>
          <w:marBottom w:val="0"/>
          <w:divBdr>
            <w:top w:val="none" w:sz="0" w:space="0" w:color="auto"/>
            <w:left w:val="none" w:sz="0" w:space="0" w:color="auto"/>
            <w:bottom w:val="none" w:sz="0" w:space="0" w:color="auto"/>
            <w:right w:val="none" w:sz="0" w:space="0" w:color="auto"/>
          </w:divBdr>
          <w:divsChild>
            <w:div w:id="62720282">
              <w:marLeft w:val="0"/>
              <w:marRight w:val="0"/>
              <w:marTop w:val="0"/>
              <w:marBottom w:val="0"/>
              <w:divBdr>
                <w:top w:val="none" w:sz="0" w:space="0" w:color="auto"/>
                <w:left w:val="none" w:sz="0" w:space="0" w:color="auto"/>
                <w:bottom w:val="none" w:sz="0" w:space="0" w:color="auto"/>
                <w:right w:val="none" w:sz="0" w:space="0" w:color="auto"/>
              </w:divBdr>
              <w:divsChild>
                <w:div w:id="118257229">
                  <w:marLeft w:val="0"/>
                  <w:marRight w:val="0"/>
                  <w:marTop w:val="0"/>
                  <w:marBottom w:val="0"/>
                  <w:divBdr>
                    <w:top w:val="none" w:sz="0" w:space="0" w:color="auto"/>
                    <w:left w:val="none" w:sz="0" w:space="0" w:color="auto"/>
                    <w:bottom w:val="none" w:sz="0" w:space="0" w:color="auto"/>
                    <w:right w:val="none" w:sz="0" w:space="0" w:color="auto"/>
                  </w:divBdr>
                  <w:divsChild>
                    <w:div w:id="426658671">
                      <w:marLeft w:val="0"/>
                      <w:marRight w:val="0"/>
                      <w:marTop w:val="0"/>
                      <w:marBottom w:val="0"/>
                      <w:divBdr>
                        <w:top w:val="none" w:sz="0" w:space="0" w:color="auto"/>
                        <w:left w:val="none" w:sz="0" w:space="0" w:color="auto"/>
                        <w:bottom w:val="none" w:sz="0" w:space="0" w:color="auto"/>
                        <w:right w:val="none" w:sz="0" w:space="0" w:color="auto"/>
                      </w:divBdr>
                      <w:divsChild>
                        <w:div w:id="15625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630076">
      <w:bodyDiv w:val="1"/>
      <w:marLeft w:val="0"/>
      <w:marRight w:val="0"/>
      <w:marTop w:val="0"/>
      <w:marBottom w:val="0"/>
      <w:divBdr>
        <w:top w:val="none" w:sz="0" w:space="0" w:color="auto"/>
        <w:left w:val="none" w:sz="0" w:space="0" w:color="auto"/>
        <w:bottom w:val="none" w:sz="0" w:space="0" w:color="auto"/>
        <w:right w:val="none" w:sz="0" w:space="0" w:color="auto"/>
      </w:divBdr>
    </w:div>
    <w:div w:id="1056972162">
      <w:bodyDiv w:val="1"/>
      <w:marLeft w:val="0"/>
      <w:marRight w:val="0"/>
      <w:marTop w:val="0"/>
      <w:marBottom w:val="0"/>
      <w:divBdr>
        <w:top w:val="none" w:sz="0" w:space="0" w:color="auto"/>
        <w:left w:val="none" w:sz="0" w:space="0" w:color="auto"/>
        <w:bottom w:val="none" w:sz="0" w:space="0" w:color="auto"/>
        <w:right w:val="none" w:sz="0" w:space="0" w:color="auto"/>
      </w:divBdr>
      <w:divsChild>
        <w:div w:id="248775638">
          <w:marLeft w:val="0"/>
          <w:marRight w:val="0"/>
          <w:marTop w:val="0"/>
          <w:marBottom w:val="0"/>
          <w:divBdr>
            <w:top w:val="none" w:sz="0" w:space="0" w:color="auto"/>
            <w:left w:val="none" w:sz="0" w:space="0" w:color="auto"/>
            <w:bottom w:val="none" w:sz="0" w:space="0" w:color="auto"/>
            <w:right w:val="none" w:sz="0" w:space="0" w:color="auto"/>
          </w:divBdr>
          <w:divsChild>
            <w:div w:id="109011612">
              <w:marLeft w:val="0"/>
              <w:marRight w:val="0"/>
              <w:marTop w:val="0"/>
              <w:marBottom w:val="0"/>
              <w:divBdr>
                <w:top w:val="none" w:sz="0" w:space="0" w:color="auto"/>
                <w:left w:val="none" w:sz="0" w:space="0" w:color="auto"/>
                <w:bottom w:val="none" w:sz="0" w:space="0" w:color="auto"/>
                <w:right w:val="none" w:sz="0" w:space="0" w:color="auto"/>
              </w:divBdr>
              <w:divsChild>
                <w:div w:id="1715546705">
                  <w:marLeft w:val="0"/>
                  <w:marRight w:val="0"/>
                  <w:marTop w:val="0"/>
                  <w:marBottom w:val="0"/>
                  <w:divBdr>
                    <w:top w:val="none" w:sz="0" w:space="0" w:color="auto"/>
                    <w:left w:val="none" w:sz="0" w:space="0" w:color="auto"/>
                    <w:bottom w:val="none" w:sz="0" w:space="0" w:color="auto"/>
                    <w:right w:val="none" w:sz="0" w:space="0" w:color="auto"/>
                  </w:divBdr>
                  <w:divsChild>
                    <w:div w:id="801314683">
                      <w:marLeft w:val="0"/>
                      <w:marRight w:val="0"/>
                      <w:marTop w:val="0"/>
                      <w:marBottom w:val="0"/>
                      <w:divBdr>
                        <w:top w:val="none" w:sz="0" w:space="0" w:color="auto"/>
                        <w:left w:val="none" w:sz="0" w:space="0" w:color="auto"/>
                        <w:bottom w:val="none" w:sz="0" w:space="0" w:color="auto"/>
                        <w:right w:val="none" w:sz="0" w:space="0" w:color="auto"/>
                      </w:divBdr>
                      <w:divsChild>
                        <w:div w:id="13382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882697">
      <w:bodyDiv w:val="1"/>
      <w:marLeft w:val="0"/>
      <w:marRight w:val="0"/>
      <w:marTop w:val="0"/>
      <w:marBottom w:val="0"/>
      <w:divBdr>
        <w:top w:val="none" w:sz="0" w:space="0" w:color="auto"/>
        <w:left w:val="none" w:sz="0" w:space="0" w:color="auto"/>
        <w:bottom w:val="none" w:sz="0" w:space="0" w:color="auto"/>
        <w:right w:val="none" w:sz="0" w:space="0" w:color="auto"/>
      </w:divBdr>
      <w:divsChild>
        <w:div w:id="188111179">
          <w:marLeft w:val="0"/>
          <w:marRight w:val="0"/>
          <w:marTop w:val="0"/>
          <w:marBottom w:val="0"/>
          <w:divBdr>
            <w:top w:val="none" w:sz="0" w:space="0" w:color="auto"/>
            <w:left w:val="none" w:sz="0" w:space="0" w:color="auto"/>
            <w:bottom w:val="none" w:sz="0" w:space="0" w:color="auto"/>
            <w:right w:val="none" w:sz="0" w:space="0" w:color="auto"/>
          </w:divBdr>
          <w:divsChild>
            <w:div w:id="2082556536">
              <w:marLeft w:val="0"/>
              <w:marRight w:val="0"/>
              <w:marTop w:val="0"/>
              <w:marBottom w:val="0"/>
              <w:divBdr>
                <w:top w:val="none" w:sz="0" w:space="0" w:color="auto"/>
                <w:left w:val="none" w:sz="0" w:space="0" w:color="auto"/>
                <w:bottom w:val="none" w:sz="0" w:space="0" w:color="auto"/>
                <w:right w:val="none" w:sz="0" w:space="0" w:color="auto"/>
              </w:divBdr>
              <w:divsChild>
                <w:div w:id="1196651922">
                  <w:marLeft w:val="0"/>
                  <w:marRight w:val="0"/>
                  <w:marTop w:val="0"/>
                  <w:marBottom w:val="0"/>
                  <w:divBdr>
                    <w:top w:val="none" w:sz="0" w:space="0" w:color="auto"/>
                    <w:left w:val="none" w:sz="0" w:space="0" w:color="auto"/>
                    <w:bottom w:val="none" w:sz="0" w:space="0" w:color="auto"/>
                    <w:right w:val="none" w:sz="0" w:space="0" w:color="auto"/>
                  </w:divBdr>
                  <w:divsChild>
                    <w:div w:id="246961467">
                      <w:marLeft w:val="0"/>
                      <w:marRight w:val="0"/>
                      <w:marTop w:val="0"/>
                      <w:marBottom w:val="0"/>
                      <w:divBdr>
                        <w:top w:val="none" w:sz="0" w:space="0" w:color="auto"/>
                        <w:left w:val="none" w:sz="0" w:space="0" w:color="auto"/>
                        <w:bottom w:val="none" w:sz="0" w:space="0" w:color="auto"/>
                        <w:right w:val="none" w:sz="0" w:space="0" w:color="auto"/>
                      </w:divBdr>
                      <w:divsChild>
                        <w:div w:id="20556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84766">
      <w:bodyDiv w:val="1"/>
      <w:marLeft w:val="0"/>
      <w:marRight w:val="0"/>
      <w:marTop w:val="0"/>
      <w:marBottom w:val="0"/>
      <w:divBdr>
        <w:top w:val="none" w:sz="0" w:space="0" w:color="auto"/>
        <w:left w:val="none" w:sz="0" w:space="0" w:color="auto"/>
        <w:bottom w:val="none" w:sz="0" w:space="0" w:color="auto"/>
        <w:right w:val="none" w:sz="0" w:space="0" w:color="auto"/>
      </w:divBdr>
      <w:divsChild>
        <w:div w:id="2007901135">
          <w:marLeft w:val="0"/>
          <w:marRight w:val="0"/>
          <w:marTop w:val="0"/>
          <w:marBottom w:val="0"/>
          <w:divBdr>
            <w:top w:val="none" w:sz="0" w:space="0" w:color="auto"/>
            <w:left w:val="none" w:sz="0" w:space="0" w:color="auto"/>
            <w:bottom w:val="none" w:sz="0" w:space="0" w:color="auto"/>
            <w:right w:val="none" w:sz="0" w:space="0" w:color="auto"/>
          </w:divBdr>
          <w:divsChild>
            <w:div w:id="84546317">
              <w:marLeft w:val="0"/>
              <w:marRight w:val="0"/>
              <w:marTop w:val="0"/>
              <w:marBottom w:val="0"/>
              <w:divBdr>
                <w:top w:val="none" w:sz="0" w:space="0" w:color="auto"/>
                <w:left w:val="none" w:sz="0" w:space="0" w:color="auto"/>
                <w:bottom w:val="none" w:sz="0" w:space="0" w:color="auto"/>
                <w:right w:val="none" w:sz="0" w:space="0" w:color="auto"/>
              </w:divBdr>
              <w:divsChild>
                <w:div w:id="2083671012">
                  <w:marLeft w:val="0"/>
                  <w:marRight w:val="0"/>
                  <w:marTop w:val="0"/>
                  <w:marBottom w:val="0"/>
                  <w:divBdr>
                    <w:top w:val="none" w:sz="0" w:space="0" w:color="auto"/>
                    <w:left w:val="none" w:sz="0" w:space="0" w:color="auto"/>
                    <w:bottom w:val="none" w:sz="0" w:space="0" w:color="auto"/>
                    <w:right w:val="none" w:sz="0" w:space="0" w:color="auto"/>
                  </w:divBdr>
                  <w:divsChild>
                    <w:div w:id="689843260">
                      <w:marLeft w:val="0"/>
                      <w:marRight w:val="0"/>
                      <w:marTop w:val="0"/>
                      <w:marBottom w:val="0"/>
                      <w:divBdr>
                        <w:top w:val="none" w:sz="0" w:space="0" w:color="auto"/>
                        <w:left w:val="none" w:sz="0" w:space="0" w:color="auto"/>
                        <w:bottom w:val="none" w:sz="0" w:space="0" w:color="auto"/>
                        <w:right w:val="none" w:sz="0" w:space="0" w:color="auto"/>
                      </w:divBdr>
                      <w:divsChild>
                        <w:div w:id="5584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83956">
      <w:bodyDiv w:val="1"/>
      <w:marLeft w:val="0"/>
      <w:marRight w:val="0"/>
      <w:marTop w:val="0"/>
      <w:marBottom w:val="0"/>
      <w:divBdr>
        <w:top w:val="none" w:sz="0" w:space="0" w:color="auto"/>
        <w:left w:val="none" w:sz="0" w:space="0" w:color="auto"/>
        <w:bottom w:val="none" w:sz="0" w:space="0" w:color="auto"/>
        <w:right w:val="none" w:sz="0" w:space="0" w:color="auto"/>
      </w:divBdr>
    </w:div>
    <w:div w:id="1771318635">
      <w:bodyDiv w:val="1"/>
      <w:marLeft w:val="0"/>
      <w:marRight w:val="0"/>
      <w:marTop w:val="0"/>
      <w:marBottom w:val="0"/>
      <w:divBdr>
        <w:top w:val="none" w:sz="0" w:space="0" w:color="auto"/>
        <w:left w:val="none" w:sz="0" w:space="0" w:color="auto"/>
        <w:bottom w:val="none" w:sz="0" w:space="0" w:color="auto"/>
        <w:right w:val="none" w:sz="0" w:space="0" w:color="auto"/>
      </w:divBdr>
      <w:divsChild>
        <w:div w:id="2052342631">
          <w:marLeft w:val="0"/>
          <w:marRight w:val="0"/>
          <w:marTop w:val="0"/>
          <w:marBottom w:val="0"/>
          <w:divBdr>
            <w:top w:val="none" w:sz="0" w:space="0" w:color="auto"/>
            <w:left w:val="none" w:sz="0" w:space="0" w:color="auto"/>
            <w:bottom w:val="none" w:sz="0" w:space="0" w:color="auto"/>
            <w:right w:val="none" w:sz="0" w:space="0" w:color="auto"/>
          </w:divBdr>
          <w:divsChild>
            <w:div w:id="431054581">
              <w:marLeft w:val="0"/>
              <w:marRight w:val="0"/>
              <w:marTop w:val="0"/>
              <w:marBottom w:val="0"/>
              <w:divBdr>
                <w:top w:val="none" w:sz="0" w:space="0" w:color="auto"/>
                <w:left w:val="none" w:sz="0" w:space="0" w:color="auto"/>
                <w:bottom w:val="none" w:sz="0" w:space="0" w:color="auto"/>
                <w:right w:val="none" w:sz="0" w:space="0" w:color="auto"/>
              </w:divBdr>
              <w:divsChild>
                <w:div w:id="1253706857">
                  <w:marLeft w:val="0"/>
                  <w:marRight w:val="0"/>
                  <w:marTop w:val="0"/>
                  <w:marBottom w:val="0"/>
                  <w:divBdr>
                    <w:top w:val="none" w:sz="0" w:space="0" w:color="auto"/>
                    <w:left w:val="none" w:sz="0" w:space="0" w:color="auto"/>
                    <w:bottom w:val="none" w:sz="0" w:space="0" w:color="auto"/>
                    <w:right w:val="none" w:sz="0" w:space="0" w:color="auto"/>
                  </w:divBdr>
                  <w:divsChild>
                    <w:div w:id="933976299">
                      <w:marLeft w:val="0"/>
                      <w:marRight w:val="0"/>
                      <w:marTop w:val="0"/>
                      <w:marBottom w:val="0"/>
                      <w:divBdr>
                        <w:top w:val="none" w:sz="0" w:space="0" w:color="auto"/>
                        <w:left w:val="none" w:sz="0" w:space="0" w:color="auto"/>
                        <w:bottom w:val="none" w:sz="0" w:space="0" w:color="auto"/>
                        <w:right w:val="none" w:sz="0" w:space="0" w:color="auto"/>
                      </w:divBdr>
                      <w:divsChild>
                        <w:div w:id="12791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230171">
      <w:bodyDiv w:val="1"/>
      <w:marLeft w:val="0"/>
      <w:marRight w:val="0"/>
      <w:marTop w:val="0"/>
      <w:marBottom w:val="0"/>
      <w:divBdr>
        <w:top w:val="none" w:sz="0" w:space="0" w:color="auto"/>
        <w:left w:val="none" w:sz="0" w:space="0" w:color="auto"/>
        <w:bottom w:val="none" w:sz="0" w:space="0" w:color="auto"/>
        <w:right w:val="none" w:sz="0" w:space="0" w:color="auto"/>
      </w:divBdr>
      <w:divsChild>
        <w:div w:id="1059940883">
          <w:marLeft w:val="0"/>
          <w:marRight w:val="0"/>
          <w:marTop w:val="0"/>
          <w:marBottom w:val="0"/>
          <w:divBdr>
            <w:top w:val="none" w:sz="0" w:space="0" w:color="auto"/>
            <w:left w:val="none" w:sz="0" w:space="0" w:color="auto"/>
            <w:bottom w:val="none" w:sz="0" w:space="0" w:color="auto"/>
            <w:right w:val="none" w:sz="0" w:space="0" w:color="auto"/>
          </w:divBdr>
          <w:divsChild>
            <w:div w:id="1571387469">
              <w:marLeft w:val="0"/>
              <w:marRight w:val="0"/>
              <w:marTop w:val="0"/>
              <w:marBottom w:val="0"/>
              <w:divBdr>
                <w:top w:val="none" w:sz="0" w:space="0" w:color="auto"/>
                <w:left w:val="none" w:sz="0" w:space="0" w:color="auto"/>
                <w:bottom w:val="none" w:sz="0" w:space="0" w:color="auto"/>
                <w:right w:val="none" w:sz="0" w:space="0" w:color="auto"/>
              </w:divBdr>
              <w:divsChild>
                <w:div w:id="1628778048">
                  <w:marLeft w:val="0"/>
                  <w:marRight w:val="0"/>
                  <w:marTop w:val="0"/>
                  <w:marBottom w:val="0"/>
                  <w:divBdr>
                    <w:top w:val="none" w:sz="0" w:space="0" w:color="auto"/>
                    <w:left w:val="none" w:sz="0" w:space="0" w:color="auto"/>
                    <w:bottom w:val="none" w:sz="0" w:space="0" w:color="auto"/>
                    <w:right w:val="none" w:sz="0" w:space="0" w:color="auto"/>
                  </w:divBdr>
                  <w:divsChild>
                    <w:div w:id="1812209669">
                      <w:marLeft w:val="0"/>
                      <w:marRight w:val="0"/>
                      <w:marTop w:val="0"/>
                      <w:marBottom w:val="0"/>
                      <w:divBdr>
                        <w:top w:val="none" w:sz="0" w:space="0" w:color="auto"/>
                        <w:left w:val="none" w:sz="0" w:space="0" w:color="auto"/>
                        <w:bottom w:val="none" w:sz="0" w:space="0" w:color="auto"/>
                        <w:right w:val="none" w:sz="0" w:space="0" w:color="auto"/>
                      </w:divBdr>
                      <w:divsChild>
                        <w:div w:id="2223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ndag.org/notices" TargetMode="External"/><Relationship Id="rId18" Type="http://schemas.openxmlformats.org/officeDocument/2006/relationships/hyperlink" Target="mailto:jlin@sandag.org" TargetMode="External"/><Relationship Id="rId26" Type="http://schemas.openxmlformats.org/officeDocument/2006/relationships/hyperlink" Target="mailto:rke@sandag.org"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jwi@sandag.org" TargetMode="External"/><Relationship Id="rId34" Type="http://schemas.openxmlformats.org/officeDocument/2006/relationships/hyperlink" Target="mailto:derrin.jourdan@dot.gov"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andag.org/ppp" TargetMode="External"/><Relationship Id="rId17" Type="http://schemas.openxmlformats.org/officeDocument/2006/relationships/hyperlink" Target="mailto:mst@sandag.org" TargetMode="External"/><Relationship Id="rId25" Type="http://schemas.openxmlformats.org/officeDocument/2006/relationships/hyperlink" Target="mailto:cdan@sandag.org" TargetMode="External"/><Relationship Id="rId33" Type="http://schemas.openxmlformats.org/officeDocument/2006/relationships/hyperlink" Target="mailto:amber.ontiveros@dot.gov"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st@sandag.org" TargetMode="External"/><Relationship Id="rId20" Type="http://schemas.openxmlformats.org/officeDocument/2006/relationships/hyperlink" Target="mailto:lco@sandag.org" TargetMode="External"/><Relationship Id="rId29" Type="http://schemas.openxmlformats.org/officeDocument/2006/relationships/hyperlink" Target="mailto:ccl@sandag.org"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cwi@sandag.org" TargetMode="External"/><Relationship Id="rId32" Type="http://schemas.openxmlformats.org/officeDocument/2006/relationships/hyperlink" Target="mailto:jcl@sandag.org" TargetMode="External"/><Relationship Id="rId37" Type="http://schemas.openxmlformats.org/officeDocument/2006/relationships/hyperlink" Target="mailto:khalique.davis@thedmpgroup.com"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dle@sandag.org" TargetMode="External"/><Relationship Id="rId23" Type="http://schemas.openxmlformats.org/officeDocument/2006/relationships/hyperlink" Target="mailto:rwa@sandag.org" TargetMode="External"/><Relationship Id="rId28" Type="http://schemas.openxmlformats.org/officeDocument/2006/relationships/hyperlink" Target="mailto:dsc@sandag.org" TargetMode="External"/><Relationship Id="rId36" Type="http://schemas.openxmlformats.org/officeDocument/2006/relationships/hyperlink" Target="mailto:donald.lucas@thedmpgroup.com" TargetMode="External"/><Relationship Id="rId10" Type="http://schemas.openxmlformats.org/officeDocument/2006/relationships/footer" Target="footer2.xml"/><Relationship Id="rId19" Type="http://schemas.openxmlformats.org/officeDocument/2006/relationships/hyperlink" Target="mailto:kkr@sandag.org" TargetMode="External"/><Relationship Id="rId31" Type="http://schemas.openxmlformats.org/officeDocument/2006/relationships/hyperlink" Target="mailto:jnu@sandag.org"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hyperlink" Target="mailto:gga@sandag.org" TargetMode="External"/><Relationship Id="rId27" Type="http://schemas.openxmlformats.org/officeDocument/2006/relationships/hyperlink" Target="mailto:ear@sandag.org" TargetMode="External"/><Relationship Id="rId30" Type="http://schemas.openxmlformats.org/officeDocument/2006/relationships/hyperlink" Target="mailto:rru@sandag.org" TargetMode="External"/><Relationship Id="rId35" Type="http://schemas.openxmlformats.org/officeDocument/2006/relationships/hyperlink" Target="mailto:johnpotts@thedmpgroup.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80DEE-28CA-464F-AAA2-9B0E50C1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10299</Words>
  <Characters>61477</Characters>
  <Application>Microsoft Office Word</Application>
  <DocSecurity>0</DocSecurity>
  <Lines>512</Lines>
  <Paragraphs>143</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Microsoft</Company>
  <LinksUpToDate>false</LinksUpToDate>
  <CharactersWithSpaces>71633</CharactersWithSpaces>
  <SharedDoc>false</SharedDoc>
  <HLinks>
    <vt:vector size="6" baseType="variant">
      <vt:variant>
        <vt:i4>8192127</vt:i4>
      </vt:variant>
      <vt:variant>
        <vt:i4>63</vt:i4>
      </vt:variant>
      <vt:variant>
        <vt:i4>0</vt:i4>
      </vt:variant>
      <vt:variant>
        <vt:i4>5</vt:i4>
      </vt:variant>
      <vt:variant>
        <vt:lpwstr>http://hawaii.gov/dot/administration/ocr/title6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Bridgett Gagne</dc:creator>
  <cp:lastModifiedBy>anita.heard</cp:lastModifiedBy>
  <cp:revision>3</cp:revision>
  <cp:lastPrinted>2012-02-02T21:47:00Z</cp:lastPrinted>
  <dcterms:created xsi:type="dcterms:W3CDTF">2012-01-25T17:52:00Z</dcterms:created>
  <dcterms:modified xsi:type="dcterms:W3CDTF">2012-02-02T21:57:00Z</dcterms:modified>
</cp:coreProperties>
</file>