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7C" w:rsidRDefault="00972C7C">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6C274C" w:rsidRDefault="007E2E62"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Santa Cruz Metropolitan Transit District</w:t>
      </w:r>
      <w:r w:rsidR="008E045D">
        <w:rPr>
          <w:b/>
          <w:sz w:val="32"/>
        </w:rPr>
        <w:t xml:space="preserve"> </w:t>
      </w:r>
      <w:r w:rsidR="006C274C">
        <w:rPr>
          <w:b/>
          <w:sz w:val="32"/>
        </w:rPr>
        <w:t>(</w:t>
      </w:r>
      <w:r w:rsidR="005468B2">
        <w:rPr>
          <w:b/>
          <w:sz w:val="32"/>
        </w:rPr>
        <w:t>METRO</w:t>
      </w:r>
      <w:r w:rsidR="006C274C">
        <w:rPr>
          <w:b/>
          <w:sz w:val="32"/>
        </w:rPr>
        <w:t>)</w:t>
      </w:r>
    </w:p>
    <w:p w:rsidR="00F80A8D" w:rsidRDefault="007E2E62"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Santa Cruz, California</w:t>
      </w:r>
    </w:p>
    <w:p w:rsidR="00F80A8D" w:rsidRDefault="00F80A8D">
      <w:pPr>
        <w:spacing w:line="480" w:lineRule="auto"/>
        <w:jc w:val="center"/>
        <w:rPr>
          <w:b/>
          <w:sz w:val="28"/>
        </w:rPr>
      </w:pPr>
    </w:p>
    <w:p w:rsidR="00F80A8D" w:rsidRDefault="00636BE6">
      <w:pPr>
        <w:spacing w:line="480" w:lineRule="auto"/>
        <w:jc w:val="center"/>
        <w:rPr>
          <w:b/>
          <w:sz w:val="28"/>
        </w:rPr>
      </w:pPr>
      <w:r>
        <w:rPr>
          <w:b/>
          <w:sz w:val="28"/>
        </w:rPr>
        <w:t>Final</w:t>
      </w:r>
      <w:r w:rsidR="00F80A8D">
        <w:rPr>
          <w:b/>
          <w:sz w:val="28"/>
        </w:rPr>
        <w:t xml:space="preserve"> Report</w:t>
      </w:r>
    </w:p>
    <w:p w:rsidR="00F80A8D" w:rsidRDefault="00636BE6">
      <w:pPr>
        <w:spacing w:line="480" w:lineRule="auto"/>
        <w:jc w:val="center"/>
        <w:rPr>
          <w:sz w:val="24"/>
        </w:rPr>
      </w:pPr>
      <w:r>
        <w:rPr>
          <w:b/>
          <w:sz w:val="28"/>
        </w:rPr>
        <w:t>December</w:t>
      </w:r>
      <w:r w:rsidR="00E10A1F" w:rsidRPr="00ED5D32">
        <w:rPr>
          <w:b/>
          <w:sz w:val="28"/>
        </w:rPr>
        <w:t xml:space="preserve"> 2011</w:t>
      </w:r>
    </w:p>
    <w:p w:rsidR="00F80A8D" w:rsidRDefault="00F80A8D" w:rsidP="00693350">
      <w:pPr>
        <w:jc w:val="center"/>
        <w:rPr>
          <w:b/>
          <w:sz w:val="28"/>
          <w:szCs w:val="28"/>
        </w:rPr>
      </w:pPr>
      <w:r>
        <w:rPr>
          <w:b/>
          <w:sz w:val="28"/>
          <w:szCs w:val="28"/>
        </w:rPr>
        <w:t>Prepared For</w:t>
      </w:r>
    </w:p>
    <w:p w:rsidR="00F80A8D" w:rsidRDefault="00F80A8D">
      <w:pPr>
        <w:jc w:val="center"/>
        <w:rPr>
          <w:b/>
          <w:sz w:val="28"/>
          <w:szCs w:val="28"/>
        </w:rPr>
      </w:pPr>
    </w:p>
    <w:p w:rsidR="00F80A8D" w:rsidRDefault="00F80A8D">
      <w:pPr>
        <w:jc w:val="center"/>
        <w:rPr>
          <w:b/>
          <w:sz w:val="28"/>
          <w:szCs w:val="28"/>
        </w:rPr>
      </w:pPr>
      <w:r>
        <w:rPr>
          <w:b/>
          <w:sz w:val="28"/>
          <w:szCs w:val="28"/>
        </w:rPr>
        <w:t>U.S. DEPARTMENT OF TRANSPORATION</w:t>
      </w:r>
    </w:p>
    <w:p w:rsidR="00F80A8D" w:rsidRDefault="00F80A8D">
      <w:pPr>
        <w:jc w:val="center"/>
        <w:rPr>
          <w:b/>
          <w:sz w:val="28"/>
          <w:szCs w:val="28"/>
        </w:rPr>
      </w:pPr>
      <w:r>
        <w:rPr>
          <w:b/>
          <w:sz w:val="28"/>
          <w:szCs w:val="28"/>
        </w:rPr>
        <w:t>FEDERAL TRANSIT ADMINISTRATION</w:t>
      </w:r>
    </w:p>
    <w:p w:rsidR="00F80A8D" w:rsidRDefault="00F80A8D">
      <w:pPr>
        <w:jc w:val="center"/>
        <w:rPr>
          <w:b/>
          <w:sz w:val="24"/>
        </w:rPr>
      </w:pPr>
      <w:r>
        <w:rPr>
          <w:b/>
          <w:sz w:val="28"/>
          <w:szCs w:val="28"/>
        </w:rPr>
        <w:t>OFFICE OF CIVIL RIGHTS</w:t>
      </w:r>
    </w:p>
    <w:p w:rsidR="00F80A8D" w:rsidRDefault="00F80A8D">
      <w:pPr>
        <w:jc w:val="center"/>
        <w:rPr>
          <w:sz w:val="24"/>
        </w:rPr>
      </w:pPr>
    </w:p>
    <w:p w:rsidR="00F80A8D" w:rsidRDefault="00F80A8D">
      <w:pPr>
        <w:jc w:val="center"/>
        <w:rPr>
          <w:sz w:val="24"/>
        </w:rPr>
      </w:pPr>
    </w:p>
    <w:p w:rsidR="00F80A8D" w:rsidRDefault="00F80A8D">
      <w:pPr>
        <w:jc w:val="center"/>
        <w:rPr>
          <w:sz w:val="24"/>
        </w:rPr>
      </w:pPr>
    </w:p>
    <w:p w:rsidR="00F80A8D" w:rsidRDefault="00F80A8D" w:rsidP="00035671">
      <w:pPr>
        <w:ind w:right="-720"/>
        <w:rPr>
          <w:sz w:val="24"/>
        </w:rPr>
      </w:pPr>
    </w:p>
    <w:p w:rsidR="00F80A8D" w:rsidRDefault="00F80A8D">
      <w:pPr>
        <w:rPr>
          <w:sz w:val="24"/>
        </w:rPr>
      </w:pPr>
    </w:p>
    <w:p w:rsidR="00F80A8D" w:rsidRDefault="00F80A8D">
      <w:pPr>
        <w:jc w:val="center"/>
        <w:rPr>
          <w:b/>
          <w:sz w:val="28"/>
          <w:szCs w:val="28"/>
        </w:rPr>
      </w:pPr>
      <w:r>
        <w:rPr>
          <w:b/>
          <w:sz w:val="28"/>
          <w:szCs w:val="28"/>
        </w:rPr>
        <w:t>Prepared By</w:t>
      </w:r>
    </w:p>
    <w:p w:rsidR="00F80A8D" w:rsidRDefault="00F80A8D">
      <w:pPr>
        <w:jc w:val="center"/>
        <w:rPr>
          <w:b/>
          <w:sz w:val="28"/>
          <w:szCs w:val="28"/>
        </w:rPr>
      </w:pPr>
    </w:p>
    <w:p w:rsidR="00F80A8D" w:rsidRDefault="00F80A8D">
      <w:pPr>
        <w:jc w:val="center"/>
        <w:rPr>
          <w:b/>
          <w:sz w:val="28"/>
          <w:szCs w:val="28"/>
        </w:rPr>
      </w:pPr>
      <w:r>
        <w:rPr>
          <w:b/>
          <w:sz w:val="28"/>
          <w:szCs w:val="28"/>
        </w:rPr>
        <w:t>THE DMP GROUP, LLC</w:t>
      </w:r>
    </w:p>
    <w:p w:rsidR="00F80A8D" w:rsidRDefault="00BB2536">
      <w:pPr>
        <w:jc w:val="center"/>
        <w:rPr>
          <w:b/>
          <w:sz w:val="28"/>
          <w:szCs w:val="28"/>
        </w:rPr>
      </w:pPr>
      <w:r>
        <w:rPr>
          <w:b/>
          <w:sz w:val="28"/>
          <w:szCs w:val="28"/>
        </w:rPr>
        <w:t>2233</w:t>
      </w:r>
      <w:r w:rsidR="00CA1585">
        <w:rPr>
          <w:b/>
          <w:sz w:val="28"/>
          <w:szCs w:val="28"/>
        </w:rPr>
        <w:t xml:space="preserve"> </w:t>
      </w:r>
      <w:r>
        <w:rPr>
          <w:b/>
          <w:sz w:val="28"/>
          <w:szCs w:val="28"/>
        </w:rPr>
        <w:t>Wisconsin</w:t>
      </w:r>
      <w:r w:rsidR="00CA1585">
        <w:rPr>
          <w:b/>
          <w:sz w:val="28"/>
          <w:szCs w:val="28"/>
        </w:rPr>
        <w:t xml:space="preserve"> Avenue NW</w:t>
      </w:r>
    </w:p>
    <w:p w:rsidR="00BB2536" w:rsidRDefault="00BB2536">
      <w:pPr>
        <w:jc w:val="center"/>
        <w:rPr>
          <w:b/>
          <w:sz w:val="28"/>
          <w:szCs w:val="28"/>
        </w:rPr>
      </w:pPr>
      <w:r>
        <w:rPr>
          <w:b/>
          <w:sz w:val="28"/>
          <w:szCs w:val="28"/>
        </w:rPr>
        <w:t>Suite 405</w:t>
      </w:r>
    </w:p>
    <w:p w:rsidR="00F80A8D" w:rsidRDefault="00CA1585">
      <w:pPr>
        <w:jc w:val="center"/>
        <w:rPr>
          <w:b/>
          <w:sz w:val="28"/>
          <w:szCs w:val="28"/>
        </w:rPr>
      </w:pPr>
      <w:r>
        <w:rPr>
          <w:b/>
          <w:sz w:val="28"/>
          <w:szCs w:val="28"/>
        </w:rPr>
        <w:t>Washington, DC 200</w:t>
      </w:r>
      <w:r w:rsidR="00BB2536">
        <w:rPr>
          <w:b/>
          <w:sz w:val="28"/>
          <w:szCs w:val="28"/>
        </w:rPr>
        <w:t>07</w:t>
      </w:r>
    </w:p>
    <w:p w:rsidR="00F80A8D" w:rsidRDefault="00F80A8D">
      <w:pPr>
        <w:jc w:val="center"/>
        <w:rPr>
          <w:b/>
          <w:sz w:val="28"/>
          <w:szCs w:val="28"/>
        </w:rPr>
      </w:pPr>
    </w:p>
    <w:p w:rsidR="00F80A8D" w:rsidRDefault="00F80A8D">
      <w:pPr>
        <w:jc w:val="center"/>
        <w:rPr>
          <w:b/>
          <w:i/>
          <w:iCs/>
          <w:sz w:val="24"/>
          <w:u w:val="single"/>
        </w:rPr>
      </w:pPr>
    </w:p>
    <w:p w:rsidR="00F80A8D" w:rsidRDefault="00F80A8D">
      <w:pPr>
        <w:jc w:val="center"/>
        <w:rPr>
          <w:sz w:val="24"/>
        </w:rPr>
      </w:pPr>
      <w:r>
        <w:rPr>
          <w:b/>
          <w:sz w:val="24"/>
        </w:rPr>
        <w:br w:type="page"/>
      </w:r>
    </w:p>
    <w:p w:rsidR="00F80A8D" w:rsidRPr="008A60E2" w:rsidRDefault="00F80A8D">
      <w:pPr>
        <w:jc w:val="center"/>
        <w:rPr>
          <w:sz w:val="28"/>
          <w:szCs w:val="28"/>
          <w:u w:val="single"/>
        </w:rPr>
      </w:pPr>
      <w:r w:rsidRPr="008A60E2">
        <w:rPr>
          <w:sz w:val="28"/>
          <w:szCs w:val="28"/>
          <w:u w:val="single"/>
        </w:rPr>
        <w:lastRenderedPageBreak/>
        <w:t>Table of Contents</w:t>
      </w:r>
    </w:p>
    <w:p w:rsidR="00F80A8D" w:rsidRPr="008A60E2" w:rsidRDefault="00F80A8D">
      <w:pPr>
        <w:jc w:val="center"/>
        <w:rPr>
          <w:sz w:val="28"/>
          <w:szCs w:val="28"/>
          <w:u w:val="single"/>
        </w:rPr>
      </w:pPr>
    </w:p>
    <w:p w:rsidR="00F80A8D" w:rsidRPr="008A60E2" w:rsidRDefault="00F80A8D">
      <w:pPr>
        <w:jc w:val="center"/>
        <w:rPr>
          <w:sz w:val="28"/>
          <w:szCs w:val="28"/>
          <w:u w:val="single"/>
        </w:rPr>
      </w:pPr>
    </w:p>
    <w:p w:rsidR="00DF1E61" w:rsidRDefault="005C0F46">
      <w:pPr>
        <w:pStyle w:val="TOC1"/>
        <w:rPr>
          <w:rFonts w:asciiTheme="minorHAnsi" w:eastAsiaTheme="minorEastAsia" w:hAnsiTheme="minorHAnsi" w:cstheme="minorBidi"/>
          <w:b w:val="0"/>
          <w:sz w:val="22"/>
          <w:szCs w:val="22"/>
        </w:rPr>
      </w:pPr>
      <w:r w:rsidRPr="008A60E2">
        <w:rPr>
          <w:sz w:val="28"/>
          <w:szCs w:val="28"/>
        </w:rPr>
        <w:fldChar w:fldCharType="begin"/>
      </w:r>
      <w:r w:rsidR="004D1FBA" w:rsidRPr="008A60E2">
        <w:rPr>
          <w:sz w:val="28"/>
          <w:szCs w:val="28"/>
        </w:rPr>
        <w:instrText xml:space="preserve"> TOC \o "1-2" </w:instrText>
      </w:r>
      <w:r w:rsidRPr="008A60E2">
        <w:rPr>
          <w:sz w:val="28"/>
          <w:szCs w:val="28"/>
        </w:rPr>
        <w:fldChar w:fldCharType="separate"/>
      </w:r>
      <w:bookmarkStart w:id="0" w:name="_GoBack"/>
      <w:bookmarkEnd w:id="0"/>
      <w:r w:rsidR="00DF1E61" w:rsidRPr="00D921F0">
        <w:t>I.</w:t>
      </w:r>
      <w:r w:rsidR="00DF1E61">
        <w:rPr>
          <w:rFonts w:asciiTheme="minorHAnsi" w:eastAsiaTheme="minorEastAsia" w:hAnsiTheme="minorHAnsi" w:cstheme="minorBidi"/>
          <w:b w:val="0"/>
          <w:sz w:val="22"/>
          <w:szCs w:val="22"/>
        </w:rPr>
        <w:tab/>
      </w:r>
      <w:r w:rsidR="00DF1E61">
        <w:t>GENERAL INFORMATION</w:t>
      </w:r>
      <w:r w:rsidR="00DF1E61">
        <w:tab/>
      </w:r>
      <w:r>
        <w:fldChar w:fldCharType="begin"/>
      </w:r>
      <w:r w:rsidR="00DF1E61">
        <w:instrText xml:space="preserve"> PAGEREF _Toc312841752 \h </w:instrText>
      </w:r>
      <w:r>
        <w:fldChar w:fldCharType="separate"/>
      </w:r>
      <w:r w:rsidR="00925CD2">
        <w:t>3</w:t>
      </w:r>
      <w:r>
        <w:fldChar w:fldCharType="end"/>
      </w:r>
    </w:p>
    <w:p w:rsidR="00DF1E61" w:rsidRDefault="00DF1E61">
      <w:pPr>
        <w:pStyle w:val="TOC1"/>
        <w:rPr>
          <w:rFonts w:asciiTheme="minorHAnsi" w:eastAsiaTheme="minorEastAsia" w:hAnsiTheme="minorHAnsi" w:cstheme="minorBidi"/>
          <w:b w:val="0"/>
          <w:sz w:val="22"/>
          <w:szCs w:val="22"/>
        </w:rPr>
      </w:pPr>
      <w:r w:rsidRPr="00D921F0">
        <w:t>II.</w:t>
      </w:r>
      <w:r>
        <w:rPr>
          <w:rFonts w:asciiTheme="minorHAnsi" w:eastAsiaTheme="minorEastAsia" w:hAnsiTheme="minorHAnsi" w:cstheme="minorBidi"/>
          <w:b w:val="0"/>
          <w:sz w:val="22"/>
          <w:szCs w:val="22"/>
        </w:rPr>
        <w:tab/>
      </w:r>
      <w:r>
        <w:t>JURISDICTION AND AUTHORITIES</w:t>
      </w:r>
      <w:r>
        <w:tab/>
      </w:r>
      <w:r w:rsidR="005C0F46">
        <w:fldChar w:fldCharType="begin"/>
      </w:r>
      <w:r>
        <w:instrText xml:space="preserve"> PAGEREF _Toc312841753 \h </w:instrText>
      </w:r>
      <w:r w:rsidR="005C0F46">
        <w:fldChar w:fldCharType="separate"/>
      </w:r>
      <w:r w:rsidR="00925CD2">
        <w:t>4</w:t>
      </w:r>
      <w:r w:rsidR="005C0F46">
        <w:fldChar w:fldCharType="end"/>
      </w:r>
    </w:p>
    <w:p w:rsidR="00DF1E61" w:rsidRDefault="00DF1E61">
      <w:pPr>
        <w:pStyle w:val="TOC1"/>
        <w:rPr>
          <w:rFonts w:asciiTheme="minorHAnsi" w:eastAsiaTheme="minorEastAsia" w:hAnsiTheme="minorHAnsi" w:cstheme="minorBidi"/>
          <w:b w:val="0"/>
          <w:sz w:val="22"/>
          <w:szCs w:val="22"/>
        </w:rPr>
      </w:pPr>
      <w:r w:rsidRPr="00D921F0">
        <w:t>III.</w:t>
      </w:r>
      <w:r>
        <w:rPr>
          <w:rFonts w:asciiTheme="minorHAnsi" w:eastAsiaTheme="minorEastAsia" w:hAnsiTheme="minorHAnsi" w:cstheme="minorBidi"/>
          <w:b w:val="0"/>
          <w:sz w:val="22"/>
          <w:szCs w:val="22"/>
        </w:rPr>
        <w:tab/>
      </w:r>
      <w:r>
        <w:t>PURPOSE AND OBJECTIVES</w:t>
      </w:r>
      <w:r>
        <w:tab/>
      </w:r>
      <w:r w:rsidR="005C0F46">
        <w:fldChar w:fldCharType="begin"/>
      </w:r>
      <w:r>
        <w:instrText xml:space="preserve"> PAGEREF _Toc312841754 \h </w:instrText>
      </w:r>
      <w:r w:rsidR="005C0F46">
        <w:fldChar w:fldCharType="separate"/>
      </w:r>
      <w:r w:rsidR="00925CD2">
        <w:t>5</w:t>
      </w:r>
      <w:r w:rsidR="005C0F46">
        <w:fldChar w:fldCharType="end"/>
      </w:r>
    </w:p>
    <w:p w:rsidR="00DF1E61" w:rsidRDefault="00DF1E61">
      <w:pPr>
        <w:pStyle w:val="TOC1"/>
        <w:rPr>
          <w:rFonts w:asciiTheme="minorHAnsi" w:eastAsiaTheme="minorEastAsia" w:hAnsiTheme="minorHAnsi" w:cstheme="minorBidi"/>
          <w:b w:val="0"/>
          <w:sz w:val="22"/>
          <w:szCs w:val="22"/>
        </w:rPr>
      </w:pPr>
      <w:r w:rsidRPr="00D921F0">
        <w:t>IV.</w:t>
      </w:r>
      <w:r>
        <w:rPr>
          <w:rFonts w:asciiTheme="minorHAnsi" w:eastAsiaTheme="minorEastAsia" w:hAnsiTheme="minorHAnsi" w:cstheme="minorBidi"/>
          <w:b w:val="0"/>
          <w:sz w:val="22"/>
          <w:szCs w:val="22"/>
        </w:rPr>
        <w:tab/>
      </w:r>
      <w:r>
        <w:t>BACKGROUND INFORMATION</w:t>
      </w:r>
      <w:r>
        <w:tab/>
      </w:r>
      <w:r w:rsidR="005C0F46">
        <w:fldChar w:fldCharType="begin"/>
      </w:r>
      <w:r>
        <w:instrText xml:space="preserve"> PAGEREF _Toc312841755 \h </w:instrText>
      </w:r>
      <w:r w:rsidR="005C0F46">
        <w:fldChar w:fldCharType="separate"/>
      </w:r>
      <w:r w:rsidR="00925CD2">
        <w:t>7</w:t>
      </w:r>
      <w:r w:rsidR="005C0F46">
        <w:fldChar w:fldCharType="end"/>
      </w:r>
    </w:p>
    <w:p w:rsidR="00DF1E61" w:rsidRDefault="00DF1E61">
      <w:pPr>
        <w:pStyle w:val="TOC1"/>
        <w:rPr>
          <w:rFonts w:asciiTheme="minorHAnsi" w:eastAsiaTheme="minorEastAsia" w:hAnsiTheme="minorHAnsi" w:cstheme="minorBidi"/>
          <w:b w:val="0"/>
          <w:sz w:val="22"/>
          <w:szCs w:val="22"/>
        </w:rPr>
      </w:pPr>
      <w:r w:rsidRPr="00D921F0">
        <w:t>V.</w:t>
      </w:r>
      <w:r>
        <w:rPr>
          <w:rFonts w:asciiTheme="minorHAnsi" w:eastAsiaTheme="minorEastAsia" w:hAnsiTheme="minorHAnsi" w:cstheme="minorBidi"/>
          <w:b w:val="0"/>
          <w:sz w:val="22"/>
          <w:szCs w:val="22"/>
        </w:rPr>
        <w:tab/>
      </w:r>
      <w:r>
        <w:t>SCOPE AND METHODOLOGY</w:t>
      </w:r>
      <w:r>
        <w:tab/>
      </w:r>
      <w:r w:rsidR="005C0F46">
        <w:fldChar w:fldCharType="begin"/>
      </w:r>
      <w:r>
        <w:instrText xml:space="preserve"> PAGEREF _Toc312841756 \h </w:instrText>
      </w:r>
      <w:r w:rsidR="005C0F46">
        <w:fldChar w:fldCharType="separate"/>
      </w:r>
      <w:r w:rsidR="00925CD2">
        <w:t>13</w:t>
      </w:r>
      <w:r w:rsidR="005C0F46">
        <w:fldChar w:fldCharType="end"/>
      </w:r>
    </w:p>
    <w:p w:rsidR="00DF1E61" w:rsidRDefault="00DF1E61">
      <w:pPr>
        <w:pStyle w:val="TOC1"/>
        <w:rPr>
          <w:rFonts w:asciiTheme="minorHAnsi" w:eastAsiaTheme="minorEastAsia" w:hAnsiTheme="minorHAnsi" w:cstheme="minorBidi"/>
          <w:b w:val="0"/>
          <w:sz w:val="22"/>
          <w:szCs w:val="22"/>
        </w:rPr>
      </w:pPr>
      <w:r w:rsidRPr="00D921F0">
        <w:t>VI.</w:t>
      </w:r>
      <w:r>
        <w:rPr>
          <w:rFonts w:asciiTheme="minorHAnsi" w:eastAsiaTheme="minorEastAsia" w:hAnsiTheme="minorHAnsi" w:cstheme="minorBidi"/>
          <w:b w:val="0"/>
          <w:sz w:val="22"/>
          <w:szCs w:val="22"/>
        </w:rPr>
        <w:tab/>
      </w:r>
      <w:r>
        <w:t>FINDINGS AND RECOMMENDATIONS</w:t>
      </w:r>
      <w:r>
        <w:tab/>
      </w:r>
      <w:r w:rsidR="005C0F46">
        <w:fldChar w:fldCharType="begin"/>
      </w:r>
      <w:r>
        <w:instrText xml:space="preserve"> PAGEREF _Toc312841757 \h </w:instrText>
      </w:r>
      <w:r w:rsidR="005C0F46">
        <w:fldChar w:fldCharType="separate"/>
      </w:r>
      <w:r w:rsidR="00925CD2">
        <w:t>18</w:t>
      </w:r>
      <w:r w:rsidR="005C0F46">
        <w:fldChar w:fldCharType="end"/>
      </w:r>
    </w:p>
    <w:p w:rsidR="00DF1E61" w:rsidRDefault="00DF1E61">
      <w:pPr>
        <w:pStyle w:val="TOC2"/>
        <w:rPr>
          <w:rFonts w:asciiTheme="minorHAnsi" w:eastAsiaTheme="minorEastAsia" w:hAnsiTheme="minorHAnsi" w:cstheme="minorBidi"/>
          <w:sz w:val="22"/>
          <w:szCs w:val="22"/>
        </w:rPr>
      </w:pPr>
      <w:r w:rsidRPr="00D921F0">
        <w:t>1.</w:t>
      </w:r>
      <w:r>
        <w:rPr>
          <w:rFonts w:asciiTheme="minorHAnsi" w:eastAsiaTheme="minorEastAsia" w:hAnsiTheme="minorHAnsi" w:cstheme="minorBidi"/>
          <w:sz w:val="22"/>
          <w:szCs w:val="22"/>
        </w:rPr>
        <w:tab/>
      </w:r>
      <w:r>
        <w:t>Inclusive Public Participation</w:t>
      </w:r>
      <w:r>
        <w:tab/>
      </w:r>
      <w:r w:rsidR="005C0F46">
        <w:fldChar w:fldCharType="begin"/>
      </w:r>
      <w:r>
        <w:instrText xml:space="preserve"> PAGEREF _Toc312841758 \h </w:instrText>
      </w:r>
      <w:r w:rsidR="005C0F46">
        <w:fldChar w:fldCharType="separate"/>
      </w:r>
      <w:r w:rsidR="00925CD2">
        <w:t>18</w:t>
      </w:r>
      <w:r w:rsidR="005C0F46">
        <w:fldChar w:fldCharType="end"/>
      </w:r>
    </w:p>
    <w:p w:rsidR="00DF1E61" w:rsidRDefault="00DF1E61">
      <w:pPr>
        <w:pStyle w:val="TOC2"/>
        <w:rPr>
          <w:rFonts w:asciiTheme="minorHAnsi" w:eastAsiaTheme="minorEastAsia" w:hAnsiTheme="minorHAnsi" w:cstheme="minorBidi"/>
          <w:sz w:val="22"/>
          <w:szCs w:val="22"/>
        </w:rPr>
      </w:pPr>
      <w:r w:rsidRPr="00D921F0">
        <w:t>2.</w:t>
      </w:r>
      <w:r>
        <w:rPr>
          <w:rFonts w:asciiTheme="minorHAnsi" w:eastAsiaTheme="minorEastAsia" w:hAnsiTheme="minorHAnsi" w:cstheme="minorBidi"/>
          <w:sz w:val="22"/>
          <w:szCs w:val="22"/>
        </w:rPr>
        <w:tab/>
      </w:r>
      <w:r>
        <w:t>Language Access to LEP Persons</w:t>
      </w:r>
      <w:r>
        <w:tab/>
      </w:r>
      <w:r w:rsidR="005C0F46">
        <w:fldChar w:fldCharType="begin"/>
      </w:r>
      <w:r>
        <w:instrText xml:space="preserve"> PAGEREF _Toc312841759 \h </w:instrText>
      </w:r>
      <w:r w:rsidR="005C0F46">
        <w:fldChar w:fldCharType="separate"/>
      </w:r>
      <w:r w:rsidR="00925CD2">
        <w:t>21</w:t>
      </w:r>
      <w:r w:rsidR="005C0F46">
        <w:fldChar w:fldCharType="end"/>
      </w:r>
    </w:p>
    <w:p w:rsidR="00DF1E61" w:rsidRDefault="00DF1E61">
      <w:pPr>
        <w:pStyle w:val="TOC2"/>
        <w:rPr>
          <w:rFonts w:asciiTheme="minorHAnsi" w:eastAsiaTheme="minorEastAsia" w:hAnsiTheme="minorHAnsi" w:cstheme="minorBidi"/>
          <w:sz w:val="22"/>
          <w:szCs w:val="22"/>
        </w:rPr>
      </w:pPr>
      <w:r w:rsidRPr="00D921F0">
        <w:t>3.</w:t>
      </w:r>
      <w:r>
        <w:rPr>
          <w:rFonts w:asciiTheme="minorHAnsi" w:eastAsiaTheme="minorEastAsia" w:hAnsiTheme="minorHAnsi" w:cstheme="minorBidi"/>
          <w:sz w:val="22"/>
          <w:szCs w:val="22"/>
        </w:rPr>
        <w:tab/>
      </w:r>
      <w:r>
        <w:t>Title VI Complaint Procedures</w:t>
      </w:r>
      <w:r>
        <w:tab/>
      </w:r>
      <w:r w:rsidR="005C0F46">
        <w:fldChar w:fldCharType="begin"/>
      </w:r>
      <w:r>
        <w:instrText xml:space="preserve"> PAGEREF _Toc312841760 \h </w:instrText>
      </w:r>
      <w:r w:rsidR="005C0F46">
        <w:fldChar w:fldCharType="separate"/>
      </w:r>
      <w:r w:rsidR="00925CD2">
        <w:t>24</w:t>
      </w:r>
      <w:r w:rsidR="005C0F46">
        <w:fldChar w:fldCharType="end"/>
      </w:r>
    </w:p>
    <w:p w:rsidR="00DF1E61" w:rsidRDefault="00DF1E61">
      <w:pPr>
        <w:pStyle w:val="TOC2"/>
        <w:rPr>
          <w:rFonts w:asciiTheme="minorHAnsi" w:eastAsiaTheme="minorEastAsia" w:hAnsiTheme="minorHAnsi" w:cstheme="minorBidi"/>
          <w:sz w:val="22"/>
          <w:szCs w:val="22"/>
        </w:rPr>
      </w:pPr>
      <w:r w:rsidRPr="00D921F0">
        <w:t>4.</w:t>
      </w:r>
      <w:r>
        <w:rPr>
          <w:rFonts w:asciiTheme="minorHAnsi" w:eastAsiaTheme="minorEastAsia" w:hAnsiTheme="minorHAnsi" w:cstheme="minorBidi"/>
          <w:sz w:val="22"/>
          <w:szCs w:val="22"/>
        </w:rPr>
        <w:tab/>
      </w:r>
      <w:r>
        <w:t>Record of Title VI Investigations, Complaints, and Lawsuits</w:t>
      </w:r>
      <w:r>
        <w:tab/>
      </w:r>
      <w:r w:rsidR="005C0F46">
        <w:fldChar w:fldCharType="begin"/>
      </w:r>
      <w:r>
        <w:instrText xml:space="preserve"> PAGEREF _Toc312841761 \h </w:instrText>
      </w:r>
      <w:r w:rsidR="005C0F46">
        <w:fldChar w:fldCharType="separate"/>
      </w:r>
      <w:r w:rsidR="00925CD2">
        <w:t>25</w:t>
      </w:r>
      <w:r w:rsidR="005C0F46">
        <w:fldChar w:fldCharType="end"/>
      </w:r>
    </w:p>
    <w:p w:rsidR="00DF1E61" w:rsidRDefault="00DF1E61">
      <w:pPr>
        <w:pStyle w:val="TOC2"/>
        <w:rPr>
          <w:rFonts w:asciiTheme="minorHAnsi" w:eastAsiaTheme="minorEastAsia" w:hAnsiTheme="minorHAnsi" w:cstheme="minorBidi"/>
          <w:sz w:val="22"/>
          <w:szCs w:val="22"/>
        </w:rPr>
      </w:pPr>
      <w:r w:rsidRPr="00D921F0">
        <w:t>5.</w:t>
      </w:r>
      <w:r>
        <w:rPr>
          <w:rFonts w:asciiTheme="minorHAnsi" w:eastAsiaTheme="minorEastAsia" w:hAnsiTheme="minorHAnsi" w:cstheme="minorBidi"/>
          <w:sz w:val="22"/>
          <w:szCs w:val="22"/>
        </w:rPr>
        <w:tab/>
      </w:r>
      <w:r>
        <w:t>Notice to Beneficiaries of Protection Under Title VI</w:t>
      </w:r>
      <w:r>
        <w:tab/>
      </w:r>
      <w:r w:rsidR="005C0F46">
        <w:fldChar w:fldCharType="begin"/>
      </w:r>
      <w:r>
        <w:instrText xml:space="preserve"> PAGEREF _Toc312841762 \h </w:instrText>
      </w:r>
      <w:r w:rsidR="005C0F46">
        <w:fldChar w:fldCharType="separate"/>
      </w:r>
      <w:r w:rsidR="00925CD2">
        <w:t>26</w:t>
      </w:r>
      <w:r w:rsidR="005C0F46">
        <w:fldChar w:fldCharType="end"/>
      </w:r>
    </w:p>
    <w:p w:rsidR="00DF1E61" w:rsidRDefault="00DF1E61">
      <w:pPr>
        <w:pStyle w:val="TOC2"/>
        <w:rPr>
          <w:rFonts w:asciiTheme="minorHAnsi" w:eastAsiaTheme="minorEastAsia" w:hAnsiTheme="minorHAnsi" w:cstheme="minorBidi"/>
          <w:sz w:val="22"/>
          <w:szCs w:val="22"/>
        </w:rPr>
      </w:pPr>
      <w:r w:rsidRPr="00D921F0">
        <w:t>6.</w:t>
      </w:r>
      <w:r>
        <w:rPr>
          <w:rFonts w:asciiTheme="minorHAnsi" w:eastAsiaTheme="minorEastAsia" w:hAnsiTheme="minorHAnsi" w:cstheme="minorBidi"/>
          <w:sz w:val="22"/>
          <w:szCs w:val="22"/>
        </w:rPr>
        <w:tab/>
      </w:r>
      <w:r>
        <w:t>Annual Title VI Certification and Assurance</w:t>
      </w:r>
      <w:r>
        <w:tab/>
      </w:r>
      <w:r w:rsidR="005C0F46">
        <w:fldChar w:fldCharType="begin"/>
      </w:r>
      <w:r>
        <w:instrText xml:space="preserve"> PAGEREF _Toc312841763 \h </w:instrText>
      </w:r>
      <w:r w:rsidR="005C0F46">
        <w:fldChar w:fldCharType="separate"/>
      </w:r>
      <w:r w:rsidR="00925CD2">
        <w:t>27</w:t>
      </w:r>
      <w:r w:rsidR="005C0F46">
        <w:fldChar w:fldCharType="end"/>
      </w:r>
    </w:p>
    <w:p w:rsidR="00DF1E61" w:rsidRDefault="00DF1E61">
      <w:pPr>
        <w:pStyle w:val="TOC2"/>
        <w:rPr>
          <w:rFonts w:asciiTheme="minorHAnsi" w:eastAsiaTheme="minorEastAsia" w:hAnsiTheme="minorHAnsi" w:cstheme="minorBidi"/>
          <w:sz w:val="22"/>
          <w:szCs w:val="22"/>
        </w:rPr>
      </w:pPr>
      <w:r w:rsidRPr="00D921F0">
        <w:t>7.</w:t>
      </w:r>
      <w:r>
        <w:rPr>
          <w:rFonts w:asciiTheme="minorHAnsi" w:eastAsiaTheme="minorEastAsia" w:hAnsiTheme="minorHAnsi" w:cstheme="minorBidi"/>
          <w:sz w:val="22"/>
          <w:szCs w:val="22"/>
        </w:rPr>
        <w:tab/>
      </w:r>
      <w:r>
        <w:t>Environmental Justice Analysis of Construction Projects</w:t>
      </w:r>
      <w:r>
        <w:tab/>
      </w:r>
      <w:r w:rsidR="005C0F46">
        <w:fldChar w:fldCharType="begin"/>
      </w:r>
      <w:r>
        <w:instrText xml:space="preserve"> PAGEREF _Toc312841764 \h </w:instrText>
      </w:r>
      <w:r w:rsidR="005C0F46">
        <w:fldChar w:fldCharType="separate"/>
      </w:r>
      <w:r w:rsidR="00925CD2">
        <w:t>28</w:t>
      </w:r>
      <w:r w:rsidR="005C0F46">
        <w:fldChar w:fldCharType="end"/>
      </w:r>
    </w:p>
    <w:p w:rsidR="00DF1E61" w:rsidRDefault="00DF1E61">
      <w:pPr>
        <w:pStyle w:val="TOC2"/>
        <w:rPr>
          <w:rFonts w:asciiTheme="minorHAnsi" w:eastAsiaTheme="minorEastAsia" w:hAnsiTheme="minorHAnsi" w:cstheme="minorBidi"/>
          <w:sz w:val="22"/>
          <w:szCs w:val="22"/>
        </w:rPr>
      </w:pPr>
      <w:r w:rsidRPr="00D921F0">
        <w:t>8.</w:t>
      </w:r>
      <w:r>
        <w:rPr>
          <w:rFonts w:asciiTheme="minorHAnsi" w:eastAsiaTheme="minorEastAsia" w:hAnsiTheme="minorHAnsi" w:cstheme="minorBidi"/>
          <w:sz w:val="22"/>
          <w:szCs w:val="22"/>
        </w:rPr>
        <w:tab/>
      </w:r>
      <w:r>
        <w:t>Submit Title VI Program</w:t>
      </w:r>
      <w:r>
        <w:tab/>
      </w:r>
      <w:r w:rsidR="005C0F46">
        <w:fldChar w:fldCharType="begin"/>
      </w:r>
      <w:r>
        <w:instrText xml:space="preserve"> PAGEREF _Toc312841765 \h </w:instrText>
      </w:r>
      <w:r w:rsidR="005C0F46">
        <w:fldChar w:fldCharType="separate"/>
      </w:r>
      <w:r w:rsidR="00925CD2">
        <w:t>29</w:t>
      </w:r>
      <w:r w:rsidR="005C0F46">
        <w:fldChar w:fldCharType="end"/>
      </w:r>
    </w:p>
    <w:p w:rsidR="00DF1E61" w:rsidRDefault="00DF1E61">
      <w:pPr>
        <w:pStyle w:val="TOC2"/>
        <w:rPr>
          <w:rFonts w:asciiTheme="minorHAnsi" w:eastAsiaTheme="minorEastAsia" w:hAnsiTheme="minorHAnsi" w:cstheme="minorBidi"/>
          <w:sz w:val="22"/>
          <w:szCs w:val="22"/>
        </w:rPr>
      </w:pPr>
      <w:r w:rsidRPr="00D921F0">
        <w:t>9.</w:t>
      </w:r>
      <w:r>
        <w:rPr>
          <w:rFonts w:asciiTheme="minorHAnsi" w:eastAsiaTheme="minorEastAsia" w:hAnsiTheme="minorHAnsi" w:cstheme="minorBidi"/>
          <w:sz w:val="22"/>
          <w:szCs w:val="22"/>
        </w:rPr>
        <w:tab/>
      </w:r>
      <w:r>
        <w:t>Evaluation of Service and Fare Changes</w:t>
      </w:r>
      <w:r>
        <w:tab/>
      </w:r>
      <w:r w:rsidR="005C0F46">
        <w:fldChar w:fldCharType="begin"/>
      </w:r>
      <w:r>
        <w:instrText xml:space="preserve"> PAGEREF _Toc312841766 \h </w:instrText>
      </w:r>
      <w:r w:rsidR="005C0F46">
        <w:fldChar w:fldCharType="separate"/>
      </w:r>
      <w:r w:rsidR="00925CD2">
        <w:t>32</w:t>
      </w:r>
      <w:r w:rsidR="005C0F46">
        <w:fldChar w:fldCharType="end"/>
      </w:r>
    </w:p>
    <w:p w:rsidR="00DF1E61" w:rsidRDefault="00DF1E61">
      <w:pPr>
        <w:pStyle w:val="TOC2"/>
        <w:rPr>
          <w:rFonts w:asciiTheme="minorHAnsi" w:eastAsiaTheme="minorEastAsia" w:hAnsiTheme="minorHAnsi" w:cstheme="minorBidi"/>
          <w:sz w:val="22"/>
          <w:szCs w:val="22"/>
        </w:rPr>
      </w:pPr>
      <w:r w:rsidRPr="00D921F0">
        <w:t>10.</w:t>
      </w:r>
      <w:r>
        <w:rPr>
          <w:rFonts w:asciiTheme="minorHAnsi" w:eastAsiaTheme="minorEastAsia" w:hAnsiTheme="minorHAnsi" w:cstheme="minorBidi"/>
          <w:sz w:val="22"/>
          <w:szCs w:val="22"/>
        </w:rPr>
        <w:tab/>
      </w:r>
      <w:r>
        <w:t>Monitoring Transit Service</w:t>
      </w:r>
      <w:r>
        <w:tab/>
      </w:r>
      <w:r w:rsidR="005C0F46">
        <w:fldChar w:fldCharType="begin"/>
      </w:r>
      <w:r>
        <w:instrText xml:space="preserve"> PAGEREF _Toc312841767 \h </w:instrText>
      </w:r>
      <w:r w:rsidR="005C0F46">
        <w:fldChar w:fldCharType="separate"/>
      </w:r>
      <w:r w:rsidR="00925CD2">
        <w:t>34</w:t>
      </w:r>
      <w:r w:rsidR="005C0F46">
        <w:fldChar w:fldCharType="end"/>
      </w:r>
    </w:p>
    <w:p w:rsidR="00DF1E61" w:rsidRDefault="00DF1E61">
      <w:pPr>
        <w:pStyle w:val="TOC1"/>
        <w:rPr>
          <w:rFonts w:asciiTheme="minorHAnsi" w:eastAsiaTheme="minorEastAsia" w:hAnsiTheme="minorHAnsi" w:cstheme="minorBidi"/>
          <w:b w:val="0"/>
          <w:sz w:val="22"/>
          <w:szCs w:val="22"/>
        </w:rPr>
      </w:pPr>
      <w:r w:rsidRPr="00D921F0">
        <w:t>VII.</w:t>
      </w:r>
      <w:r>
        <w:rPr>
          <w:rFonts w:asciiTheme="minorHAnsi" w:eastAsiaTheme="minorEastAsia" w:hAnsiTheme="minorHAnsi" w:cstheme="minorBidi"/>
          <w:b w:val="0"/>
          <w:sz w:val="22"/>
          <w:szCs w:val="22"/>
        </w:rPr>
        <w:tab/>
      </w:r>
      <w:r>
        <w:t>SUMMARY OF FINDINGS AND CORRECTIVE ACTIONS</w:t>
      </w:r>
      <w:r>
        <w:tab/>
      </w:r>
      <w:r w:rsidR="005C0F46">
        <w:fldChar w:fldCharType="begin"/>
      </w:r>
      <w:r>
        <w:instrText xml:space="preserve"> PAGEREF _Toc312841768 \h </w:instrText>
      </w:r>
      <w:r w:rsidR="005C0F46">
        <w:fldChar w:fldCharType="separate"/>
      </w:r>
      <w:r w:rsidR="00925CD2">
        <w:t>38</w:t>
      </w:r>
      <w:r w:rsidR="005C0F46">
        <w:fldChar w:fldCharType="end"/>
      </w:r>
    </w:p>
    <w:p w:rsidR="00DF1E61" w:rsidRDefault="00DF1E61">
      <w:pPr>
        <w:pStyle w:val="TOC1"/>
        <w:rPr>
          <w:rFonts w:asciiTheme="minorHAnsi" w:eastAsiaTheme="minorEastAsia" w:hAnsiTheme="minorHAnsi" w:cstheme="minorBidi"/>
          <w:b w:val="0"/>
          <w:sz w:val="22"/>
          <w:szCs w:val="22"/>
        </w:rPr>
      </w:pPr>
      <w:r w:rsidRPr="00D921F0">
        <w:t>VIII.</w:t>
      </w:r>
      <w:r>
        <w:rPr>
          <w:rFonts w:asciiTheme="minorHAnsi" w:eastAsiaTheme="minorEastAsia" w:hAnsiTheme="minorHAnsi" w:cstheme="minorBidi"/>
          <w:b w:val="0"/>
          <w:sz w:val="22"/>
          <w:szCs w:val="22"/>
        </w:rPr>
        <w:tab/>
      </w:r>
      <w:r>
        <w:t>ATTENDEES</w:t>
      </w:r>
      <w:r>
        <w:tab/>
      </w:r>
      <w:r w:rsidR="005C0F46">
        <w:fldChar w:fldCharType="begin"/>
      </w:r>
      <w:r>
        <w:instrText xml:space="preserve"> PAGEREF _Toc312841769 \h </w:instrText>
      </w:r>
      <w:r w:rsidR="005C0F46">
        <w:fldChar w:fldCharType="separate"/>
      </w:r>
      <w:r w:rsidR="00925CD2">
        <w:t>40</w:t>
      </w:r>
      <w:r w:rsidR="005C0F46">
        <w:fldChar w:fldCharType="end"/>
      </w:r>
    </w:p>
    <w:p w:rsidR="00F80A8D" w:rsidRDefault="005C0F46" w:rsidP="009A52A0">
      <w:pPr>
        <w:pStyle w:val="TOC1"/>
        <w:sectPr w:rsidR="00F80A8D" w:rsidSect="00035671">
          <w:headerReference w:type="default" r:id="rId8"/>
          <w:footerReference w:type="even" r:id="rId9"/>
          <w:footerReference w:type="default" r:id="rId10"/>
          <w:footerReference w:type="first" r:id="rId11"/>
          <w:pgSz w:w="12240" w:h="15840" w:code="1"/>
          <w:pgMar w:top="1440" w:right="1440" w:bottom="1440" w:left="1440" w:header="720" w:footer="144" w:gutter="0"/>
          <w:pgNumType w:start="1"/>
          <w:cols w:space="720"/>
          <w:titlePg/>
          <w:docGrid w:linePitch="272"/>
        </w:sectPr>
      </w:pPr>
      <w:r w:rsidRPr="008A60E2">
        <w:rPr>
          <w:sz w:val="28"/>
          <w:szCs w:val="28"/>
        </w:rPr>
        <w:fldChar w:fldCharType="end"/>
      </w:r>
    </w:p>
    <w:p w:rsidR="00F80A8D" w:rsidRPr="0018514E" w:rsidRDefault="00F80A8D">
      <w:pPr>
        <w:pStyle w:val="BHLevel1"/>
        <w:rPr>
          <w:sz w:val="28"/>
          <w:szCs w:val="28"/>
        </w:rPr>
      </w:pPr>
      <w:bookmarkStart w:id="1" w:name="_Toc106790237"/>
      <w:bookmarkStart w:id="2" w:name="_Toc312841752"/>
      <w:r w:rsidRPr="0018514E">
        <w:rPr>
          <w:sz w:val="28"/>
          <w:szCs w:val="28"/>
        </w:rPr>
        <w:lastRenderedPageBreak/>
        <w:t>GENERAL INFORMATION</w:t>
      </w:r>
      <w:bookmarkEnd w:id="1"/>
      <w:bookmarkEnd w:id="2"/>
    </w:p>
    <w:p w:rsidR="006C274C" w:rsidRPr="0018514E" w:rsidRDefault="006C274C" w:rsidP="008A60E2">
      <w:pPr>
        <w:spacing w:line="360" w:lineRule="auto"/>
        <w:ind w:left="2880" w:hanging="2880"/>
        <w:rPr>
          <w:sz w:val="28"/>
          <w:szCs w:val="28"/>
        </w:rPr>
      </w:pPr>
    </w:p>
    <w:p w:rsidR="008A3C0D" w:rsidRPr="0018514E" w:rsidRDefault="006C274C" w:rsidP="006C274C">
      <w:pPr>
        <w:ind w:left="2880" w:hanging="2880"/>
        <w:rPr>
          <w:sz w:val="28"/>
          <w:szCs w:val="28"/>
        </w:rPr>
      </w:pPr>
      <w:r w:rsidRPr="0018514E">
        <w:rPr>
          <w:sz w:val="28"/>
          <w:szCs w:val="28"/>
        </w:rPr>
        <w:t>Grant Recipient:</w:t>
      </w:r>
      <w:r w:rsidRPr="0018514E">
        <w:rPr>
          <w:sz w:val="28"/>
          <w:szCs w:val="28"/>
        </w:rPr>
        <w:tab/>
      </w:r>
      <w:r w:rsidR="007E2E62" w:rsidRPr="0018514E">
        <w:rPr>
          <w:sz w:val="28"/>
          <w:szCs w:val="28"/>
        </w:rPr>
        <w:t>Santa Cruz Metropolitan Transit District</w:t>
      </w:r>
    </w:p>
    <w:p w:rsidR="006C274C" w:rsidRPr="0018514E" w:rsidRDefault="006C274C" w:rsidP="008A3C0D">
      <w:pPr>
        <w:ind w:left="2880"/>
        <w:rPr>
          <w:sz w:val="28"/>
          <w:szCs w:val="28"/>
        </w:rPr>
      </w:pPr>
      <w:r w:rsidRPr="0018514E">
        <w:rPr>
          <w:sz w:val="28"/>
          <w:szCs w:val="28"/>
        </w:rPr>
        <w:t>(</w:t>
      </w:r>
      <w:r w:rsidR="005468B2" w:rsidRPr="0018514E">
        <w:rPr>
          <w:sz w:val="28"/>
          <w:szCs w:val="28"/>
        </w:rPr>
        <w:t>METRO</w:t>
      </w:r>
      <w:r w:rsidRPr="0018514E">
        <w:rPr>
          <w:sz w:val="28"/>
          <w:szCs w:val="28"/>
        </w:rPr>
        <w:t>)</w:t>
      </w:r>
    </w:p>
    <w:p w:rsidR="006C274C" w:rsidRPr="0018514E" w:rsidRDefault="006C274C" w:rsidP="006C274C">
      <w:pPr>
        <w:rPr>
          <w:sz w:val="28"/>
          <w:szCs w:val="28"/>
        </w:rPr>
      </w:pPr>
    </w:p>
    <w:p w:rsidR="006C274C" w:rsidRPr="0018514E" w:rsidRDefault="006C274C" w:rsidP="006C274C">
      <w:pPr>
        <w:pStyle w:val="NumberList"/>
        <w:rPr>
          <w:noProof w:val="0"/>
          <w:sz w:val="28"/>
          <w:szCs w:val="28"/>
        </w:rPr>
      </w:pPr>
      <w:r w:rsidRPr="0018514E">
        <w:rPr>
          <w:noProof w:val="0"/>
          <w:sz w:val="28"/>
          <w:szCs w:val="28"/>
        </w:rPr>
        <w:t>City/State:</w:t>
      </w:r>
      <w:r w:rsidRPr="0018514E">
        <w:rPr>
          <w:noProof w:val="0"/>
          <w:sz w:val="28"/>
          <w:szCs w:val="28"/>
        </w:rPr>
        <w:tab/>
      </w:r>
      <w:r w:rsidRPr="0018514E">
        <w:rPr>
          <w:noProof w:val="0"/>
          <w:sz w:val="28"/>
          <w:szCs w:val="28"/>
        </w:rPr>
        <w:tab/>
      </w:r>
      <w:r w:rsidRPr="0018514E">
        <w:rPr>
          <w:noProof w:val="0"/>
          <w:sz w:val="28"/>
          <w:szCs w:val="28"/>
        </w:rPr>
        <w:tab/>
      </w:r>
      <w:r w:rsidR="007E2E62" w:rsidRPr="0018514E">
        <w:rPr>
          <w:noProof w:val="0"/>
          <w:sz w:val="28"/>
          <w:szCs w:val="28"/>
        </w:rPr>
        <w:t>Santa Cruz, California</w:t>
      </w:r>
    </w:p>
    <w:p w:rsidR="006C274C" w:rsidRPr="0018514E" w:rsidRDefault="006C274C" w:rsidP="006C274C">
      <w:pPr>
        <w:rPr>
          <w:sz w:val="28"/>
          <w:szCs w:val="28"/>
        </w:rPr>
      </w:pPr>
    </w:p>
    <w:p w:rsidR="006C274C" w:rsidRPr="0018514E" w:rsidRDefault="008335BD" w:rsidP="006C274C">
      <w:pPr>
        <w:rPr>
          <w:sz w:val="28"/>
          <w:szCs w:val="28"/>
        </w:rPr>
      </w:pPr>
      <w:r w:rsidRPr="0018514E">
        <w:rPr>
          <w:sz w:val="28"/>
          <w:szCs w:val="28"/>
        </w:rPr>
        <w:t>Grantee Number:</w:t>
      </w:r>
      <w:r w:rsidRPr="0018514E">
        <w:rPr>
          <w:sz w:val="28"/>
          <w:szCs w:val="28"/>
        </w:rPr>
        <w:tab/>
      </w:r>
      <w:r w:rsidRPr="0018514E">
        <w:rPr>
          <w:sz w:val="28"/>
          <w:szCs w:val="28"/>
        </w:rPr>
        <w:tab/>
      </w:r>
      <w:r w:rsidR="00656B60" w:rsidRPr="0018514E">
        <w:rPr>
          <w:sz w:val="28"/>
          <w:szCs w:val="28"/>
        </w:rPr>
        <w:t>1675</w:t>
      </w:r>
    </w:p>
    <w:p w:rsidR="006C274C" w:rsidRPr="0018514E" w:rsidRDefault="006C274C" w:rsidP="006C274C">
      <w:pPr>
        <w:rPr>
          <w:sz w:val="28"/>
          <w:szCs w:val="28"/>
        </w:rPr>
      </w:pPr>
    </w:p>
    <w:p w:rsidR="00656B60" w:rsidRPr="0018514E" w:rsidRDefault="006C274C" w:rsidP="00656B60">
      <w:pPr>
        <w:rPr>
          <w:sz w:val="28"/>
          <w:szCs w:val="28"/>
        </w:rPr>
      </w:pPr>
      <w:r w:rsidRPr="0018514E">
        <w:rPr>
          <w:sz w:val="28"/>
          <w:szCs w:val="28"/>
        </w:rPr>
        <w:t xml:space="preserve">Executive Official:  </w:t>
      </w:r>
      <w:r w:rsidRPr="0018514E">
        <w:rPr>
          <w:sz w:val="28"/>
          <w:szCs w:val="28"/>
        </w:rPr>
        <w:tab/>
      </w:r>
      <w:r w:rsidR="00656B60" w:rsidRPr="0018514E">
        <w:rPr>
          <w:sz w:val="28"/>
          <w:szCs w:val="28"/>
        </w:rPr>
        <w:t>Mr. Leslie R. White</w:t>
      </w:r>
    </w:p>
    <w:p w:rsidR="00656B60" w:rsidRPr="0018514E" w:rsidRDefault="00656B60" w:rsidP="00656B60">
      <w:pPr>
        <w:ind w:left="2160" w:firstLine="720"/>
        <w:rPr>
          <w:sz w:val="28"/>
          <w:szCs w:val="28"/>
        </w:rPr>
      </w:pPr>
      <w:r w:rsidRPr="0018514E">
        <w:rPr>
          <w:sz w:val="28"/>
          <w:szCs w:val="28"/>
        </w:rPr>
        <w:t>General Manager</w:t>
      </w:r>
    </w:p>
    <w:p w:rsidR="00656B60" w:rsidRPr="0018514E" w:rsidRDefault="00656B60" w:rsidP="00656B60">
      <w:pPr>
        <w:ind w:left="2160" w:firstLine="720"/>
        <w:rPr>
          <w:sz w:val="28"/>
          <w:szCs w:val="28"/>
        </w:rPr>
      </w:pPr>
      <w:r w:rsidRPr="0018514E">
        <w:rPr>
          <w:sz w:val="28"/>
          <w:szCs w:val="28"/>
        </w:rPr>
        <w:t>Santa Cruz Metropolitan Transit District</w:t>
      </w:r>
    </w:p>
    <w:p w:rsidR="00656B60" w:rsidRPr="00C126C1" w:rsidRDefault="00656B60" w:rsidP="00656B60">
      <w:pPr>
        <w:ind w:left="2160" w:firstLine="720"/>
        <w:rPr>
          <w:sz w:val="28"/>
          <w:szCs w:val="28"/>
        </w:rPr>
      </w:pPr>
      <w:r w:rsidRPr="0018514E">
        <w:rPr>
          <w:sz w:val="28"/>
          <w:szCs w:val="28"/>
        </w:rPr>
        <w:t xml:space="preserve">110 </w:t>
      </w:r>
      <w:r w:rsidRPr="00C126C1">
        <w:rPr>
          <w:sz w:val="28"/>
          <w:szCs w:val="28"/>
        </w:rPr>
        <w:t xml:space="preserve">Vernon Street </w:t>
      </w:r>
    </w:p>
    <w:p w:rsidR="00656B60" w:rsidRPr="00773044" w:rsidRDefault="00656B60" w:rsidP="00656B60">
      <w:pPr>
        <w:ind w:left="2160" w:firstLine="720"/>
        <w:rPr>
          <w:sz w:val="28"/>
          <w:szCs w:val="28"/>
        </w:rPr>
      </w:pPr>
      <w:r w:rsidRPr="00773044">
        <w:rPr>
          <w:sz w:val="28"/>
          <w:szCs w:val="28"/>
        </w:rPr>
        <w:t>Santa Cruz, CA  95060</w:t>
      </w:r>
    </w:p>
    <w:p w:rsidR="008A3C0D" w:rsidRPr="00BE19FD" w:rsidRDefault="008A3C0D" w:rsidP="00656B60">
      <w:pPr>
        <w:rPr>
          <w:sz w:val="28"/>
          <w:szCs w:val="28"/>
        </w:rPr>
      </w:pPr>
    </w:p>
    <w:p w:rsidR="00474FAB" w:rsidRPr="00E84E61" w:rsidRDefault="00474FAB" w:rsidP="00474FAB">
      <w:pPr>
        <w:rPr>
          <w:sz w:val="28"/>
          <w:szCs w:val="28"/>
        </w:rPr>
      </w:pPr>
      <w:r w:rsidRPr="00BE19FD">
        <w:rPr>
          <w:sz w:val="28"/>
          <w:szCs w:val="28"/>
        </w:rPr>
        <w:t>On-Site Contact:</w:t>
      </w:r>
      <w:r w:rsidRPr="00BE19FD">
        <w:rPr>
          <w:sz w:val="28"/>
          <w:szCs w:val="28"/>
        </w:rPr>
        <w:tab/>
      </w:r>
      <w:r w:rsidRPr="00BE19FD">
        <w:rPr>
          <w:sz w:val="28"/>
          <w:szCs w:val="28"/>
        </w:rPr>
        <w:tab/>
      </w:r>
      <w:r w:rsidR="00F84E06">
        <w:rPr>
          <w:sz w:val="28"/>
          <w:szCs w:val="28"/>
        </w:rPr>
        <w:t>Rickie-Ann Kegley, Paralegal</w:t>
      </w:r>
    </w:p>
    <w:p w:rsidR="006C274C" w:rsidRPr="0018514E" w:rsidRDefault="006C274C" w:rsidP="006C274C">
      <w:pPr>
        <w:ind w:left="2880"/>
        <w:jc w:val="both"/>
        <w:rPr>
          <w:sz w:val="28"/>
          <w:szCs w:val="28"/>
        </w:rPr>
      </w:pPr>
    </w:p>
    <w:p w:rsidR="006C274C" w:rsidRPr="0018514E" w:rsidRDefault="006C274C" w:rsidP="006C274C">
      <w:pPr>
        <w:rPr>
          <w:sz w:val="28"/>
          <w:szCs w:val="28"/>
        </w:rPr>
      </w:pPr>
      <w:r w:rsidRPr="0018514E">
        <w:rPr>
          <w:sz w:val="28"/>
          <w:szCs w:val="28"/>
        </w:rPr>
        <w:t>Report Prepared By:</w:t>
      </w:r>
      <w:r w:rsidRPr="0018514E">
        <w:rPr>
          <w:sz w:val="28"/>
          <w:szCs w:val="28"/>
        </w:rPr>
        <w:tab/>
      </w:r>
      <w:r w:rsidR="00636BE6">
        <w:rPr>
          <w:sz w:val="28"/>
          <w:szCs w:val="28"/>
        </w:rPr>
        <w:t>The DMP Group, LLC</w:t>
      </w:r>
    </w:p>
    <w:p w:rsidR="006C274C" w:rsidRPr="0018514E" w:rsidRDefault="006C274C" w:rsidP="00893BCA">
      <w:pPr>
        <w:rPr>
          <w:sz w:val="28"/>
          <w:szCs w:val="28"/>
        </w:rPr>
      </w:pPr>
      <w:r w:rsidRPr="0018514E">
        <w:rPr>
          <w:sz w:val="28"/>
          <w:szCs w:val="28"/>
        </w:rPr>
        <w:tab/>
      </w:r>
      <w:r w:rsidRPr="0018514E">
        <w:rPr>
          <w:sz w:val="28"/>
          <w:szCs w:val="28"/>
        </w:rPr>
        <w:tab/>
      </w:r>
      <w:r w:rsidRPr="0018514E">
        <w:rPr>
          <w:sz w:val="28"/>
          <w:szCs w:val="28"/>
        </w:rPr>
        <w:tab/>
      </w:r>
      <w:r w:rsidRPr="0018514E">
        <w:rPr>
          <w:sz w:val="28"/>
          <w:szCs w:val="28"/>
        </w:rPr>
        <w:tab/>
      </w:r>
      <w:r w:rsidR="00BB2536" w:rsidRPr="0018514E">
        <w:rPr>
          <w:sz w:val="28"/>
          <w:szCs w:val="28"/>
        </w:rPr>
        <w:t>2233</w:t>
      </w:r>
      <w:r w:rsidR="00893BCA" w:rsidRPr="0018514E">
        <w:rPr>
          <w:sz w:val="28"/>
          <w:szCs w:val="28"/>
        </w:rPr>
        <w:t xml:space="preserve"> </w:t>
      </w:r>
      <w:r w:rsidR="00BB2536" w:rsidRPr="0018514E">
        <w:rPr>
          <w:sz w:val="28"/>
          <w:szCs w:val="28"/>
        </w:rPr>
        <w:t>Wisconsin</w:t>
      </w:r>
      <w:r w:rsidR="00893BCA" w:rsidRPr="0018514E">
        <w:rPr>
          <w:sz w:val="28"/>
          <w:szCs w:val="28"/>
        </w:rPr>
        <w:t xml:space="preserve"> Avenue</w:t>
      </w:r>
      <w:r w:rsidR="00BB2536" w:rsidRPr="0018514E">
        <w:rPr>
          <w:sz w:val="28"/>
          <w:szCs w:val="28"/>
        </w:rPr>
        <w:t xml:space="preserve"> </w:t>
      </w:r>
      <w:r w:rsidR="00893BCA" w:rsidRPr="0018514E">
        <w:rPr>
          <w:sz w:val="28"/>
          <w:szCs w:val="28"/>
        </w:rPr>
        <w:t>NW</w:t>
      </w:r>
    </w:p>
    <w:p w:rsidR="00E646D4" w:rsidRPr="0018514E" w:rsidRDefault="00E646D4" w:rsidP="00893BCA">
      <w:pPr>
        <w:rPr>
          <w:sz w:val="28"/>
          <w:szCs w:val="28"/>
        </w:rPr>
      </w:pPr>
      <w:r w:rsidRPr="0018514E">
        <w:rPr>
          <w:sz w:val="28"/>
          <w:szCs w:val="28"/>
        </w:rPr>
        <w:tab/>
      </w:r>
      <w:r w:rsidRPr="0018514E">
        <w:rPr>
          <w:sz w:val="28"/>
          <w:szCs w:val="28"/>
        </w:rPr>
        <w:tab/>
      </w:r>
      <w:r w:rsidRPr="0018514E">
        <w:rPr>
          <w:sz w:val="28"/>
          <w:szCs w:val="28"/>
        </w:rPr>
        <w:tab/>
      </w:r>
      <w:r w:rsidRPr="0018514E">
        <w:rPr>
          <w:sz w:val="28"/>
          <w:szCs w:val="28"/>
        </w:rPr>
        <w:tab/>
        <w:t>Suite 405</w:t>
      </w:r>
    </w:p>
    <w:p w:rsidR="00893BCA" w:rsidRPr="0018514E" w:rsidRDefault="00893BCA" w:rsidP="00893BCA">
      <w:pPr>
        <w:rPr>
          <w:sz w:val="28"/>
          <w:szCs w:val="28"/>
        </w:rPr>
      </w:pPr>
      <w:r w:rsidRPr="0018514E">
        <w:rPr>
          <w:sz w:val="28"/>
          <w:szCs w:val="28"/>
        </w:rPr>
        <w:tab/>
      </w:r>
      <w:r w:rsidRPr="0018514E">
        <w:rPr>
          <w:sz w:val="28"/>
          <w:szCs w:val="28"/>
        </w:rPr>
        <w:tab/>
      </w:r>
      <w:r w:rsidRPr="0018514E">
        <w:rPr>
          <w:sz w:val="28"/>
          <w:szCs w:val="28"/>
        </w:rPr>
        <w:tab/>
      </w:r>
      <w:r w:rsidRPr="0018514E">
        <w:rPr>
          <w:sz w:val="28"/>
          <w:szCs w:val="28"/>
        </w:rPr>
        <w:tab/>
        <w:t>Washington, DC</w:t>
      </w:r>
      <w:r w:rsidR="00BB2536" w:rsidRPr="0018514E">
        <w:rPr>
          <w:sz w:val="28"/>
          <w:szCs w:val="28"/>
        </w:rPr>
        <w:t xml:space="preserve"> 20007</w:t>
      </w:r>
    </w:p>
    <w:p w:rsidR="006C274C" w:rsidRPr="0018514E" w:rsidRDefault="006C274C" w:rsidP="006C274C">
      <w:pPr>
        <w:rPr>
          <w:sz w:val="28"/>
          <w:szCs w:val="28"/>
        </w:rPr>
      </w:pPr>
    </w:p>
    <w:p w:rsidR="006C274C" w:rsidRPr="0018514E" w:rsidRDefault="006C274C" w:rsidP="006C274C">
      <w:pPr>
        <w:rPr>
          <w:sz w:val="28"/>
          <w:szCs w:val="28"/>
        </w:rPr>
      </w:pPr>
      <w:r w:rsidRPr="0018514E">
        <w:rPr>
          <w:sz w:val="28"/>
          <w:szCs w:val="28"/>
        </w:rPr>
        <w:t>Si</w:t>
      </w:r>
      <w:r w:rsidR="00893BCA" w:rsidRPr="0018514E">
        <w:rPr>
          <w:sz w:val="28"/>
          <w:szCs w:val="28"/>
        </w:rPr>
        <w:t>te Visit Dates:</w:t>
      </w:r>
      <w:r w:rsidR="00893BCA" w:rsidRPr="0018514E">
        <w:rPr>
          <w:sz w:val="28"/>
          <w:szCs w:val="28"/>
        </w:rPr>
        <w:tab/>
      </w:r>
      <w:r w:rsidR="00893BCA" w:rsidRPr="0018514E">
        <w:rPr>
          <w:sz w:val="28"/>
          <w:szCs w:val="28"/>
        </w:rPr>
        <w:tab/>
      </w:r>
      <w:r w:rsidR="00656B60" w:rsidRPr="0018514E">
        <w:rPr>
          <w:sz w:val="28"/>
          <w:szCs w:val="28"/>
        </w:rPr>
        <w:t>September 1</w:t>
      </w:r>
      <w:r w:rsidR="00E41845" w:rsidRPr="0018514E">
        <w:rPr>
          <w:sz w:val="28"/>
          <w:szCs w:val="28"/>
        </w:rPr>
        <w:t>3</w:t>
      </w:r>
      <w:r w:rsidR="00656B60" w:rsidRPr="0018514E">
        <w:rPr>
          <w:sz w:val="28"/>
          <w:szCs w:val="28"/>
        </w:rPr>
        <w:t xml:space="preserve"> – 1</w:t>
      </w:r>
      <w:r w:rsidR="00E41845" w:rsidRPr="0018514E">
        <w:rPr>
          <w:sz w:val="28"/>
          <w:szCs w:val="28"/>
        </w:rPr>
        <w:t>5</w:t>
      </w:r>
      <w:r w:rsidR="00893BCA" w:rsidRPr="0018514E">
        <w:rPr>
          <w:sz w:val="28"/>
          <w:szCs w:val="28"/>
        </w:rPr>
        <w:t>, 201</w:t>
      </w:r>
      <w:r w:rsidR="005772CD" w:rsidRPr="0018514E">
        <w:rPr>
          <w:sz w:val="28"/>
          <w:szCs w:val="28"/>
        </w:rPr>
        <w:t>1</w:t>
      </w:r>
    </w:p>
    <w:p w:rsidR="006C274C" w:rsidRPr="0018514E" w:rsidRDefault="006C274C" w:rsidP="006C274C">
      <w:pPr>
        <w:rPr>
          <w:sz w:val="28"/>
          <w:szCs w:val="28"/>
        </w:rPr>
      </w:pPr>
    </w:p>
    <w:p w:rsidR="006C274C" w:rsidRPr="0018514E" w:rsidRDefault="006C274C" w:rsidP="006C274C">
      <w:pPr>
        <w:rPr>
          <w:sz w:val="28"/>
          <w:szCs w:val="28"/>
        </w:rPr>
      </w:pPr>
      <w:r w:rsidRPr="0018514E">
        <w:rPr>
          <w:sz w:val="28"/>
          <w:szCs w:val="28"/>
        </w:rPr>
        <w:t xml:space="preserve">Compliance Review </w:t>
      </w:r>
    </w:p>
    <w:p w:rsidR="006C274C" w:rsidRPr="0018514E" w:rsidRDefault="006C274C" w:rsidP="006C274C">
      <w:pPr>
        <w:rPr>
          <w:sz w:val="28"/>
          <w:szCs w:val="28"/>
        </w:rPr>
      </w:pPr>
      <w:r w:rsidRPr="0018514E">
        <w:rPr>
          <w:sz w:val="28"/>
          <w:szCs w:val="28"/>
        </w:rPr>
        <w:t>Team Members:</w:t>
      </w:r>
      <w:r w:rsidRPr="0018514E">
        <w:rPr>
          <w:sz w:val="28"/>
          <w:szCs w:val="28"/>
        </w:rPr>
        <w:tab/>
      </w:r>
      <w:r w:rsidRPr="0018514E">
        <w:rPr>
          <w:sz w:val="28"/>
          <w:szCs w:val="28"/>
        </w:rPr>
        <w:tab/>
      </w:r>
      <w:r w:rsidR="00B34DDC" w:rsidRPr="0018514E">
        <w:rPr>
          <w:sz w:val="28"/>
          <w:szCs w:val="28"/>
        </w:rPr>
        <w:t>Donald Lucas</w:t>
      </w:r>
      <w:r w:rsidRPr="0018514E">
        <w:rPr>
          <w:sz w:val="28"/>
          <w:szCs w:val="28"/>
        </w:rPr>
        <w:t>, Lead Reviewer</w:t>
      </w:r>
    </w:p>
    <w:p w:rsidR="00F80A8D" w:rsidRPr="0018514E" w:rsidRDefault="00893BCA">
      <w:pPr>
        <w:rPr>
          <w:sz w:val="28"/>
          <w:szCs w:val="28"/>
        </w:rPr>
      </w:pPr>
      <w:r w:rsidRPr="0018514E">
        <w:rPr>
          <w:sz w:val="28"/>
          <w:szCs w:val="28"/>
        </w:rPr>
        <w:tab/>
      </w:r>
      <w:r w:rsidRPr="0018514E">
        <w:rPr>
          <w:sz w:val="28"/>
          <w:szCs w:val="28"/>
        </w:rPr>
        <w:tab/>
      </w:r>
      <w:r w:rsidRPr="0018514E">
        <w:rPr>
          <w:sz w:val="28"/>
          <w:szCs w:val="28"/>
        </w:rPr>
        <w:tab/>
      </w:r>
      <w:r w:rsidRPr="0018514E">
        <w:rPr>
          <w:sz w:val="28"/>
          <w:szCs w:val="28"/>
        </w:rPr>
        <w:tab/>
      </w:r>
      <w:r w:rsidR="00E646D4" w:rsidRPr="0018514E">
        <w:rPr>
          <w:sz w:val="28"/>
          <w:szCs w:val="28"/>
        </w:rPr>
        <w:t>Gregory Campbell</w:t>
      </w:r>
      <w:r w:rsidRPr="0018514E">
        <w:rPr>
          <w:sz w:val="28"/>
          <w:szCs w:val="28"/>
        </w:rPr>
        <w:t>, Reviewer</w:t>
      </w:r>
    </w:p>
    <w:p w:rsidR="00F80A8D" w:rsidRPr="00E84E61" w:rsidRDefault="00F80A8D">
      <w:pPr>
        <w:rPr>
          <w:sz w:val="28"/>
          <w:szCs w:val="28"/>
        </w:rPr>
      </w:pPr>
      <w:r w:rsidRPr="0018514E">
        <w:rPr>
          <w:sz w:val="28"/>
          <w:szCs w:val="28"/>
        </w:rPr>
        <w:br w:type="page"/>
      </w:r>
    </w:p>
    <w:p w:rsidR="00F80A8D" w:rsidRPr="0018514E" w:rsidRDefault="00F80A8D">
      <w:pPr>
        <w:pStyle w:val="BHLevel1"/>
        <w:rPr>
          <w:sz w:val="28"/>
          <w:szCs w:val="28"/>
        </w:rPr>
      </w:pPr>
      <w:bookmarkStart w:id="3" w:name="_Toc106790238"/>
      <w:bookmarkStart w:id="4" w:name="_Toc312841753"/>
      <w:r w:rsidRPr="0018514E">
        <w:rPr>
          <w:sz w:val="28"/>
          <w:szCs w:val="28"/>
        </w:rPr>
        <w:lastRenderedPageBreak/>
        <w:t>JURISDICTION AND AUTHORITIES</w:t>
      </w:r>
      <w:bookmarkEnd w:id="3"/>
      <w:bookmarkEnd w:id="4"/>
    </w:p>
    <w:p w:rsidR="00F80A8D" w:rsidRPr="0018514E" w:rsidRDefault="00F80A8D" w:rsidP="008A60E2">
      <w:pPr>
        <w:spacing w:line="360" w:lineRule="auto"/>
        <w:rPr>
          <w:sz w:val="28"/>
          <w:szCs w:val="28"/>
        </w:rPr>
      </w:pPr>
    </w:p>
    <w:p w:rsidR="00F80A8D" w:rsidRPr="0018514E" w:rsidRDefault="00F80A8D" w:rsidP="00934513">
      <w:pPr>
        <w:spacing w:line="360" w:lineRule="auto"/>
        <w:jc w:val="both"/>
        <w:rPr>
          <w:sz w:val="28"/>
          <w:szCs w:val="28"/>
        </w:rPr>
      </w:pPr>
      <w:r w:rsidRPr="0018514E">
        <w:rPr>
          <w:sz w:val="28"/>
          <w:szCs w:val="28"/>
        </w:rPr>
        <w:t xml:space="preserve">The Federal Transit Administration (FTA) Office of Civil Rights is authorized by the Secretary of Transportation to conduct civil rights compliance reviews.  The </w:t>
      </w:r>
      <w:r w:rsidR="007E2E62" w:rsidRPr="0018514E">
        <w:rPr>
          <w:sz w:val="28"/>
          <w:szCs w:val="28"/>
        </w:rPr>
        <w:t>Santa Cruz Metropolitan Transit District</w:t>
      </w:r>
      <w:r w:rsidR="00173183" w:rsidRPr="0018514E">
        <w:rPr>
          <w:sz w:val="28"/>
          <w:szCs w:val="28"/>
        </w:rPr>
        <w:t xml:space="preserve"> (</w:t>
      </w:r>
      <w:r w:rsidR="005468B2" w:rsidRPr="0018514E">
        <w:rPr>
          <w:sz w:val="28"/>
          <w:szCs w:val="28"/>
        </w:rPr>
        <w:t>METRO</w:t>
      </w:r>
      <w:r w:rsidR="00173183" w:rsidRPr="0018514E">
        <w:rPr>
          <w:sz w:val="28"/>
          <w:szCs w:val="28"/>
        </w:rPr>
        <w:t xml:space="preserve">) </w:t>
      </w:r>
      <w:r w:rsidRPr="0018514E">
        <w:rPr>
          <w:sz w:val="28"/>
          <w:szCs w:val="28"/>
        </w:rPr>
        <w:t xml:space="preserve">is a recipient of FTA funding assistance and is therefore subject to the Title VI compliance conditions associated with the use of these funds pursuant to the following: </w:t>
      </w:r>
    </w:p>
    <w:p w:rsidR="005305BB" w:rsidRPr="00447DE4" w:rsidRDefault="005305BB" w:rsidP="00150F0E">
      <w:pPr>
        <w:numPr>
          <w:ilvl w:val="0"/>
          <w:numId w:val="6"/>
        </w:numPr>
        <w:spacing w:after="120"/>
        <w:jc w:val="both"/>
        <w:rPr>
          <w:sz w:val="28"/>
          <w:szCs w:val="28"/>
        </w:rPr>
      </w:pPr>
      <w:r w:rsidRPr="00447DE4">
        <w:rPr>
          <w:sz w:val="28"/>
          <w:szCs w:val="28"/>
        </w:rPr>
        <w:t xml:space="preserve">Title VI of the Civil Rights Act of 1964 (42 U.S.C. Section 2000d). </w:t>
      </w:r>
    </w:p>
    <w:p w:rsidR="005305BB" w:rsidRPr="00447DE4" w:rsidRDefault="005305BB" w:rsidP="00150F0E">
      <w:pPr>
        <w:numPr>
          <w:ilvl w:val="0"/>
          <w:numId w:val="6"/>
        </w:numPr>
        <w:spacing w:after="120"/>
        <w:jc w:val="both"/>
        <w:rPr>
          <w:sz w:val="28"/>
          <w:szCs w:val="28"/>
        </w:rPr>
      </w:pPr>
      <w:r w:rsidRPr="00447DE4">
        <w:rPr>
          <w:sz w:val="28"/>
          <w:szCs w:val="28"/>
        </w:rPr>
        <w:t xml:space="preserve">Federal Transit Laws, as amended (49 U.S.C. Chapter 53 et seq.). </w:t>
      </w:r>
    </w:p>
    <w:p w:rsidR="005305BB" w:rsidRPr="00447DE4" w:rsidRDefault="005305BB" w:rsidP="00150F0E">
      <w:pPr>
        <w:numPr>
          <w:ilvl w:val="0"/>
          <w:numId w:val="6"/>
        </w:numPr>
        <w:spacing w:after="120"/>
        <w:jc w:val="both"/>
        <w:rPr>
          <w:sz w:val="28"/>
          <w:szCs w:val="28"/>
        </w:rPr>
      </w:pPr>
      <w:r w:rsidRPr="00447DE4">
        <w:rPr>
          <w:sz w:val="28"/>
          <w:szCs w:val="28"/>
        </w:rPr>
        <w:t xml:space="preserve">Uniform Relocation Assistance and Real Property Acquisition Policies Act of 1970, as amended (42 U.S.C. 4601, et seq.). </w:t>
      </w:r>
    </w:p>
    <w:p w:rsidR="005305BB" w:rsidRPr="00447DE4" w:rsidRDefault="005305BB" w:rsidP="00150F0E">
      <w:pPr>
        <w:numPr>
          <w:ilvl w:val="0"/>
          <w:numId w:val="6"/>
        </w:numPr>
        <w:spacing w:after="120"/>
        <w:jc w:val="both"/>
        <w:rPr>
          <w:sz w:val="28"/>
          <w:szCs w:val="28"/>
        </w:rPr>
      </w:pPr>
      <w:r w:rsidRPr="00447DE4">
        <w:rPr>
          <w:sz w:val="28"/>
          <w:szCs w:val="28"/>
        </w:rPr>
        <w:t xml:space="preserve">Department of Justice regulation, 28 CFR </w:t>
      </w:r>
      <w:proofErr w:type="gramStart"/>
      <w:r w:rsidRPr="00447DE4">
        <w:rPr>
          <w:sz w:val="28"/>
          <w:szCs w:val="28"/>
        </w:rPr>
        <w:t>part</w:t>
      </w:r>
      <w:proofErr w:type="gramEnd"/>
      <w:r w:rsidRPr="00447DE4">
        <w:rPr>
          <w:sz w:val="28"/>
          <w:szCs w:val="28"/>
        </w:rPr>
        <w:t xml:space="preserve"> 42, Subpart F, “Coordination of Enforcement of Nondiscrimination in Federally-Assisted Programs” (December 1, 1976, unless otherwise noted). </w:t>
      </w:r>
    </w:p>
    <w:p w:rsidR="005305BB" w:rsidRPr="00447DE4" w:rsidRDefault="005305BB" w:rsidP="00150F0E">
      <w:pPr>
        <w:numPr>
          <w:ilvl w:val="0"/>
          <w:numId w:val="6"/>
        </w:numPr>
        <w:spacing w:after="120"/>
        <w:jc w:val="both"/>
        <w:rPr>
          <w:sz w:val="28"/>
          <w:szCs w:val="28"/>
        </w:rPr>
      </w:pPr>
      <w:r w:rsidRPr="00447DE4">
        <w:rPr>
          <w:sz w:val="28"/>
          <w:szCs w:val="28"/>
        </w:rPr>
        <w:t xml:space="preserve">DOT regulation, 49 CFR part 21, “Nondiscrimination in Federally-Assisted Programs of the Department of Transportation—Effectuation of Title VI of the Civil Rights Act of 1964” (June 18, 1970, unless otherwise noted). </w:t>
      </w:r>
    </w:p>
    <w:p w:rsidR="005305BB" w:rsidRPr="00447DE4" w:rsidRDefault="005305BB" w:rsidP="00150F0E">
      <w:pPr>
        <w:numPr>
          <w:ilvl w:val="0"/>
          <w:numId w:val="6"/>
        </w:numPr>
        <w:spacing w:after="120"/>
        <w:jc w:val="both"/>
        <w:rPr>
          <w:sz w:val="28"/>
          <w:szCs w:val="28"/>
        </w:rPr>
      </w:pPr>
      <w:r w:rsidRPr="00447DE4">
        <w:rPr>
          <w:sz w:val="28"/>
          <w:szCs w:val="28"/>
        </w:rPr>
        <w:t xml:space="preserve">Joint FTA/Federal Highway Administration (FHWA) regulation, 23 CFR part 771, “Environmental Impact and Related Procedures” (August 28, 1987). </w:t>
      </w:r>
    </w:p>
    <w:p w:rsidR="005305BB" w:rsidRPr="00447DE4" w:rsidRDefault="005305BB" w:rsidP="00150F0E">
      <w:pPr>
        <w:numPr>
          <w:ilvl w:val="0"/>
          <w:numId w:val="6"/>
        </w:numPr>
        <w:spacing w:after="120"/>
        <w:jc w:val="both"/>
        <w:rPr>
          <w:sz w:val="28"/>
          <w:szCs w:val="28"/>
        </w:rPr>
      </w:pPr>
      <w:r w:rsidRPr="00447DE4">
        <w:rPr>
          <w:sz w:val="28"/>
          <w:szCs w:val="28"/>
        </w:rPr>
        <w:t xml:space="preserve">Joint FTA/FHWA regulation, 23 CFR part 450 and 49 CFR part 613, “Planning Assistance and Standards,” (October 28, 1993, unless otherwise noted). </w:t>
      </w:r>
    </w:p>
    <w:p w:rsidR="005305BB" w:rsidRPr="00447DE4" w:rsidRDefault="005305BB" w:rsidP="00150F0E">
      <w:pPr>
        <w:numPr>
          <w:ilvl w:val="0"/>
          <w:numId w:val="6"/>
        </w:numPr>
        <w:spacing w:after="120"/>
        <w:jc w:val="both"/>
        <w:rPr>
          <w:sz w:val="28"/>
          <w:szCs w:val="28"/>
        </w:rPr>
      </w:pPr>
      <w:r w:rsidRPr="00447DE4">
        <w:rPr>
          <w:sz w:val="28"/>
          <w:szCs w:val="28"/>
        </w:rPr>
        <w:t xml:space="preserve">DOT Order 5610.2, “U.S. DOT Order on Environmental Justice to Address Environmental Justice in Minority Populations and Low-Income Populations,” (April 15, 1997). </w:t>
      </w:r>
    </w:p>
    <w:p w:rsidR="005305BB" w:rsidRPr="00447DE4" w:rsidRDefault="005305BB" w:rsidP="00150F0E">
      <w:pPr>
        <w:numPr>
          <w:ilvl w:val="0"/>
          <w:numId w:val="6"/>
        </w:numPr>
        <w:spacing w:after="120"/>
        <w:jc w:val="both"/>
        <w:rPr>
          <w:sz w:val="28"/>
          <w:szCs w:val="28"/>
        </w:rPr>
      </w:pPr>
      <w:r w:rsidRPr="00447DE4">
        <w:rPr>
          <w:sz w:val="28"/>
          <w:szCs w:val="28"/>
        </w:rPr>
        <w:t xml:space="preserve">DOT Policy Guidance Concerning Recipients’ Responsibilities to Limited English Proficient Persons, (December 14, 2005). </w:t>
      </w:r>
    </w:p>
    <w:p w:rsidR="005305BB" w:rsidRPr="00447DE4" w:rsidRDefault="005305BB" w:rsidP="00150F0E">
      <w:pPr>
        <w:numPr>
          <w:ilvl w:val="0"/>
          <w:numId w:val="6"/>
        </w:numPr>
        <w:jc w:val="both"/>
        <w:rPr>
          <w:sz w:val="28"/>
          <w:szCs w:val="28"/>
        </w:rPr>
      </w:pPr>
      <w:r w:rsidRPr="00447DE4">
        <w:rPr>
          <w:sz w:val="28"/>
          <w:szCs w:val="28"/>
        </w:rPr>
        <w:t>Section 1</w:t>
      </w:r>
      <w:r>
        <w:rPr>
          <w:sz w:val="28"/>
          <w:szCs w:val="28"/>
        </w:rPr>
        <w:t>2 of FTA’s Master Agreement 17,</w:t>
      </w:r>
      <w:r w:rsidRPr="00447DE4">
        <w:rPr>
          <w:sz w:val="28"/>
          <w:szCs w:val="28"/>
        </w:rPr>
        <w:t xml:space="preserve"> (October 1, 20</w:t>
      </w:r>
      <w:r>
        <w:rPr>
          <w:sz w:val="28"/>
          <w:szCs w:val="28"/>
        </w:rPr>
        <w:t>10</w:t>
      </w:r>
      <w:r w:rsidRPr="00447DE4">
        <w:rPr>
          <w:sz w:val="28"/>
          <w:szCs w:val="28"/>
        </w:rPr>
        <w:t>).</w:t>
      </w:r>
    </w:p>
    <w:p w:rsidR="00E84E61" w:rsidRPr="005305BB" w:rsidRDefault="005305BB" w:rsidP="005305BB">
      <w:pPr>
        <w:rPr>
          <w:sz w:val="28"/>
        </w:rPr>
      </w:pPr>
      <w:r>
        <w:rPr>
          <w:sz w:val="28"/>
        </w:rPr>
        <w:br w:type="page"/>
      </w:r>
    </w:p>
    <w:p w:rsidR="00F80A8D" w:rsidRPr="0018514E" w:rsidRDefault="00F80A8D" w:rsidP="004D1FBA">
      <w:pPr>
        <w:pStyle w:val="BHLevel1"/>
        <w:rPr>
          <w:sz w:val="28"/>
          <w:szCs w:val="28"/>
        </w:rPr>
      </w:pPr>
      <w:bookmarkStart w:id="5" w:name="_Toc106790239"/>
      <w:bookmarkStart w:id="6" w:name="_Toc312841754"/>
      <w:r w:rsidRPr="0018514E">
        <w:rPr>
          <w:sz w:val="28"/>
          <w:szCs w:val="28"/>
        </w:rPr>
        <w:lastRenderedPageBreak/>
        <w:t>PURPOSE AND OBJECTIVES</w:t>
      </w:r>
      <w:bookmarkEnd w:id="5"/>
      <w:bookmarkEnd w:id="6"/>
      <w:r w:rsidRPr="0018514E">
        <w:rPr>
          <w:sz w:val="28"/>
          <w:szCs w:val="28"/>
        </w:rPr>
        <w:t xml:space="preserve"> </w:t>
      </w:r>
    </w:p>
    <w:p w:rsidR="00F80A8D" w:rsidRPr="00C126C1" w:rsidRDefault="00F80A8D">
      <w:pPr>
        <w:pStyle w:val="Heading4"/>
        <w:rPr>
          <w:sz w:val="28"/>
          <w:szCs w:val="28"/>
        </w:rPr>
      </w:pPr>
      <w:r w:rsidRPr="00C126C1">
        <w:rPr>
          <w:sz w:val="28"/>
          <w:szCs w:val="28"/>
        </w:rPr>
        <w:t>Purpose</w:t>
      </w:r>
    </w:p>
    <w:p w:rsidR="00F80A8D" w:rsidRPr="00E84E61" w:rsidRDefault="00F80A8D">
      <w:pPr>
        <w:rPr>
          <w:sz w:val="28"/>
          <w:szCs w:val="28"/>
        </w:rPr>
      </w:pPr>
    </w:p>
    <w:p w:rsidR="00F80A8D" w:rsidRPr="0018514E" w:rsidRDefault="00F80A8D">
      <w:pPr>
        <w:spacing w:line="360" w:lineRule="auto"/>
        <w:rPr>
          <w:sz w:val="28"/>
          <w:szCs w:val="28"/>
        </w:rPr>
      </w:pPr>
      <w:r w:rsidRPr="0018514E">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5468B2" w:rsidRPr="0018514E">
        <w:rPr>
          <w:sz w:val="28"/>
          <w:szCs w:val="28"/>
        </w:rPr>
        <w:t>METRO</w:t>
      </w:r>
      <w:r w:rsidR="005772CD" w:rsidRPr="0018514E">
        <w:rPr>
          <w:sz w:val="28"/>
          <w:szCs w:val="28"/>
        </w:rPr>
        <w:t>’s</w:t>
      </w:r>
      <w:r w:rsidRPr="0018514E">
        <w:rPr>
          <w:sz w:val="28"/>
          <w:szCs w:val="28"/>
        </w:rPr>
        <w:t xml:space="preserve"> Title VI Program was necessary.  </w:t>
      </w:r>
    </w:p>
    <w:p w:rsidR="00F80A8D" w:rsidRPr="0018514E" w:rsidRDefault="00F80A8D">
      <w:pPr>
        <w:spacing w:line="360" w:lineRule="auto"/>
        <w:rPr>
          <w:b/>
          <w:sz w:val="28"/>
          <w:szCs w:val="28"/>
        </w:rPr>
      </w:pPr>
    </w:p>
    <w:p w:rsidR="00F80A8D" w:rsidRPr="00C126C1" w:rsidRDefault="00F80A8D">
      <w:pPr>
        <w:spacing w:line="360" w:lineRule="auto"/>
        <w:rPr>
          <w:sz w:val="28"/>
          <w:szCs w:val="28"/>
        </w:rPr>
      </w:pPr>
      <w:r w:rsidRPr="0018514E">
        <w:rPr>
          <w:sz w:val="28"/>
          <w:szCs w:val="28"/>
        </w:rPr>
        <w:t xml:space="preserve">The Office of Civil Rights authorized The DMP Group, LLC to conduct the Title VI Compliance Review of </w:t>
      </w:r>
      <w:r w:rsidR="005468B2" w:rsidRPr="0018514E">
        <w:rPr>
          <w:sz w:val="28"/>
          <w:szCs w:val="28"/>
        </w:rPr>
        <w:t>METRO</w:t>
      </w:r>
      <w:r w:rsidRPr="0018514E">
        <w:rPr>
          <w:sz w:val="28"/>
          <w:szCs w:val="28"/>
        </w:rPr>
        <w:t xml:space="preserve">.  The primary purpose of this Compliance Review was to determine the extent to which </w:t>
      </w:r>
      <w:r w:rsidR="005468B2" w:rsidRPr="0018514E">
        <w:rPr>
          <w:sz w:val="28"/>
          <w:szCs w:val="28"/>
        </w:rPr>
        <w:t>METRO</w:t>
      </w:r>
      <w:r w:rsidRPr="0018514E">
        <w:rPr>
          <w:sz w:val="28"/>
          <w:szCs w:val="28"/>
        </w:rPr>
        <w:t xml:space="preserve"> has met its General Reporting</w:t>
      </w:r>
      <w:r w:rsidR="006C5361" w:rsidRPr="0018514E">
        <w:rPr>
          <w:sz w:val="28"/>
          <w:szCs w:val="28"/>
        </w:rPr>
        <w:t xml:space="preserve"> Requirements </w:t>
      </w:r>
      <w:r w:rsidRPr="0018514E">
        <w:rPr>
          <w:sz w:val="28"/>
          <w:szCs w:val="28"/>
        </w:rPr>
        <w:t>in accordance with FTA Circular 4702.1A, “</w:t>
      </w:r>
      <w:r w:rsidR="00C10267" w:rsidRPr="0018514E">
        <w:rPr>
          <w:bCs/>
          <w:sz w:val="28"/>
          <w:szCs w:val="28"/>
        </w:rPr>
        <w:t>Title VI a</w:t>
      </w:r>
      <w:r w:rsidRPr="0018514E">
        <w:rPr>
          <w:bCs/>
          <w:sz w:val="28"/>
          <w:szCs w:val="28"/>
        </w:rPr>
        <w:t>nd</w:t>
      </w:r>
      <w:r w:rsidR="00C10267" w:rsidRPr="0018514E">
        <w:rPr>
          <w:bCs/>
          <w:sz w:val="28"/>
          <w:szCs w:val="28"/>
        </w:rPr>
        <w:t xml:space="preserve"> Title VI-Dependent Guidelines f</w:t>
      </w:r>
      <w:r w:rsidRPr="0018514E">
        <w:rPr>
          <w:bCs/>
          <w:sz w:val="28"/>
          <w:szCs w:val="28"/>
        </w:rPr>
        <w:t>or Federal Transit Administration Recipients</w:t>
      </w:r>
      <w:r w:rsidR="00552C6A" w:rsidRPr="0018514E">
        <w:rPr>
          <w:bCs/>
          <w:sz w:val="28"/>
          <w:szCs w:val="28"/>
        </w:rPr>
        <w:t>.</w:t>
      </w:r>
      <w:r w:rsidRPr="0018514E">
        <w:rPr>
          <w:bCs/>
          <w:sz w:val="28"/>
          <w:szCs w:val="28"/>
        </w:rPr>
        <w:t>”</w:t>
      </w:r>
      <w:r w:rsidRPr="0018514E">
        <w:rPr>
          <w:sz w:val="28"/>
          <w:szCs w:val="28"/>
        </w:rPr>
        <w:t xml:space="preserve">  Members of the Compliance Review team also discussed with </w:t>
      </w:r>
      <w:r w:rsidR="005468B2" w:rsidRPr="0018514E">
        <w:rPr>
          <w:sz w:val="28"/>
          <w:szCs w:val="28"/>
        </w:rPr>
        <w:t>METRO</w:t>
      </w:r>
      <w:r w:rsidRPr="0018514E">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The Compliance Review was not an investigation to determine the merit of any specific discrimination complaint filed against </w:t>
      </w:r>
      <w:r w:rsidR="005468B2" w:rsidRPr="0018514E">
        <w:rPr>
          <w:sz w:val="28"/>
          <w:szCs w:val="28"/>
        </w:rPr>
        <w:t>METRO</w:t>
      </w:r>
      <w:r w:rsidRPr="00C126C1">
        <w:rPr>
          <w:sz w:val="28"/>
          <w:szCs w:val="28"/>
        </w:rPr>
        <w:t>.</w:t>
      </w:r>
    </w:p>
    <w:p w:rsidR="00E84E61" w:rsidRDefault="00E84E61">
      <w:pPr>
        <w:pStyle w:val="Heading4"/>
        <w:spacing w:line="360" w:lineRule="auto"/>
        <w:rPr>
          <w:sz w:val="28"/>
          <w:szCs w:val="28"/>
        </w:rPr>
      </w:pPr>
    </w:p>
    <w:p w:rsidR="00F84E06" w:rsidRDefault="00F84E06">
      <w:pPr>
        <w:rPr>
          <w:b/>
          <w:sz w:val="28"/>
          <w:szCs w:val="28"/>
        </w:rPr>
      </w:pPr>
      <w:r>
        <w:rPr>
          <w:sz w:val="28"/>
          <w:szCs w:val="28"/>
        </w:rPr>
        <w:br w:type="page"/>
      </w:r>
    </w:p>
    <w:p w:rsidR="00F80A8D" w:rsidRPr="0018514E" w:rsidRDefault="00F80A8D">
      <w:pPr>
        <w:pStyle w:val="Heading4"/>
        <w:spacing w:line="360" w:lineRule="auto"/>
        <w:rPr>
          <w:sz w:val="28"/>
          <w:szCs w:val="28"/>
        </w:rPr>
      </w:pPr>
      <w:r w:rsidRPr="0018514E">
        <w:rPr>
          <w:sz w:val="28"/>
          <w:szCs w:val="28"/>
        </w:rPr>
        <w:lastRenderedPageBreak/>
        <w:t>Objectives</w:t>
      </w:r>
    </w:p>
    <w:p w:rsidR="00F80A8D" w:rsidRPr="0018514E" w:rsidRDefault="00F80A8D">
      <w:pPr>
        <w:spacing w:line="360" w:lineRule="auto"/>
        <w:rPr>
          <w:sz w:val="28"/>
          <w:szCs w:val="28"/>
        </w:rPr>
      </w:pPr>
      <w:r w:rsidRPr="0018514E">
        <w:rPr>
          <w:sz w:val="28"/>
          <w:szCs w:val="28"/>
        </w:rPr>
        <w:t>The objectives of FTA’s Title VI Program, as set forth in FTA Circular 4702.1A, “Title VI and Title VI-Dependent Guidelines for Federal Transit Administration Recipients,” are:</w:t>
      </w:r>
    </w:p>
    <w:p w:rsidR="00F80A8D" w:rsidRPr="0018514E" w:rsidRDefault="00F80A8D" w:rsidP="00934513">
      <w:pPr>
        <w:spacing w:line="360" w:lineRule="auto"/>
        <w:rPr>
          <w:sz w:val="28"/>
          <w:szCs w:val="28"/>
        </w:rPr>
      </w:pPr>
    </w:p>
    <w:p w:rsidR="00401342" w:rsidRDefault="00F80A8D" w:rsidP="001F6C5E">
      <w:pPr>
        <w:numPr>
          <w:ilvl w:val="0"/>
          <w:numId w:val="1"/>
        </w:numPr>
        <w:rPr>
          <w:sz w:val="28"/>
          <w:szCs w:val="28"/>
        </w:rPr>
      </w:pPr>
      <w:r w:rsidRPr="0018514E">
        <w:rPr>
          <w:sz w:val="28"/>
          <w:szCs w:val="28"/>
        </w:rPr>
        <w:t xml:space="preserve">Ensure that the level and quality of transportation service is provided without regard to race, color, or national origin; </w:t>
      </w:r>
    </w:p>
    <w:p w:rsidR="00401342" w:rsidRDefault="00401342" w:rsidP="001F6C5E">
      <w:pPr>
        <w:ind w:left="720"/>
        <w:rPr>
          <w:sz w:val="28"/>
          <w:szCs w:val="28"/>
        </w:rPr>
      </w:pPr>
    </w:p>
    <w:p w:rsidR="00401342" w:rsidRDefault="00F80A8D" w:rsidP="001F6C5E">
      <w:pPr>
        <w:numPr>
          <w:ilvl w:val="0"/>
          <w:numId w:val="1"/>
        </w:numPr>
        <w:rPr>
          <w:sz w:val="28"/>
          <w:szCs w:val="28"/>
        </w:rPr>
      </w:pPr>
      <w:r w:rsidRPr="0018514E">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401342" w:rsidRDefault="00401342" w:rsidP="001F6C5E">
      <w:pPr>
        <w:ind w:left="360"/>
        <w:rPr>
          <w:sz w:val="28"/>
          <w:szCs w:val="28"/>
        </w:rPr>
      </w:pPr>
    </w:p>
    <w:p w:rsidR="00401342" w:rsidRDefault="00F80A8D" w:rsidP="001F6C5E">
      <w:pPr>
        <w:numPr>
          <w:ilvl w:val="0"/>
          <w:numId w:val="1"/>
        </w:numPr>
        <w:rPr>
          <w:sz w:val="28"/>
          <w:szCs w:val="28"/>
        </w:rPr>
      </w:pPr>
      <w:r w:rsidRPr="0018514E">
        <w:rPr>
          <w:sz w:val="28"/>
          <w:szCs w:val="28"/>
        </w:rPr>
        <w:t xml:space="preserve">Promote the full and fair participation of all affected populations in transportation decision making; </w:t>
      </w:r>
    </w:p>
    <w:p w:rsidR="00401342" w:rsidRDefault="00401342" w:rsidP="001F6C5E">
      <w:pPr>
        <w:ind w:left="360"/>
        <w:rPr>
          <w:sz w:val="28"/>
          <w:szCs w:val="28"/>
        </w:rPr>
      </w:pPr>
    </w:p>
    <w:p w:rsidR="00401342" w:rsidRDefault="00F80A8D" w:rsidP="001F6C5E">
      <w:pPr>
        <w:numPr>
          <w:ilvl w:val="0"/>
          <w:numId w:val="1"/>
        </w:numPr>
        <w:rPr>
          <w:sz w:val="28"/>
          <w:szCs w:val="28"/>
        </w:rPr>
      </w:pPr>
      <w:r w:rsidRPr="0018514E">
        <w:rPr>
          <w:sz w:val="28"/>
          <w:szCs w:val="28"/>
        </w:rPr>
        <w:t xml:space="preserve">Prevent the denial, reduction, or delay in benefits related to programs and activities that benefit minority populations or low-income populations; </w:t>
      </w:r>
    </w:p>
    <w:p w:rsidR="00401342" w:rsidRDefault="00401342" w:rsidP="001F6C5E">
      <w:pPr>
        <w:ind w:left="360"/>
        <w:rPr>
          <w:sz w:val="28"/>
          <w:szCs w:val="28"/>
        </w:rPr>
      </w:pPr>
    </w:p>
    <w:p w:rsidR="00401342" w:rsidRDefault="00F80A8D" w:rsidP="001F6C5E">
      <w:pPr>
        <w:numPr>
          <w:ilvl w:val="0"/>
          <w:numId w:val="1"/>
        </w:numPr>
        <w:rPr>
          <w:sz w:val="28"/>
          <w:szCs w:val="28"/>
        </w:rPr>
      </w:pPr>
      <w:r w:rsidRPr="0018514E">
        <w:rPr>
          <w:sz w:val="28"/>
          <w:szCs w:val="28"/>
        </w:rPr>
        <w:t xml:space="preserve">Ensure meaningful access to programs and activities by persons with limited English proficiency.  </w:t>
      </w:r>
    </w:p>
    <w:p w:rsidR="00F80A8D" w:rsidRPr="0018514E" w:rsidRDefault="00F80A8D" w:rsidP="00934513">
      <w:pPr>
        <w:spacing w:line="360" w:lineRule="auto"/>
        <w:rPr>
          <w:sz w:val="28"/>
          <w:szCs w:val="28"/>
        </w:rPr>
      </w:pPr>
    </w:p>
    <w:p w:rsidR="00F80A8D" w:rsidRPr="0018514E" w:rsidRDefault="00F80A8D">
      <w:pPr>
        <w:spacing w:line="360" w:lineRule="auto"/>
        <w:rPr>
          <w:sz w:val="28"/>
          <w:szCs w:val="28"/>
        </w:rPr>
      </w:pPr>
      <w:r w:rsidRPr="0018514E">
        <w:rPr>
          <w:sz w:val="28"/>
          <w:szCs w:val="28"/>
        </w:rPr>
        <w:t>The objectives of Executive Order 13166 and the “</w:t>
      </w:r>
      <w:r w:rsidRPr="0018514E">
        <w:rPr>
          <w:bCs/>
          <w:sz w:val="28"/>
          <w:szCs w:val="28"/>
        </w:rPr>
        <w:t>DOT</w:t>
      </w:r>
      <w:r w:rsidRPr="0018514E">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4B5E77" w:rsidRPr="0018514E" w:rsidRDefault="004B5E77">
      <w:pPr>
        <w:rPr>
          <w:b/>
          <w:caps/>
          <w:sz w:val="28"/>
          <w:szCs w:val="28"/>
          <w:u w:val="single"/>
        </w:rPr>
      </w:pPr>
      <w:bookmarkStart w:id="7" w:name="_Toc106790241"/>
      <w:r w:rsidRPr="0018514E">
        <w:rPr>
          <w:sz w:val="28"/>
          <w:szCs w:val="28"/>
        </w:rPr>
        <w:br w:type="page"/>
      </w:r>
    </w:p>
    <w:p w:rsidR="004B5E77" w:rsidRPr="008A60E2" w:rsidRDefault="00BA7EFF" w:rsidP="004B5E77">
      <w:pPr>
        <w:pStyle w:val="BHLevel1"/>
        <w:rPr>
          <w:sz w:val="28"/>
          <w:szCs w:val="28"/>
        </w:rPr>
      </w:pPr>
      <w:bookmarkStart w:id="8" w:name="_Toc312841755"/>
      <w:r>
        <w:rPr>
          <w:sz w:val="28"/>
          <w:szCs w:val="28"/>
        </w:rPr>
        <w:lastRenderedPageBreak/>
        <w:t>BACKGROUND INFORMATION</w:t>
      </w:r>
      <w:bookmarkEnd w:id="8"/>
    </w:p>
    <w:p w:rsidR="003B2BD2" w:rsidRPr="003B2BD2" w:rsidRDefault="003B2BD2" w:rsidP="003B2BD2">
      <w:pPr>
        <w:autoSpaceDE w:val="0"/>
        <w:autoSpaceDN w:val="0"/>
        <w:adjustRightInd w:val="0"/>
        <w:spacing w:line="360" w:lineRule="auto"/>
        <w:rPr>
          <w:sz w:val="28"/>
          <w:szCs w:val="28"/>
        </w:rPr>
      </w:pPr>
      <w:r w:rsidRPr="003B2BD2">
        <w:rPr>
          <w:sz w:val="28"/>
          <w:szCs w:val="28"/>
        </w:rPr>
        <w:t>The Santa Cruz Metropolitan Transit District (METRO) provides transit service in Santa Cruz County, California, serving the cities of Capitola, Santa Cruz, Scotts Valley, Watsonville, and the unincorporated areas of Santa Cruz County.  METRO is a Transit District formed under the State of California Public Utilities Code, Section 98000</w:t>
      </w:r>
      <w:r w:rsidR="00C7727C">
        <w:rPr>
          <w:sz w:val="28"/>
          <w:szCs w:val="28"/>
        </w:rPr>
        <w:t xml:space="preserve"> </w:t>
      </w:r>
      <w:proofErr w:type="gramStart"/>
      <w:r w:rsidR="00C7727C" w:rsidRPr="00C7727C">
        <w:rPr>
          <w:sz w:val="28"/>
          <w:szCs w:val="28"/>
        </w:rPr>
        <w:t>et</w:t>
      </w:r>
      <w:proofErr w:type="gramEnd"/>
      <w:r w:rsidR="00C7727C" w:rsidRPr="00C7727C">
        <w:rPr>
          <w:sz w:val="28"/>
          <w:szCs w:val="28"/>
        </w:rPr>
        <w:t xml:space="preserve">. </w:t>
      </w:r>
      <w:proofErr w:type="gramStart"/>
      <w:r w:rsidR="00C7727C" w:rsidRPr="00C7727C">
        <w:rPr>
          <w:sz w:val="28"/>
          <w:szCs w:val="28"/>
        </w:rPr>
        <w:t>seq</w:t>
      </w:r>
      <w:r w:rsidRPr="003B2BD2">
        <w:rPr>
          <w:sz w:val="28"/>
          <w:szCs w:val="28"/>
        </w:rPr>
        <w:t>.</w:t>
      </w:r>
      <w:proofErr w:type="gramEnd"/>
      <w:r w:rsidRPr="003B2BD2">
        <w:rPr>
          <w:sz w:val="28"/>
          <w:szCs w:val="28"/>
        </w:rPr>
        <w:t xml:space="preserve">  METRO is governed by an 11 member board plus one ex-officio </w:t>
      </w:r>
      <w:r w:rsidR="00E03477">
        <w:rPr>
          <w:sz w:val="28"/>
          <w:szCs w:val="28"/>
        </w:rPr>
        <w:t xml:space="preserve">member </w:t>
      </w:r>
      <w:r w:rsidRPr="003B2BD2">
        <w:rPr>
          <w:sz w:val="28"/>
          <w:szCs w:val="28"/>
        </w:rPr>
        <w:t>from the University of California Santa Cruz.  METRO’s mission is “To provide a public transportation service that enhances personal mobility and creates a sustainable transportation option in Santa Cruz County through a cost</w:t>
      </w:r>
      <w:r w:rsidRPr="003B2BD2">
        <w:rPr>
          <w:rFonts w:ascii="Cambria Math" w:hAnsi="Cambria Math" w:cs="Cambria Math"/>
          <w:sz w:val="28"/>
          <w:szCs w:val="28"/>
        </w:rPr>
        <w:t>‐</w:t>
      </w:r>
      <w:r w:rsidRPr="003B2BD2">
        <w:rPr>
          <w:sz w:val="28"/>
          <w:szCs w:val="28"/>
        </w:rPr>
        <w:t xml:space="preserve">effective, reliable, accessible, safe, clean and courteous transit service.”  </w:t>
      </w:r>
    </w:p>
    <w:p w:rsidR="003B2BD2" w:rsidRPr="003B2BD2" w:rsidRDefault="003B2BD2" w:rsidP="003B2BD2">
      <w:pPr>
        <w:autoSpaceDE w:val="0"/>
        <w:autoSpaceDN w:val="0"/>
        <w:adjustRightInd w:val="0"/>
        <w:spacing w:line="360" w:lineRule="auto"/>
        <w:rPr>
          <w:sz w:val="28"/>
          <w:szCs w:val="28"/>
        </w:rPr>
      </w:pPr>
    </w:p>
    <w:p w:rsidR="003B2BD2" w:rsidRPr="003B2BD2" w:rsidRDefault="003B2BD2" w:rsidP="003B2BD2">
      <w:pPr>
        <w:spacing w:line="360" w:lineRule="auto"/>
        <w:rPr>
          <w:rFonts w:ascii="Calibri" w:eastAsia="Calibri" w:hAnsi="Calibri"/>
          <w:sz w:val="22"/>
          <w:szCs w:val="22"/>
        </w:rPr>
      </w:pPr>
      <w:r w:rsidRPr="003B2BD2">
        <w:rPr>
          <w:sz w:val="28"/>
          <w:szCs w:val="28"/>
        </w:rPr>
        <w:t xml:space="preserve">METRO is organized into eight major departments, including the Office of the General Manager, District Counsel, Finance, Human Resources, Operations, Maintenance, Information Technology, and Fleet/Facilities Maintenance.  The General Manager reports to the METRO Board of Directors and has the ultimate responsibility for the implementation of METRO’s Title VI program.  The General Manager has delegated to the various departments that are responsible for spending the grant funds, the responsibility of managing all grant requirements including Title VI requirements. </w:t>
      </w:r>
      <w:r w:rsidR="00C7727C">
        <w:rPr>
          <w:sz w:val="28"/>
          <w:szCs w:val="28"/>
        </w:rPr>
        <w:t xml:space="preserve"> </w:t>
      </w:r>
      <w:r w:rsidRPr="003B2BD2">
        <w:rPr>
          <w:sz w:val="28"/>
          <w:szCs w:val="28"/>
        </w:rPr>
        <w:t>The various departments have grant Project Managers and Analysts that manage the organizations grants and meet frequently with the General Manager to discuss grant activity including compliance.  This structure, designed by the General Manager, is responsible for establishing policies and monitoring procedures to ensure Title VI compliance.  METRO receives Section 5307, Section 5311, Section 5316, and Section 5317 funding.</w:t>
      </w:r>
    </w:p>
    <w:p w:rsidR="003B2BD2" w:rsidRPr="003B2BD2" w:rsidRDefault="003B2BD2" w:rsidP="003B2BD2">
      <w:pPr>
        <w:autoSpaceDE w:val="0"/>
        <w:autoSpaceDN w:val="0"/>
        <w:adjustRightInd w:val="0"/>
        <w:spacing w:line="360" w:lineRule="auto"/>
        <w:rPr>
          <w:sz w:val="28"/>
          <w:szCs w:val="28"/>
        </w:rPr>
      </w:pPr>
    </w:p>
    <w:p w:rsidR="003B2BD2" w:rsidRPr="003B2BD2" w:rsidRDefault="003B2BD2" w:rsidP="003B2BD2">
      <w:pPr>
        <w:autoSpaceDE w:val="0"/>
        <w:autoSpaceDN w:val="0"/>
        <w:adjustRightInd w:val="0"/>
        <w:spacing w:line="360" w:lineRule="auto"/>
        <w:rPr>
          <w:sz w:val="28"/>
          <w:szCs w:val="28"/>
        </w:rPr>
      </w:pPr>
      <w:r w:rsidRPr="003B2BD2">
        <w:rPr>
          <w:sz w:val="28"/>
          <w:szCs w:val="28"/>
        </w:rPr>
        <w:lastRenderedPageBreak/>
        <w:t>While METRO’s service area is technically all of Santa Cruz County with a total population of approximately 262,382 persons, METRO primarily operates service in the four urbanized areas (UZAs) of Santa Cruz, Watsonville, Capitola, and Scotts Valley with a total population of approximately 1</w:t>
      </w:r>
      <w:r w:rsidR="00C7727C">
        <w:rPr>
          <w:sz w:val="28"/>
          <w:szCs w:val="28"/>
        </w:rPr>
        <w:t>3</w:t>
      </w:r>
      <w:r w:rsidRPr="003B2BD2">
        <w:rPr>
          <w:sz w:val="28"/>
          <w:szCs w:val="28"/>
        </w:rPr>
        <w:t>2,6</w:t>
      </w:r>
      <w:r w:rsidR="00C7727C">
        <w:rPr>
          <w:sz w:val="28"/>
          <w:szCs w:val="28"/>
        </w:rPr>
        <w:t>43</w:t>
      </w:r>
      <w:r w:rsidRPr="003B2BD2">
        <w:rPr>
          <w:sz w:val="28"/>
          <w:szCs w:val="28"/>
        </w:rPr>
        <w:t>.</w:t>
      </w:r>
    </w:p>
    <w:p w:rsidR="003B2BD2" w:rsidRPr="003B2BD2" w:rsidRDefault="003B2BD2" w:rsidP="003B2BD2">
      <w:pPr>
        <w:autoSpaceDE w:val="0"/>
        <w:autoSpaceDN w:val="0"/>
        <w:adjustRightInd w:val="0"/>
        <w:spacing w:line="360" w:lineRule="auto"/>
        <w:rPr>
          <w:sz w:val="28"/>
          <w:szCs w:val="28"/>
          <w:highlight w:val="yellow"/>
        </w:rPr>
      </w:pPr>
    </w:p>
    <w:p w:rsidR="003B2BD2" w:rsidRPr="003B2BD2" w:rsidRDefault="003B2BD2" w:rsidP="003B2BD2">
      <w:pPr>
        <w:autoSpaceDE w:val="0"/>
        <w:autoSpaceDN w:val="0"/>
        <w:adjustRightInd w:val="0"/>
        <w:spacing w:line="360" w:lineRule="auto"/>
        <w:rPr>
          <w:sz w:val="28"/>
          <w:szCs w:val="28"/>
        </w:rPr>
      </w:pPr>
      <w:r w:rsidRPr="003B2BD2">
        <w:rPr>
          <w:sz w:val="28"/>
          <w:szCs w:val="28"/>
        </w:rPr>
        <w:t xml:space="preserve">METRO operates a network of </w:t>
      </w:r>
      <w:r w:rsidR="00A33914">
        <w:rPr>
          <w:sz w:val="28"/>
          <w:szCs w:val="28"/>
        </w:rPr>
        <w:t>3</w:t>
      </w:r>
      <w:r w:rsidRPr="003B2BD2">
        <w:rPr>
          <w:sz w:val="28"/>
          <w:szCs w:val="28"/>
        </w:rPr>
        <w:t>4 fixed routes and a complementa</w:t>
      </w:r>
      <w:r w:rsidR="00150920">
        <w:rPr>
          <w:sz w:val="28"/>
          <w:szCs w:val="28"/>
        </w:rPr>
        <w:t xml:space="preserve">ry </w:t>
      </w:r>
      <w:proofErr w:type="spellStart"/>
      <w:r w:rsidR="00150920">
        <w:rPr>
          <w:sz w:val="28"/>
          <w:szCs w:val="28"/>
        </w:rPr>
        <w:t>paratransit</w:t>
      </w:r>
      <w:proofErr w:type="spellEnd"/>
      <w:r w:rsidR="00150920">
        <w:rPr>
          <w:sz w:val="28"/>
          <w:szCs w:val="28"/>
        </w:rPr>
        <w:t xml:space="preserve"> service called</w:t>
      </w:r>
      <w:r w:rsidRPr="003B2BD2">
        <w:rPr>
          <w:sz w:val="28"/>
          <w:szCs w:val="28"/>
        </w:rPr>
        <w:t xml:space="preserve"> </w:t>
      </w:r>
      <w:proofErr w:type="spellStart"/>
      <w:r w:rsidRPr="003B2BD2">
        <w:rPr>
          <w:sz w:val="28"/>
          <w:szCs w:val="28"/>
        </w:rPr>
        <w:t>ParaCruz</w:t>
      </w:r>
      <w:proofErr w:type="spellEnd"/>
      <w:r w:rsidRPr="003B2BD2">
        <w:rPr>
          <w:sz w:val="28"/>
          <w:szCs w:val="28"/>
        </w:rPr>
        <w:t>.  Service is provided weekdays from 4:</w:t>
      </w:r>
      <w:r w:rsidR="00A33914">
        <w:rPr>
          <w:sz w:val="28"/>
          <w:szCs w:val="28"/>
        </w:rPr>
        <w:t>4</w:t>
      </w:r>
      <w:r w:rsidRPr="003B2BD2">
        <w:rPr>
          <w:sz w:val="28"/>
          <w:szCs w:val="28"/>
        </w:rPr>
        <w:t xml:space="preserve">5 a.m. to </w:t>
      </w:r>
      <w:r w:rsidR="00A33914">
        <w:rPr>
          <w:sz w:val="28"/>
          <w:szCs w:val="28"/>
        </w:rPr>
        <w:t>1</w:t>
      </w:r>
      <w:r w:rsidRPr="003B2BD2">
        <w:rPr>
          <w:sz w:val="28"/>
          <w:szCs w:val="28"/>
        </w:rPr>
        <w:t>2:</w:t>
      </w:r>
      <w:r w:rsidR="00A33914">
        <w:rPr>
          <w:sz w:val="28"/>
          <w:szCs w:val="28"/>
        </w:rPr>
        <w:t>40</w:t>
      </w:r>
      <w:r w:rsidRPr="003B2BD2">
        <w:rPr>
          <w:sz w:val="28"/>
          <w:szCs w:val="28"/>
        </w:rPr>
        <w:t xml:space="preserve"> a.m.  </w:t>
      </w:r>
      <w:r w:rsidR="00A33914">
        <w:rPr>
          <w:sz w:val="28"/>
          <w:szCs w:val="28"/>
        </w:rPr>
        <w:t>Weekend</w:t>
      </w:r>
      <w:r w:rsidRPr="003B2BD2">
        <w:rPr>
          <w:sz w:val="28"/>
          <w:szCs w:val="28"/>
        </w:rPr>
        <w:t xml:space="preserve"> service is operated from 6:</w:t>
      </w:r>
      <w:r w:rsidR="00A33914">
        <w:rPr>
          <w:sz w:val="28"/>
          <w:szCs w:val="28"/>
        </w:rPr>
        <w:t>4</w:t>
      </w:r>
      <w:r w:rsidRPr="003B2BD2">
        <w:rPr>
          <w:sz w:val="28"/>
          <w:szCs w:val="28"/>
        </w:rPr>
        <w:t xml:space="preserve">0 a.m. to </w:t>
      </w:r>
      <w:r w:rsidR="00A33914">
        <w:rPr>
          <w:sz w:val="28"/>
          <w:szCs w:val="28"/>
        </w:rPr>
        <w:t>11</w:t>
      </w:r>
      <w:r w:rsidRPr="003B2BD2">
        <w:rPr>
          <w:sz w:val="28"/>
          <w:szCs w:val="28"/>
        </w:rPr>
        <w:t>:</w:t>
      </w:r>
      <w:r w:rsidR="00A33914">
        <w:rPr>
          <w:sz w:val="28"/>
          <w:szCs w:val="28"/>
        </w:rPr>
        <w:t>4</w:t>
      </w:r>
      <w:r w:rsidRPr="003B2BD2">
        <w:rPr>
          <w:sz w:val="28"/>
          <w:szCs w:val="28"/>
        </w:rPr>
        <w:t>0 p.m.  METRO operates five types of fixed route services as follows:</w:t>
      </w:r>
    </w:p>
    <w:p w:rsidR="003B2BD2" w:rsidRDefault="003B2BD2" w:rsidP="00150F0E">
      <w:pPr>
        <w:numPr>
          <w:ilvl w:val="0"/>
          <w:numId w:val="15"/>
        </w:numPr>
        <w:autoSpaceDE w:val="0"/>
        <w:autoSpaceDN w:val="0"/>
        <w:adjustRightInd w:val="0"/>
        <w:ind w:left="720"/>
        <w:rPr>
          <w:sz w:val="28"/>
          <w:szCs w:val="28"/>
        </w:rPr>
      </w:pPr>
      <w:r w:rsidRPr="003B2BD2">
        <w:rPr>
          <w:b/>
          <w:bCs/>
          <w:sz w:val="28"/>
          <w:szCs w:val="28"/>
        </w:rPr>
        <w:t xml:space="preserve">Rural </w:t>
      </w:r>
      <w:r w:rsidR="00150920">
        <w:rPr>
          <w:b/>
          <w:bCs/>
          <w:sz w:val="28"/>
          <w:szCs w:val="28"/>
        </w:rPr>
        <w:t>(6 r</w:t>
      </w:r>
      <w:r w:rsidRPr="003B2BD2">
        <w:rPr>
          <w:b/>
          <w:bCs/>
          <w:sz w:val="28"/>
          <w:szCs w:val="28"/>
        </w:rPr>
        <w:t>outes</w:t>
      </w:r>
      <w:r w:rsidR="00150920">
        <w:rPr>
          <w:b/>
          <w:bCs/>
          <w:sz w:val="28"/>
          <w:szCs w:val="28"/>
        </w:rPr>
        <w:t>)</w:t>
      </w:r>
      <w:r w:rsidRPr="003B2BD2">
        <w:rPr>
          <w:b/>
          <w:bCs/>
          <w:sz w:val="28"/>
          <w:szCs w:val="28"/>
        </w:rPr>
        <w:t xml:space="preserve">:  </w:t>
      </w:r>
      <w:r w:rsidRPr="003B2BD2">
        <w:rPr>
          <w:sz w:val="28"/>
          <w:szCs w:val="28"/>
        </w:rPr>
        <w:t xml:space="preserve">These routes provide service to rural areas of the county in the Santa Cruz Mountains and outside Watsonville.  These areas include the communities in the San Lorenzo Valley and </w:t>
      </w:r>
      <w:proofErr w:type="spellStart"/>
      <w:r w:rsidRPr="003B2BD2">
        <w:rPr>
          <w:sz w:val="28"/>
          <w:szCs w:val="28"/>
        </w:rPr>
        <w:t>Corralitos</w:t>
      </w:r>
      <w:proofErr w:type="spellEnd"/>
      <w:r w:rsidRPr="003B2BD2">
        <w:rPr>
          <w:sz w:val="28"/>
          <w:szCs w:val="28"/>
        </w:rPr>
        <w:t xml:space="preserve">.  </w:t>
      </w:r>
    </w:p>
    <w:p w:rsidR="00150920" w:rsidRPr="003B2BD2" w:rsidRDefault="00150920" w:rsidP="00150920">
      <w:pPr>
        <w:autoSpaceDE w:val="0"/>
        <w:autoSpaceDN w:val="0"/>
        <w:adjustRightInd w:val="0"/>
        <w:ind w:left="720"/>
        <w:rPr>
          <w:sz w:val="28"/>
          <w:szCs w:val="28"/>
        </w:rPr>
      </w:pPr>
    </w:p>
    <w:p w:rsidR="003B2BD2" w:rsidRDefault="003B2BD2" w:rsidP="00150F0E">
      <w:pPr>
        <w:numPr>
          <w:ilvl w:val="0"/>
          <w:numId w:val="15"/>
        </w:numPr>
        <w:autoSpaceDE w:val="0"/>
        <w:autoSpaceDN w:val="0"/>
        <w:adjustRightInd w:val="0"/>
        <w:ind w:left="720"/>
        <w:rPr>
          <w:sz w:val="28"/>
          <w:szCs w:val="28"/>
        </w:rPr>
      </w:pPr>
      <w:r w:rsidRPr="003B2BD2">
        <w:rPr>
          <w:b/>
          <w:bCs/>
          <w:sz w:val="28"/>
          <w:szCs w:val="28"/>
        </w:rPr>
        <w:t xml:space="preserve">Local / Feeder </w:t>
      </w:r>
      <w:r w:rsidR="00150920">
        <w:rPr>
          <w:b/>
          <w:bCs/>
          <w:sz w:val="28"/>
          <w:szCs w:val="28"/>
        </w:rPr>
        <w:t>(11 r</w:t>
      </w:r>
      <w:r w:rsidRPr="003B2BD2">
        <w:rPr>
          <w:b/>
          <w:bCs/>
          <w:sz w:val="28"/>
          <w:szCs w:val="28"/>
        </w:rPr>
        <w:t>outes</w:t>
      </w:r>
      <w:r w:rsidR="00150920">
        <w:rPr>
          <w:b/>
          <w:bCs/>
          <w:sz w:val="28"/>
          <w:szCs w:val="28"/>
        </w:rPr>
        <w:t>)</w:t>
      </w:r>
      <w:r w:rsidRPr="003B2BD2">
        <w:rPr>
          <w:b/>
          <w:bCs/>
          <w:sz w:val="28"/>
          <w:szCs w:val="28"/>
        </w:rPr>
        <w:t xml:space="preserve">:  </w:t>
      </w:r>
      <w:r w:rsidRPr="003B2BD2">
        <w:rPr>
          <w:sz w:val="28"/>
          <w:szCs w:val="28"/>
        </w:rPr>
        <w:t>These routes are designed to provide bus service within the urban communities of the county.  The majority of these routes serve the cities of Santa Cruz and Watsonville.</w:t>
      </w:r>
    </w:p>
    <w:p w:rsidR="00150920" w:rsidRPr="003B2BD2" w:rsidRDefault="00150920" w:rsidP="00150920">
      <w:pPr>
        <w:autoSpaceDE w:val="0"/>
        <w:autoSpaceDN w:val="0"/>
        <w:adjustRightInd w:val="0"/>
        <w:ind w:left="720"/>
        <w:rPr>
          <w:sz w:val="28"/>
          <w:szCs w:val="28"/>
        </w:rPr>
      </w:pPr>
    </w:p>
    <w:p w:rsidR="003B2BD2" w:rsidRDefault="00150920" w:rsidP="00150F0E">
      <w:pPr>
        <w:numPr>
          <w:ilvl w:val="0"/>
          <w:numId w:val="15"/>
        </w:numPr>
        <w:autoSpaceDE w:val="0"/>
        <w:autoSpaceDN w:val="0"/>
        <w:adjustRightInd w:val="0"/>
        <w:ind w:left="720"/>
        <w:rPr>
          <w:sz w:val="28"/>
          <w:szCs w:val="28"/>
        </w:rPr>
      </w:pPr>
      <w:r>
        <w:rPr>
          <w:b/>
          <w:bCs/>
          <w:sz w:val="28"/>
          <w:szCs w:val="28"/>
        </w:rPr>
        <w:t>Intercity (9 routes)</w:t>
      </w:r>
      <w:r w:rsidR="003B2BD2" w:rsidRPr="003B2BD2">
        <w:rPr>
          <w:b/>
          <w:bCs/>
          <w:sz w:val="28"/>
          <w:szCs w:val="28"/>
        </w:rPr>
        <w:t xml:space="preserve">:  </w:t>
      </w:r>
      <w:r w:rsidR="003B2BD2" w:rsidRPr="003B2BD2">
        <w:rPr>
          <w:sz w:val="28"/>
          <w:szCs w:val="28"/>
        </w:rPr>
        <w:t xml:space="preserve">These routes are primarily focused on meeting the bus rider demands between urban areas including the Santa Cruz to Watsonville corridor and Santa Cruz to Scotts Valley corridor.  A variety of service options (local stop to express) between Santa Cruz and Watsonville are offered to meet the various travel needs along the Highway 1 corridor.  </w:t>
      </w:r>
      <w:r>
        <w:rPr>
          <w:sz w:val="28"/>
          <w:szCs w:val="28"/>
        </w:rPr>
        <w:t>An a</w:t>
      </w:r>
      <w:r w:rsidR="00E54FB0">
        <w:rPr>
          <w:sz w:val="28"/>
          <w:szCs w:val="28"/>
        </w:rPr>
        <w:t xml:space="preserve">greement between Monterey Salinas Transit (MST) and METRO established a no cost interagency transfer across county lines allowing MST and METRO </w:t>
      </w:r>
      <w:proofErr w:type="gramStart"/>
      <w:r w:rsidR="00E54FB0">
        <w:rPr>
          <w:sz w:val="28"/>
          <w:szCs w:val="28"/>
        </w:rPr>
        <w:t>riders</w:t>
      </w:r>
      <w:proofErr w:type="gramEnd"/>
      <w:r w:rsidR="00E54FB0">
        <w:rPr>
          <w:sz w:val="28"/>
          <w:szCs w:val="28"/>
        </w:rPr>
        <w:t xml:space="preserve"> access to both systems with one fare payment.  </w:t>
      </w:r>
    </w:p>
    <w:p w:rsidR="00150920" w:rsidRPr="003B2BD2" w:rsidRDefault="00150920" w:rsidP="00150920">
      <w:pPr>
        <w:autoSpaceDE w:val="0"/>
        <w:autoSpaceDN w:val="0"/>
        <w:adjustRightInd w:val="0"/>
        <w:ind w:left="720"/>
        <w:rPr>
          <w:sz w:val="28"/>
          <w:szCs w:val="28"/>
        </w:rPr>
      </w:pPr>
    </w:p>
    <w:p w:rsidR="00150920" w:rsidRDefault="003B2BD2" w:rsidP="00150F0E">
      <w:pPr>
        <w:numPr>
          <w:ilvl w:val="0"/>
          <w:numId w:val="15"/>
        </w:numPr>
        <w:autoSpaceDE w:val="0"/>
        <w:autoSpaceDN w:val="0"/>
        <w:adjustRightInd w:val="0"/>
        <w:ind w:left="720"/>
        <w:rPr>
          <w:sz w:val="28"/>
          <w:szCs w:val="28"/>
        </w:rPr>
      </w:pPr>
      <w:r w:rsidRPr="003B2BD2">
        <w:rPr>
          <w:b/>
          <w:bCs/>
          <w:sz w:val="28"/>
          <w:szCs w:val="28"/>
        </w:rPr>
        <w:t xml:space="preserve">University of California Santa Cruz </w:t>
      </w:r>
      <w:r w:rsidR="00150920">
        <w:rPr>
          <w:b/>
          <w:bCs/>
          <w:sz w:val="28"/>
          <w:szCs w:val="28"/>
        </w:rPr>
        <w:t>(7 routes)</w:t>
      </w:r>
      <w:r w:rsidRPr="003B2BD2">
        <w:rPr>
          <w:b/>
          <w:bCs/>
          <w:sz w:val="28"/>
          <w:szCs w:val="28"/>
        </w:rPr>
        <w:t xml:space="preserve">:  </w:t>
      </w:r>
      <w:r w:rsidRPr="003B2BD2">
        <w:rPr>
          <w:bCs/>
          <w:sz w:val="28"/>
          <w:szCs w:val="28"/>
        </w:rPr>
        <w:t>UCSC contracts with METRO to provide dedicated fixed route transit service to its students.  METRO bills UCSC monthly for trips taken by students with valid UCSC identification.  Annual revenue from trips provided to UCSC students is approximately $3.5</w:t>
      </w:r>
      <w:r w:rsidR="00F51431">
        <w:rPr>
          <w:bCs/>
          <w:sz w:val="28"/>
          <w:szCs w:val="28"/>
        </w:rPr>
        <w:t xml:space="preserve"> million</w:t>
      </w:r>
      <w:r w:rsidRPr="003B2BD2">
        <w:rPr>
          <w:bCs/>
          <w:sz w:val="28"/>
          <w:szCs w:val="28"/>
        </w:rPr>
        <w:t xml:space="preserve"> - $4 million, or 10% of METRO’s budget.</w:t>
      </w:r>
      <w:r w:rsidRPr="003B2BD2">
        <w:rPr>
          <w:b/>
          <w:bCs/>
          <w:sz w:val="28"/>
          <w:szCs w:val="28"/>
        </w:rPr>
        <w:t xml:space="preserve">  </w:t>
      </w:r>
      <w:r w:rsidR="00F51431">
        <w:rPr>
          <w:sz w:val="28"/>
          <w:szCs w:val="28"/>
        </w:rPr>
        <w:t>The majority of this</w:t>
      </w:r>
      <w:r w:rsidRPr="003B2BD2">
        <w:rPr>
          <w:sz w:val="28"/>
          <w:szCs w:val="28"/>
        </w:rPr>
        <w:t xml:space="preserve"> service </w:t>
      </w:r>
      <w:r w:rsidR="00F51431">
        <w:rPr>
          <w:sz w:val="28"/>
          <w:szCs w:val="28"/>
        </w:rPr>
        <w:t xml:space="preserve">is </w:t>
      </w:r>
      <w:r w:rsidRPr="003B2BD2">
        <w:rPr>
          <w:sz w:val="28"/>
          <w:szCs w:val="28"/>
        </w:rPr>
        <w:t xml:space="preserve">only offered during the University’s school term </w:t>
      </w:r>
      <w:r w:rsidR="00F51431">
        <w:rPr>
          <w:sz w:val="28"/>
          <w:szCs w:val="28"/>
        </w:rPr>
        <w:t>and is</w:t>
      </w:r>
      <w:r w:rsidRPr="003B2BD2">
        <w:rPr>
          <w:sz w:val="28"/>
          <w:szCs w:val="28"/>
        </w:rPr>
        <w:t xml:space="preserve"> not in service during the summer months. </w:t>
      </w:r>
    </w:p>
    <w:p w:rsidR="003B2BD2" w:rsidRPr="003B2BD2" w:rsidRDefault="003B2BD2" w:rsidP="00150920">
      <w:pPr>
        <w:autoSpaceDE w:val="0"/>
        <w:autoSpaceDN w:val="0"/>
        <w:adjustRightInd w:val="0"/>
        <w:ind w:left="720"/>
        <w:rPr>
          <w:sz w:val="28"/>
          <w:szCs w:val="28"/>
        </w:rPr>
      </w:pPr>
      <w:r w:rsidRPr="003B2BD2">
        <w:rPr>
          <w:sz w:val="28"/>
          <w:szCs w:val="28"/>
        </w:rPr>
        <w:t xml:space="preserve"> </w:t>
      </w:r>
    </w:p>
    <w:p w:rsidR="003B2BD2" w:rsidRPr="003B2BD2" w:rsidRDefault="003B2BD2" w:rsidP="00150F0E">
      <w:pPr>
        <w:numPr>
          <w:ilvl w:val="0"/>
          <w:numId w:val="15"/>
        </w:numPr>
        <w:autoSpaceDE w:val="0"/>
        <w:autoSpaceDN w:val="0"/>
        <w:adjustRightInd w:val="0"/>
        <w:ind w:left="720"/>
        <w:rPr>
          <w:sz w:val="28"/>
          <w:szCs w:val="28"/>
        </w:rPr>
      </w:pPr>
      <w:r w:rsidRPr="003B2BD2">
        <w:rPr>
          <w:b/>
          <w:bCs/>
          <w:sz w:val="28"/>
          <w:szCs w:val="28"/>
        </w:rPr>
        <w:lastRenderedPageBreak/>
        <w:t xml:space="preserve">Regional </w:t>
      </w:r>
      <w:r w:rsidR="00150920">
        <w:rPr>
          <w:b/>
          <w:bCs/>
          <w:sz w:val="28"/>
          <w:szCs w:val="28"/>
        </w:rPr>
        <w:t>(1 route)</w:t>
      </w:r>
      <w:r w:rsidRPr="003B2BD2">
        <w:rPr>
          <w:b/>
          <w:bCs/>
          <w:sz w:val="28"/>
          <w:szCs w:val="28"/>
        </w:rPr>
        <w:t xml:space="preserve">:  </w:t>
      </w:r>
      <w:r w:rsidR="00E54FB0">
        <w:rPr>
          <w:bCs/>
          <w:sz w:val="28"/>
          <w:szCs w:val="28"/>
        </w:rPr>
        <w:t>This route</w:t>
      </w:r>
      <w:r w:rsidRPr="003B2BD2">
        <w:rPr>
          <w:bCs/>
          <w:sz w:val="28"/>
          <w:szCs w:val="28"/>
        </w:rPr>
        <w:t xml:space="preserve"> provides </w:t>
      </w:r>
      <w:r w:rsidR="00E54FB0">
        <w:rPr>
          <w:bCs/>
          <w:sz w:val="28"/>
          <w:szCs w:val="28"/>
        </w:rPr>
        <w:t xml:space="preserve">commuter </w:t>
      </w:r>
      <w:r w:rsidRPr="003B2BD2">
        <w:rPr>
          <w:bCs/>
          <w:sz w:val="28"/>
          <w:szCs w:val="28"/>
        </w:rPr>
        <w:t xml:space="preserve">service between Santa Cruz County and Santa Clara County along </w:t>
      </w:r>
      <w:r w:rsidR="00E54FB0">
        <w:rPr>
          <w:bCs/>
          <w:sz w:val="28"/>
          <w:szCs w:val="28"/>
        </w:rPr>
        <w:t>Highway</w:t>
      </w:r>
      <w:r w:rsidRPr="003B2BD2">
        <w:rPr>
          <w:bCs/>
          <w:sz w:val="28"/>
          <w:szCs w:val="28"/>
        </w:rPr>
        <w:t xml:space="preserve">17.  This service connects the Downtown Santa Cruz station with San Jose’s </w:t>
      </w:r>
      <w:proofErr w:type="spellStart"/>
      <w:r w:rsidRPr="003B2BD2">
        <w:rPr>
          <w:bCs/>
          <w:sz w:val="28"/>
          <w:szCs w:val="28"/>
        </w:rPr>
        <w:t>Diridon</w:t>
      </w:r>
      <w:proofErr w:type="spellEnd"/>
      <w:r w:rsidRPr="003B2BD2">
        <w:rPr>
          <w:bCs/>
          <w:sz w:val="28"/>
          <w:szCs w:val="28"/>
        </w:rPr>
        <w:t xml:space="preserve"> station, servicing park and ride lots and the </w:t>
      </w:r>
      <w:proofErr w:type="spellStart"/>
      <w:r w:rsidRPr="003B2BD2">
        <w:rPr>
          <w:bCs/>
          <w:sz w:val="28"/>
          <w:szCs w:val="28"/>
        </w:rPr>
        <w:t>Cavallaro</w:t>
      </w:r>
      <w:proofErr w:type="spellEnd"/>
      <w:r w:rsidRPr="003B2BD2">
        <w:rPr>
          <w:bCs/>
          <w:sz w:val="28"/>
          <w:szCs w:val="28"/>
        </w:rPr>
        <w:t xml:space="preserve"> Transit Center in Scotts Valley.  At </w:t>
      </w:r>
      <w:proofErr w:type="spellStart"/>
      <w:r w:rsidRPr="003B2BD2">
        <w:rPr>
          <w:bCs/>
          <w:sz w:val="28"/>
          <w:szCs w:val="28"/>
        </w:rPr>
        <w:t>Diridon</w:t>
      </w:r>
      <w:proofErr w:type="spellEnd"/>
      <w:r w:rsidRPr="003B2BD2">
        <w:rPr>
          <w:bCs/>
          <w:sz w:val="28"/>
          <w:szCs w:val="28"/>
        </w:rPr>
        <w:t xml:space="preserve"> station, passengers can connect to the Santa Clara Valley Transportation Authority’s (VTA) transit system, and the </w:t>
      </w:r>
      <w:proofErr w:type="spellStart"/>
      <w:r w:rsidRPr="003B2BD2">
        <w:rPr>
          <w:bCs/>
          <w:sz w:val="28"/>
          <w:szCs w:val="28"/>
        </w:rPr>
        <w:t>Caltrain</w:t>
      </w:r>
      <w:proofErr w:type="spellEnd"/>
      <w:r w:rsidRPr="003B2BD2">
        <w:rPr>
          <w:bCs/>
          <w:sz w:val="28"/>
          <w:szCs w:val="28"/>
        </w:rPr>
        <w:t xml:space="preserve"> and Amtrak regional rail systems.  Once at </w:t>
      </w:r>
      <w:proofErr w:type="spellStart"/>
      <w:r w:rsidRPr="003B2BD2">
        <w:rPr>
          <w:bCs/>
          <w:sz w:val="28"/>
          <w:szCs w:val="28"/>
        </w:rPr>
        <w:t>Diridon</w:t>
      </w:r>
      <w:proofErr w:type="spellEnd"/>
      <w:r w:rsidRPr="003B2BD2">
        <w:rPr>
          <w:bCs/>
          <w:sz w:val="28"/>
          <w:szCs w:val="28"/>
        </w:rPr>
        <w:t>, transit passengers can also connect to the San Jose airport using the VTA system.</w:t>
      </w:r>
      <w:r w:rsidR="00E54FB0">
        <w:rPr>
          <w:bCs/>
          <w:sz w:val="28"/>
          <w:szCs w:val="28"/>
        </w:rPr>
        <w:t xml:space="preserve">  </w:t>
      </w:r>
      <w:r w:rsidR="00E54FB0" w:rsidRPr="00E54FB0">
        <w:rPr>
          <w:bCs/>
          <w:sz w:val="28"/>
          <w:szCs w:val="28"/>
        </w:rPr>
        <w:t xml:space="preserve">During school term, the Highway 17 service extends to San Jose State University.  An Agreement with </w:t>
      </w:r>
      <w:r w:rsidR="00F51431">
        <w:rPr>
          <w:bCs/>
          <w:sz w:val="28"/>
          <w:szCs w:val="28"/>
        </w:rPr>
        <w:t>VTA</w:t>
      </w:r>
      <w:r w:rsidR="00E54FB0" w:rsidRPr="00E54FB0">
        <w:rPr>
          <w:bCs/>
          <w:sz w:val="28"/>
          <w:szCs w:val="28"/>
        </w:rPr>
        <w:t xml:space="preserve"> allows riders purchasing a METRO Highway 17 Express Day Pass full unlimited ride access to VTA</w:t>
      </w:r>
      <w:r w:rsidR="00F51431">
        <w:rPr>
          <w:bCs/>
          <w:sz w:val="28"/>
          <w:szCs w:val="28"/>
        </w:rPr>
        <w:t>’s</w:t>
      </w:r>
      <w:r w:rsidR="00E54FB0" w:rsidRPr="00E54FB0">
        <w:rPr>
          <w:bCs/>
          <w:sz w:val="28"/>
          <w:szCs w:val="28"/>
        </w:rPr>
        <w:t xml:space="preserve"> bus and light rail system.</w:t>
      </w:r>
    </w:p>
    <w:p w:rsidR="00E84E61" w:rsidRDefault="00E84E61" w:rsidP="003B2BD2">
      <w:pPr>
        <w:autoSpaceDE w:val="0"/>
        <w:autoSpaceDN w:val="0"/>
        <w:adjustRightInd w:val="0"/>
        <w:spacing w:line="360" w:lineRule="auto"/>
        <w:rPr>
          <w:sz w:val="28"/>
          <w:szCs w:val="28"/>
        </w:rPr>
      </w:pPr>
    </w:p>
    <w:p w:rsidR="003B2BD2" w:rsidRDefault="003B2BD2" w:rsidP="003B2BD2">
      <w:pPr>
        <w:autoSpaceDE w:val="0"/>
        <w:autoSpaceDN w:val="0"/>
        <w:adjustRightInd w:val="0"/>
        <w:spacing w:line="360" w:lineRule="auto"/>
        <w:rPr>
          <w:sz w:val="28"/>
          <w:szCs w:val="28"/>
        </w:rPr>
      </w:pPr>
      <w:r w:rsidRPr="003B2BD2">
        <w:rPr>
          <w:sz w:val="28"/>
          <w:szCs w:val="28"/>
        </w:rPr>
        <w:t xml:space="preserve">METRO operates ADA complementary </w:t>
      </w:r>
      <w:proofErr w:type="spellStart"/>
      <w:r w:rsidRPr="003B2BD2">
        <w:rPr>
          <w:sz w:val="28"/>
          <w:szCs w:val="28"/>
        </w:rPr>
        <w:t>paratransit</w:t>
      </w:r>
      <w:proofErr w:type="spellEnd"/>
      <w:r w:rsidRPr="003B2BD2">
        <w:rPr>
          <w:sz w:val="28"/>
          <w:szCs w:val="28"/>
        </w:rPr>
        <w:t xml:space="preserve"> service called </w:t>
      </w:r>
      <w:proofErr w:type="spellStart"/>
      <w:r w:rsidRPr="003B2BD2">
        <w:rPr>
          <w:sz w:val="28"/>
          <w:szCs w:val="28"/>
        </w:rPr>
        <w:t>ParaCruz</w:t>
      </w:r>
      <w:proofErr w:type="spellEnd"/>
      <w:r w:rsidRPr="003B2BD2">
        <w:rPr>
          <w:sz w:val="28"/>
          <w:szCs w:val="28"/>
        </w:rPr>
        <w:t xml:space="preserve">. </w:t>
      </w:r>
      <w:proofErr w:type="spellStart"/>
      <w:r w:rsidRPr="003B2BD2">
        <w:rPr>
          <w:sz w:val="28"/>
          <w:szCs w:val="28"/>
        </w:rPr>
        <w:t>ParaCruz</w:t>
      </w:r>
      <w:proofErr w:type="spellEnd"/>
      <w:r w:rsidRPr="003B2BD2">
        <w:rPr>
          <w:sz w:val="28"/>
          <w:szCs w:val="28"/>
        </w:rPr>
        <w:t xml:space="preserve"> provides service to areas within a ¾ of a mile of its fixed route service, except the Highway 17 commuter route.  </w:t>
      </w:r>
      <w:proofErr w:type="spellStart"/>
      <w:r w:rsidRPr="003B2BD2">
        <w:rPr>
          <w:sz w:val="28"/>
          <w:szCs w:val="28"/>
        </w:rPr>
        <w:t>ParaCruz</w:t>
      </w:r>
      <w:proofErr w:type="spellEnd"/>
      <w:r w:rsidRPr="003B2BD2">
        <w:rPr>
          <w:sz w:val="28"/>
          <w:szCs w:val="28"/>
        </w:rPr>
        <w:t xml:space="preserve"> provides shared ride, door-to-door service from 6:00 AM until 10:30 PM every day except New Year’s Day, Thanksgiving, and Christmas Day for eligible riders.  Trips must be scheduled between 1-14 days in advance between the hours of 8:00 AM and 5:00 PM.  </w:t>
      </w:r>
      <w:proofErr w:type="spellStart"/>
      <w:r w:rsidRPr="003B2BD2">
        <w:rPr>
          <w:sz w:val="28"/>
          <w:szCs w:val="28"/>
        </w:rPr>
        <w:t>ParaCruz</w:t>
      </w:r>
      <w:proofErr w:type="spellEnd"/>
      <w:r w:rsidRPr="003B2BD2">
        <w:rPr>
          <w:sz w:val="28"/>
          <w:szCs w:val="28"/>
        </w:rPr>
        <w:t xml:space="preserve"> uses two local taxicab companies, </w:t>
      </w:r>
      <w:r w:rsidR="00E54FB0">
        <w:rPr>
          <w:sz w:val="28"/>
          <w:szCs w:val="28"/>
        </w:rPr>
        <w:t>Santa Cruz Transportation (</w:t>
      </w:r>
      <w:r w:rsidRPr="003B2BD2">
        <w:rPr>
          <w:sz w:val="28"/>
          <w:szCs w:val="28"/>
        </w:rPr>
        <w:t>Yellow Cab</w:t>
      </w:r>
      <w:r w:rsidR="00E54FB0">
        <w:rPr>
          <w:sz w:val="28"/>
          <w:szCs w:val="28"/>
        </w:rPr>
        <w:t>)</w:t>
      </w:r>
      <w:r w:rsidRPr="003B2BD2">
        <w:rPr>
          <w:sz w:val="28"/>
          <w:szCs w:val="28"/>
        </w:rPr>
        <w:t xml:space="preserve"> and </w:t>
      </w:r>
      <w:r w:rsidR="00E54FB0">
        <w:rPr>
          <w:sz w:val="28"/>
          <w:szCs w:val="28"/>
        </w:rPr>
        <w:t>Watsonville Transportation (</w:t>
      </w:r>
      <w:r w:rsidRPr="003B2BD2">
        <w:rPr>
          <w:sz w:val="28"/>
          <w:szCs w:val="28"/>
        </w:rPr>
        <w:t>Courtesy Cab</w:t>
      </w:r>
      <w:r w:rsidR="00E54FB0">
        <w:rPr>
          <w:sz w:val="28"/>
          <w:szCs w:val="28"/>
        </w:rPr>
        <w:t>)</w:t>
      </w:r>
      <w:r w:rsidRPr="003B2BD2">
        <w:rPr>
          <w:sz w:val="28"/>
          <w:szCs w:val="28"/>
        </w:rPr>
        <w:t>, to supplement its ADA paratransit service, as needed.</w:t>
      </w:r>
    </w:p>
    <w:p w:rsidR="00914E76" w:rsidRPr="003B2BD2" w:rsidRDefault="00914E76" w:rsidP="00E84E61">
      <w:pPr>
        <w:autoSpaceDE w:val="0"/>
        <w:autoSpaceDN w:val="0"/>
        <w:adjustRightInd w:val="0"/>
        <w:rPr>
          <w:sz w:val="28"/>
          <w:szCs w:val="28"/>
        </w:rPr>
      </w:pPr>
    </w:p>
    <w:p w:rsidR="003B2BD2" w:rsidRPr="003B2BD2" w:rsidRDefault="003B2BD2" w:rsidP="003B2BD2">
      <w:pPr>
        <w:autoSpaceDE w:val="0"/>
        <w:autoSpaceDN w:val="0"/>
        <w:adjustRightInd w:val="0"/>
        <w:spacing w:line="360" w:lineRule="auto"/>
        <w:rPr>
          <w:sz w:val="28"/>
          <w:szCs w:val="28"/>
        </w:rPr>
      </w:pPr>
      <w:r w:rsidRPr="003B2BD2">
        <w:rPr>
          <w:sz w:val="28"/>
          <w:szCs w:val="28"/>
        </w:rPr>
        <w:t xml:space="preserve">The basic adult fare for bus service is </w:t>
      </w:r>
      <w:r w:rsidRPr="006C5361">
        <w:rPr>
          <w:sz w:val="28"/>
          <w:szCs w:val="28"/>
        </w:rPr>
        <w:t>$</w:t>
      </w:r>
      <w:r w:rsidR="00E54FB0" w:rsidRPr="00E54FB0">
        <w:rPr>
          <w:sz w:val="28"/>
          <w:szCs w:val="28"/>
        </w:rPr>
        <w:t>2.00</w:t>
      </w:r>
      <w:r w:rsidRPr="003B2BD2">
        <w:rPr>
          <w:sz w:val="28"/>
          <w:szCs w:val="28"/>
        </w:rPr>
        <w:t>.  A reduced fare of $</w:t>
      </w:r>
      <w:r w:rsidR="00E54FB0">
        <w:rPr>
          <w:sz w:val="28"/>
          <w:szCs w:val="28"/>
        </w:rPr>
        <w:t>1.0</w:t>
      </w:r>
      <w:r w:rsidRPr="003B2BD2">
        <w:rPr>
          <w:sz w:val="28"/>
          <w:szCs w:val="28"/>
        </w:rPr>
        <w:t xml:space="preserve">0 is offered to seniors 62 years or older, valid Medicare card holders, and persons with disabilities during </w:t>
      </w:r>
      <w:r w:rsidR="00E54FB0">
        <w:rPr>
          <w:sz w:val="28"/>
          <w:szCs w:val="28"/>
        </w:rPr>
        <w:t>all</w:t>
      </w:r>
      <w:r w:rsidRPr="003B2BD2">
        <w:rPr>
          <w:sz w:val="28"/>
          <w:szCs w:val="28"/>
        </w:rPr>
        <w:t xml:space="preserve"> hours</w:t>
      </w:r>
      <w:r w:rsidR="00E54FB0">
        <w:rPr>
          <w:sz w:val="28"/>
          <w:szCs w:val="28"/>
        </w:rPr>
        <w:t xml:space="preserve"> of service</w:t>
      </w:r>
      <w:r w:rsidRPr="003B2BD2">
        <w:rPr>
          <w:sz w:val="28"/>
          <w:szCs w:val="28"/>
        </w:rPr>
        <w:t>.  The fare for ADA paratransit service is $</w:t>
      </w:r>
      <w:r w:rsidR="00E54FB0">
        <w:rPr>
          <w:sz w:val="28"/>
          <w:szCs w:val="28"/>
        </w:rPr>
        <w:t>4</w:t>
      </w:r>
      <w:r w:rsidRPr="003B2BD2">
        <w:rPr>
          <w:sz w:val="28"/>
          <w:szCs w:val="28"/>
        </w:rPr>
        <w:t xml:space="preserve">.00, twice the price of the regular fixed route fare.  </w:t>
      </w:r>
    </w:p>
    <w:p w:rsidR="003B2BD2" w:rsidRPr="003B2BD2" w:rsidRDefault="003B2BD2" w:rsidP="00E84E61">
      <w:pPr>
        <w:autoSpaceDE w:val="0"/>
        <w:autoSpaceDN w:val="0"/>
        <w:adjustRightInd w:val="0"/>
        <w:ind w:left="360"/>
        <w:rPr>
          <w:sz w:val="28"/>
          <w:szCs w:val="28"/>
        </w:rPr>
      </w:pPr>
    </w:p>
    <w:p w:rsidR="003B2BD2" w:rsidRPr="003B2BD2" w:rsidRDefault="003B2BD2" w:rsidP="003B2BD2">
      <w:pPr>
        <w:autoSpaceDE w:val="0"/>
        <w:autoSpaceDN w:val="0"/>
        <w:adjustRightInd w:val="0"/>
        <w:spacing w:line="360" w:lineRule="auto"/>
        <w:rPr>
          <w:sz w:val="28"/>
          <w:szCs w:val="28"/>
        </w:rPr>
      </w:pPr>
      <w:r w:rsidRPr="003B2BD2">
        <w:rPr>
          <w:sz w:val="28"/>
          <w:szCs w:val="28"/>
        </w:rPr>
        <w:t xml:space="preserve">METRO operates a fleet of </w:t>
      </w:r>
      <w:r w:rsidRPr="006C5361">
        <w:rPr>
          <w:sz w:val="28"/>
          <w:szCs w:val="28"/>
        </w:rPr>
        <w:t>102</w:t>
      </w:r>
      <w:r w:rsidRPr="003B2BD2">
        <w:rPr>
          <w:sz w:val="28"/>
          <w:szCs w:val="28"/>
        </w:rPr>
        <w:t xml:space="preserve"> buses for fixed-route service.  Its bus fleet consists of 35- and 40-foot standard and low floor buses.  Over the past three years, METRO has purchased Compressed Natural Gas (CNG) buses with a long term </w:t>
      </w:r>
      <w:r w:rsidRPr="003B2BD2">
        <w:rPr>
          <w:sz w:val="28"/>
          <w:szCs w:val="28"/>
        </w:rPr>
        <w:lastRenderedPageBreak/>
        <w:t xml:space="preserve">goal of completely replacing its diesel fleet with CNG buses.  The current peak requirement is for </w:t>
      </w:r>
      <w:r w:rsidRPr="006C5361">
        <w:rPr>
          <w:sz w:val="28"/>
          <w:szCs w:val="28"/>
        </w:rPr>
        <w:t>83</w:t>
      </w:r>
      <w:r w:rsidRPr="003B2BD2">
        <w:rPr>
          <w:sz w:val="28"/>
          <w:szCs w:val="28"/>
        </w:rPr>
        <w:t xml:space="preserve"> vehicles.  </w:t>
      </w:r>
      <w:r w:rsidR="00697D12">
        <w:rPr>
          <w:sz w:val="28"/>
          <w:szCs w:val="28"/>
        </w:rPr>
        <w:t>METRO</w:t>
      </w:r>
      <w:r w:rsidRPr="003B2BD2">
        <w:rPr>
          <w:sz w:val="28"/>
          <w:szCs w:val="28"/>
        </w:rPr>
        <w:t xml:space="preserve"> has a contingency fleet of nine buses, bringing its total fixed-route bus fleet to </w:t>
      </w:r>
      <w:r w:rsidRPr="006C5361">
        <w:rPr>
          <w:sz w:val="28"/>
          <w:szCs w:val="28"/>
        </w:rPr>
        <w:t>111</w:t>
      </w:r>
      <w:r w:rsidRPr="003B2BD2">
        <w:rPr>
          <w:sz w:val="28"/>
          <w:szCs w:val="28"/>
        </w:rPr>
        <w:t xml:space="preserve">.  METRO also has a fleet of </w:t>
      </w:r>
      <w:r w:rsidR="00E54FB0">
        <w:rPr>
          <w:sz w:val="28"/>
          <w:szCs w:val="28"/>
        </w:rPr>
        <w:t>45</w:t>
      </w:r>
      <w:r w:rsidRPr="003B2BD2">
        <w:rPr>
          <w:sz w:val="28"/>
          <w:szCs w:val="28"/>
        </w:rPr>
        <w:t xml:space="preserve"> vans, which are used for its </w:t>
      </w:r>
      <w:proofErr w:type="spellStart"/>
      <w:r w:rsidRPr="003B2BD2">
        <w:rPr>
          <w:sz w:val="28"/>
          <w:szCs w:val="28"/>
        </w:rPr>
        <w:t>ParaCruz</w:t>
      </w:r>
      <w:proofErr w:type="spellEnd"/>
      <w:r w:rsidRPr="003B2BD2">
        <w:rPr>
          <w:sz w:val="28"/>
          <w:szCs w:val="28"/>
        </w:rPr>
        <w:t xml:space="preserve"> complementary </w:t>
      </w:r>
      <w:proofErr w:type="spellStart"/>
      <w:r w:rsidRPr="003B2BD2">
        <w:rPr>
          <w:sz w:val="28"/>
          <w:szCs w:val="28"/>
        </w:rPr>
        <w:t>paratransit</w:t>
      </w:r>
      <w:proofErr w:type="spellEnd"/>
      <w:r w:rsidRPr="003B2BD2">
        <w:rPr>
          <w:sz w:val="28"/>
          <w:szCs w:val="28"/>
        </w:rPr>
        <w:t xml:space="preserve"> service.  </w:t>
      </w:r>
    </w:p>
    <w:p w:rsidR="003B2BD2" w:rsidRPr="003B2BD2" w:rsidRDefault="003B2BD2" w:rsidP="00E84E61">
      <w:pPr>
        <w:autoSpaceDE w:val="0"/>
        <w:autoSpaceDN w:val="0"/>
        <w:adjustRightInd w:val="0"/>
        <w:rPr>
          <w:sz w:val="28"/>
          <w:szCs w:val="28"/>
          <w:highlight w:val="yellow"/>
        </w:rPr>
      </w:pPr>
    </w:p>
    <w:p w:rsidR="003B2BD2" w:rsidRPr="003B2BD2" w:rsidRDefault="003B2BD2" w:rsidP="003B2BD2">
      <w:pPr>
        <w:autoSpaceDE w:val="0"/>
        <w:autoSpaceDN w:val="0"/>
        <w:adjustRightInd w:val="0"/>
        <w:spacing w:line="360" w:lineRule="auto"/>
        <w:rPr>
          <w:sz w:val="28"/>
          <w:szCs w:val="28"/>
        </w:rPr>
      </w:pPr>
      <w:r w:rsidRPr="003B2BD2">
        <w:rPr>
          <w:sz w:val="28"/>
          <w:szCs w:val="28"/>
        </w:rPr>
        <w:t>At the time of the site visit, METRO had the following noteworthy projects underway:</w:t>
      </w:r>
    </w:p>
    <w:p w:rsidR="003B2BD2" w:rsidRPr="003B2BD2" w:rsidRDefault="003B2BD2" w:rsidP="00150F0E">
      <w:pPr>
        <w:numPr>
          <w:ilvl w:val="0"/>
          <w:numId w:val="14"/>
        </w:numPr>
        <w:autoSpaceDE w:val="0"/>
        <w:autoSpaceDN w:val="0"/>
        <w:adjustRightInd w:val="0"/>
        <w:spacing w:line="360" w:lineRule="auto"/>
        <w:rPr>
          <w:sz w:val="28"/>
          <w:szCs w:val="28"/>
        </w:rPr>
      </w:pPr>
      <w:r w:rsidRPr="003B2BD2">
        <w:rPr>
          <w:sz w:val="28"/>
          <w:szCs w:val="28"/>
        </w:rPr>
        <w:t>Complete right-of-way purchase and renovation of the Pacific Station</w:t>
      </w:r>
      <w:r w:rsidR="00F51431">
        <w:rPr>
          <w:sz w:val="28"/>
          <w:szCs w:val="28"/>
        </w:rPr>
        <w:t>;</w:t>
      </w:r>
    </w:p>
    <w:p w:rsidR="003B2BD2" w:rsidRPr="003B2BD2" w:rsidRDefault="003B2BD2" w:rsidP="00150F0E">
      <w:pPr>
        <w:numPr>
          <w:ilvl w:val="0"/>
          <w:numId w:val="14"/>
        </w:numPr>
        <w:autoSpaceDE w:val="0"/>
        <w:autoSpaceDN w:val="0"/>
        <w:adjustRightInd w:val="0"/>
        <w:spacing w:line="360" w:lineRule="auto"/>
        <w:rPr>
          <w:sz w:val="28"/>
          <w:szCs w:val="28"/>
        </w:rPr>
      </w:pPr>
      <w:r w:rsidRPr="003B2BD2">
        <w:rPr>
          <w:sz w:val="28"/>
          <w:szCs w:val="28"/>
        </w:rPr>
        <w:t>Upgrade video surveillance system</w:t>
      </w:r>
      <w:r w:rsidR="00F51431">
        <w:rPr>
          <w:sz w:val="28"/>
          <w:szCs w:val="28"/>
        </w:rPr>
        <w:t>;</w:t>
      </w:r>
    </w:p>
    <w:p w:rsidR="003B2BD2" w:rsidRPr="003B2BD2" w:rsidRDefault="003B2BD2" w:rsidP="00150F0E">
      <w:pPr>
        <w:numPr>
          <w:ilvl w:val="0"/>
          <w:numId w:val="14"/>
        </w:numPr>
        <w:autoSpaceDE w:val="0"/>
        <w:autoSpaceDN w:val="0"/>
        <w:adjustRightInd w:val="0"/>
        <w:spacing w:line="360" w:lineRule="auto"/>
        <w:rPr>
          <w:sz w:val="28"/>
          <w:szCs w:val="28"/>
        </w:rPr>
      </w:pPr>
      <w:r w:rsidRPr="003B2BD2">
        <w:rPr>
          <w:sz w:val="28"/>
          <w:szCs w:val="28"/>
        </w:rPr>
        <w:t>Purchase of 11 – 13 new buses (</w:t>
      </w:r>
      <w:r w:rsidR="00E54FB0">
        <w:rPr>
          <w:sz w:val="28"/>
          <w:szCs w:val="28"/>
        </w:rPr>
        <w:t>S</w:t>
      </w:r>
      <w:r w:rsidRPr="003B2BD2">
        <w:rPr>
          <w:sz w:val="28"/>
          <w:szCs w:val="28"/>
        </w:rPr>
        <w:t xml:space="preserve">tate of </w:t>
      </w:r>
      <w:r w:rsidR="00E54FB0">
        <w:rPr>
          <w:sz w:val="28"/>
          <w:szCs w:val="28"/>
        </w:rPr>
        <w:t>G</w:t>
      </w:r>
      <w:r w:rsidRPr="003B2BD2">
        <w:rPr>
          <w:sz w:val="28"/>
          <w:szCs w:val="28"/>
        </w:rPr>
        <w:t xml:space="preserve">ood </w:t>
      </w:r>
      <w:r w:rsidR="00E54FB0">
        <w:rPr>
          <w:sz w:val="28"/>
          <w:szCs w:val="28"/>
        </w:rPr>
        <w:t>R</w:t>
      </w:r>
      <w:r w:rsidRPr="003B2BD2">
        <w:rPr>
          <w:sz w:val="28"/>
          <w:szCs w:val="28"/>
        </w:rPr>
        <w:t>epair grant)</w:t>
      </w:r>
      <w:r w:rsidR="00F51431">
        <w:rPr>
          <w:sz w:val="28"/>
          <w:szCs w:val="28"/>
        </w:rPr>
        <w:t>;</w:t>
      </w:r>
    </w:p>
    <w:p w:rsidR="003B2BD2" w:rsidRPr="003B2BD2" w:rsidRDefault="003B2BD2" w:rsidP="00150F0E">
      <w:pPr>
        <w:numPr>
          <w:ilvl w:val="0"/>
          <w:numId w:val="14"/>
        </w:numPr>
        <w:autoSpaceDE w:val="0"/>
        <w:autoSpaceDN w:val="0"/>
        <w:adjustRightInd w:val="0"/>
        <w:spacing w:line="360" w:lineRule="auto"/>
        <w:rPr>
          <w:sz w:val="28"/>
          <w:szCs w:val="28"/>
        </w:rPr>
      </w:pPr>
      <w:r w:rsidRPr="003B2BD2">
        <w:rPr>
          <w:sz w:val="28"/>
          <w:szCs w:val="28"/>
        </w:rPr>
        <w:t>Installation of a new CNG tank at the Santa Cruz location</w:t>
      </w:r>
      <w:r w:rsidR="00F51431">
        <w:rPr>
          <w:sz w:val="28"/>
          <w:szCs w:val="28"/>
        </w:rPr>
        <w:t>;</w:t>
      </w:r>
    </w:p>
    <w:p w:rsidR="003B2BD2" w:rsidRDefault="003B2BD2" w:rsidP="00150F0E">
      <w:pPr>
        <w:numPr>
          <w:ilvl w:val="0"/>
          <w:numId w:val="14"/>
        </w:numPr>
        <w:autoSpaceDE w:val="0"/>
        <w:autoSpaceDN w:val="0"/>
        <w:adjustRightInd w:val="0"/>
        <w:spacing w:line="360" w:lineRule="auto"/>
        <w:rPr>
          <w:sz w:val="28"/>
          <w:szCs w:val="28"/>
        </w:rPr>
      </w:pPr>
      <w:r w:rsidRPr="003B2BD2">
        <w:rPr>
          <w:sz w:val="28"/>
          <w:szCs w:val="28"/>
        </w:rPr>
        <w:t>Design and implementation of the HASTUS scheduling system</w:t>
      </w:r>
      <w:r w:rsidR="00F51431">
        <w:rPr>
          <w:sz w:val="28"/>
          <w:szCs w:val="28"/>
        </w:rPr>
        <w:t>;</w:t>
      </w:r>
    </w:p>
    <w:p w:rsidR="00E54FB0" w:rsidRPr="003B2BD2" w:rsidRDefault="00E54FB0" w:rsidP="00150F0E">
      <w:pPr>
        <w:numPr>
          <w:ilvl w:val="0"/>
          <w:numId w:val="14"/>
        </w:numPr>
        <w:autoSpaceDE w:val="0"/>
        <w:autoSpaceDN w:val="0"/>
        <w:adjustRightInd w:val="0"/>
        <w:spacing w:line="360" w:lineRule="auto"/>
        <w:rPr>
          <w:sz w:val="28"/>
          <w:szCs w:val="28"/>
        </w:rPr>
      </w:pPr>
      <w:r>
        <w:rPr>
          <w:sz w:val="28"/>
          <w:szCs w:val="28"/>
        </w:rPr>
        <w:t>Upgrade of Radio system to meet FCC mandate</w:t>
      </w:r>
      <w:r w:rsidR="00F51431">
        <w:rPr>
          <w:sz w:val="28"/>
          <w:szCs w:val="28"/>
        </w:rPr>
        <w:t>.</w:t>
      </w:r>
    </w:p>
    <w:p w:rsidR="003C2C02" w:rsidRDefault="003C2C02">
      <w:pPr>
        <w:rPr>
          <w:sz w:val="28"/>
          <w:szCs w:val="28"/>
        </w:rPr>
      </w:pPr>
    </w:p>
    <w:p w:rsidR="00D0750E" w:rsidRDefault="00D0750E" w:rsidP="00D0750E">
      <w:pPr>
        <w:spacing w:line="360" w:lineRule="auto"/>
        <w:rPr>
          <w:sz w:val="28"/>
        </w:rPr>
      </w:pPr>
      <w:r>
        <w:rPr>
          <w:sz w:val="28"/>
        </w:rPr>
        <w:t xml:space="preserve">The following table represents a demographic profile of the </w:t>
      </w:r>
      <w:r w:rsidR="00E03477">
        <w:rPr>
          <w:sz w:val="28"/>
        </w:rPr>
        <w:t xml:space="preserve">METRO </w:t>
      </w:r>
      <w:r>
        <w:rPr>
          <w:sz w:val="28"/>
        </w:rPr>
        <w:t xml:space="preserve">Service Area </w:t>
      </w:r>
      <w:r w:rsidR="001E2593">
        <w:rPr>
          <w:sz w:val="28"/>
        </w:rPr>
        <w:t xml:space="preserve">as well as the demographic profile of Santa Cruz County </w:t>
      </w:r>
      <w:r>
        <w:rPr>
          <w:sz w:val="28"/>
        </w:rPr>
        <w:t xml:space="preserve">using data from the 2000 and the 2010 Census.  The table shows the 2000 and 2010 population by racial/ethnic group, the increase (or decrease) in population from 2000 to </w:t>
      </w:r>
      <w:proofErr w:type="gramStart"/>
      <w:r>
        <w:rPr>
          <w:sz w:val="28"/>
        </w:rPr>
        <w:t>2010,</w:t>
      </w:r>
      <w:proofErr w:type="gramEnd"/>
      <w:r>
        <w:rPr>
          <w:sz w:val="28"/>
        </w:rPr>
        <w:t xml:space="preserve"> and the percentage of the racial/ethnic group population to the total population in both 2000 and 2010.</w:t>
      </w:r>
    </w:p>
    <w:p w:rsidR="00D0750E" w:rsidRDefault="00D0750E" w:rsidP="00E84E61">
      <w:pPr>
        <w:rPr>
          <w:sz w:val="28"/>
        </w:rPr>
      </w:pPr>
    </w:p>
    <w:p w:rsidR="00D0750E" w:rsidRDefault="00D0750E" w:rsidP="00D0750E">
      <w:pPr>
        <w:spacing w:line="360" w:lineRule="auto"/>
        <w:rPr>
          <w:sz w:val="28"/>
        </w:rPr>
      </w:pPr>
      <w:r>
        <w:rPr>
          <w:sz w:val="28"/>
        </w:rPr>
        <w:t xml:space="preserve">From 2000 to 2010, the total population of the </w:t>
      </w:r>
      <w:r w:rsidR="005305BB">
        <w:rPr>
          <w:sz w:val="28"/>
        </w:rPr>
        <w:t>METRO</w:t>
      </w:r>
      <w:r>
        <w:rPr>
          <w:sz w:val="28"/>
        </w:rPr>
        <w:t xml:space="preserve"> Service Area increased 9.5 percent.  The White population increased 4.4 percent, while the Black population increased 13.9 percent, the Hispanic population increased 26 percent, the Asian population increased 43.7 percent, the American Indian/Alaskan Native</w:t>
      </w:r>
      <w:r w:rsidR="00ED36A4">
        <w:rPr>
          <w:sz w:val="28"/>
        </w:rPr>
        <w:t xml:space="preserve"> population</w:t>
      </w:r>
      <w:r>
        <w:rPr>
          <w:sz w:val="28"/>
        </w:rPr>
        <w:t xml:space="preserve"> decreased 11.6 percent, and the Native Haw</w:t>
      </w:r>
      <w:r w:rsidR="00ED36A4">
        <w:rPr>
          <w:sz w:val="28"/>
        </w:rPr>
        <w:t>aiian/</w:t>
      </w:r>
      <w:r>
        <w:rPr>
          <w:sz w:val="28"/>
        </w:rPr>
        <w:t>Pacific Islanders</w:t>
      </w:r>
      <w:r w:rsidR="00ED36A4">
        <w:rPr>
          <w:sz w:val="28"/>
        </w:rPr>
        <w:t xml:space="preserve"> population increased 6 percent</w:t>
      </w:r>
      <w:r>
        <w:rPr>
          <w:sz w:val="28"/>
        </w:rPr>
        <w:t>.</w:t>
      </w:r>
      <w:r w:rsidR="00ED36A4">
        <w:rPr>
          <w:sz w:val="28"/>
        </w:rPr>
        <w:t xml:space="preserve">  </w:t>
      </w:r>
      <w:r>
        <w:rPr>
          <w:sz w:val="28"/>
        </w:rPr>
        <w:t xml:space="preserve">In 2010, </w:t>
      </w:r>
      <w:r w:rsidR="00ED36A4">
        <w:rPr>
          <w:sz w:val="28"/>
        </w:rPr>
        <w:t>72.5</w:t>
      </w:r>
      <w:r>
        <w:rPr>
          <w:sz w:val="28"/>
        </w:rPr>
        <w:t xml:space="preserve"> percent of the total population was White (a </w:t>
      </w:r>
      <w:r>
        <w:rPr>
          <w:sz w:val="28"/>
        </w:rPr>
        <w:lastRenderedPageBreak/>
        <w:t xml:space="preserve">decrease of </w:t>
      </w:r>
      <w:r w:rsidR="00ED36A4">
        <w:rPr>
          <w:sz w:val="28"/>
        </w:rPr>
        <w:t>3</w:t>
      </w:r>
      <w:r>
        <w:rPr>
          <w:sz w:val="28"/>
        </w:rPr>
        <w:t xml:space="preserve">.1 percent from 2000), </w:t>
      </w:r>
      <w:r w:rsidR="00ED36A4">
        <w:rPr>
          <w:sz w:val="28"/>
        </w:rPr>
        <w:t>1.1</w:t>
      </w:r>
      <w:r>
        <w:rPr>
          <w:sz w:val="28"/>
        </w:rPr>
        <w:t xml:space="preserve"> percent was Black (a</w:t>
      </w:r>
      <w:r w:rsidR="00ED36A4">
        <w:rPr>
          <w:sz w:val="28"/>
        </w:rPr>
        <w:t xml:space="preserve"> negligible</w:t>
      </w:r>
      <w:r>
        <w:rPr>
          <w:sz w:val="28"/>
        </w:rPr>
        <w:t xml:space="preserve"> increase), </w:t>
      </w:r>
      <w:r w:rsidR="00ED36A4">
        <w:rPr>
          <w:sz w:val="28"/>
        </w:rPr>
        <w:t>32</w:t>
      </w:r>
      <w:r>
        <w:rPr>
          <w:sz w:val="28"/>
        </w:rPr>
        <w:t xml:space="preserve"> percent was Hispanic (an increase of </w:t>
      </w:r>
      <w:r w:rsidR="00ED36A4">
        <w:rPr>
          <w:sz w:val="28"/>
        </w:rPr>
        <w:t>5.</w:t>
      </w:r>
      <w:r w:rsidR="00A50753">
        <w:rPr>
          <w:sz w:val="28"/>
        </w:rPr>
        <w:t>3</w:t>
      </w:r>
      <w:r>
        <w:rPr>
          <w:sz w:val="28"/>
        </w:rPr>
        <w:t xml:space="preserve"> percent), </w:t>
      </w:r>
      <w:r w:rsidR="00ED36A4">
        <w:rPr>
          <w:sz w:val="28"/>
        </w:rPr>
        <w:t xml:space="preserve">4.2 </w:t>
      </w:r>
      <w:r>
        <w:rPr>
          <w:sz w:val="28"/>
        </w:rPr>
        <w:t xml:space="preserve">percent was Asian (an increase of </w:t>
      </w:r>
      <w:r w:rsidR="00ED36A4">
        <w:rPr>
          <w:sz w:val="28"/>
        </w:rPr>
        <w:t>1.3</w:t>
      </w:r>
      <w:r>
        <w:rPr>
          <w:sz w:val="28"/>
        </w:rPr>
        <w:t xml:space="preserve"> percent), 0.</w:t>
      </w:r>
      <w:r w:rsidR="00ED36A4">
        <w:rPr>
          <w:sz w:val="28"/>
        </w:rPr>
        <w:t>9</w:t>
      </w:r>
      <w:r>
        <w:rPr>
          <w:sz w:val="28"/>
        </w:rPr>
        <w:t xml:space="preserve"> percent was American Indian/Alaskan Nativ</w:t>
      </w:r>
      <w:r w:rsidR="00ED36A4">
        <w:rPr>
          <w:sz w:val="28"/>
        </w:rPr>
        <w:t>e (a decrease of 0.2 percent), and 0.1</w:t>
      </w:r>
      <w:r w:rsidR="00ED36A4" w:rsidRPr="00ED36A4">
        <w:rPr>
          <w:sz w:val="28"/>
        </w:rPr>
        <w:t xml:space="preserve"> percent was </w:t>
      </w:r>
      <w:r w:rsidR="00ED36A4">
        <w:rPr>
          <w:sz w:val="28"/>
        </w:rPr>
        <w:t>Native Hawaiian/</w:t>
      </w:r>
      <w:r w:rsidR="00ED36A4" w:rsidRPr="00ED36A4">
        <w:rPr>
          <w:sz w:val="28"/>
        </w:rPr>
        <w:t>Pacific Islander (a negligible increase)</w:t>
      </w:r>
      <w:r w:rsidR="00ED36A4">
        <w:rPr>
          <w:sz w:val="28"/>
        </w:rPr>
        <w:t>.</w:t>
      </w:r>
    </w:p>
    <w:p w:rsidR="005305BB" w:rsidRDefault="005305BB" w:rsidP="005305BB">
      <w:pPr>
        <w:spacing w:line="360" w:lineRule="auto"/>
        <w:rPr>
          <w:sz w:val="28"/>
        </w:rPr>
      </w:pPr>
    </w:p>
    <w:p w:rsidR="005305BB" w:rsidRPr="00BC0682" w:rsidRDefault="005305BB" w:rsidP="005305BB">
      <w:pPr>
        <w:spacing w:line="360" w:lineRule="auto"/>
        <w:rPr>
          <w:sz w:val="28"/>
        </w:rPr>
      </w:pPr>
      <w:r w:rsidRPr="00BC0682">
        <w:rPr>
          <w:sz w:val="28"/>
        </w:rPr>
        <w:t xml:space="preserve">According to the 2000 Census, </w:t>
      </w:r>
      <w:r>
        <w:rPr>
          <w:sz w:val="28"/>
        </w:rPr>
        <w:t>9.3</w:t>
      </w:r>
      <w:r w:rsidRPr="00BC0682">
        <w:rPr>
          <w:sz w:val="28"/>
        </w:rPr>
        <w:t xml:space="preserve"> percent of the population had income below the poverty level and </w:t>
      </w:r>
      <w:r w:rsidRPr="00404F2C">
        <w:rPr>
          <w:bCs/>
          <w:sz w:val="28"/>
        </w:rPr>
        <w:t>303,729</w:t>
      </w:r>
      <w:r>
        <w:rPr>
          <w:bCs/>
          <w:sz w:val="28"/>
        </w:rPr>
        <w:t xml:space="preserve"> </w:t>
      </w:r>
      <w:r w:rsidRPr="00BC0682">
        <w:rPr>
          <w:sz w:val="28"/>
        </w:rPr>
        <w:t>persons (</w:t>
      </w:r>
      <w:r>
        <w:rPr>
          <w:sz w:val="28"/>
        </w:rPr>
        <w:t>4.6</w:t>
      </w:r>
      <w:r w:rsidRPr="00BC0682">
        <w:rPr>
          <w:sz w:val="28"/>
        </w:rPr>
        <w:t xml:space="preserve"> percent) of the population had Limited English Proficiency (LEP), as shown on </w:t>
      </w:r>
      <w:r>
        <w:rPr>
          <w:sz w:val="28"/>
        </w:rPr>
        <w:t xml:space="preserve">the </w:t>
      </w:r>
      <w:r w:rsidRPr="00BC0682">
        <w:rPr>
          <w:sz w:val="28"/>
        </w:rPr>
        <w:t xml:space="preserve">Table </w:t>
      </w:r>
      <w:r>
        <w:rPr>
          <w:sz w:val="28"/>
        </w:rPr>
        <w:t>below</w:t>
      </w:r>
      <w:r w:rsidRPr="00BC0682">
        <w:rPr>
          <w:sz w:val="28"/>
        </w:rPr>
        <w:t>.</w:t>
      </w:r>
    </w:p>
    <w:p w:rsidR="000E748D" w:rsidRDefault="000E748D" w:rsidP="00E84E61">
      <w:pPr>
        <w:pStyle w:val="BodyText"/>
        <w:spacing w:line="360" w:lineRule="auto"/>
        <w:jc w:val="center"/>
        <w:rPr>
          <w:b/>
          <w:sz w:val="28"/>
          <w:szCs w:val="28"/>
        </w:rPr>
      </w:pPr>
    </w:p>
    <w:p w:rsidR="000E748D" w:rsidRDefault="000E748D">
      <w:pPr>
        <w:rPr>
          <w:b/>
          <w:sz w:val="28"/>
          <w:szCs w:val="28"/>
        </w:rPr>
      </w:pPr>
      <w:r>
        <w:rPr>
          <w:b/>
          <w:sz w:val="28"/>
          <w:szCs w:val="28"/>
        </w:rPr>
        <w:br w:type="page"/>
      </w:r>
    </w:p>
    <w:p w:rsidR="00905C65" w:rsidRPr="006C5361" w:rsidRDefault="00905C65" w:rsidP="00E84E61">
      <w:pPr>
        <w:pStyle w:val="BodyText"/>
        <w:spacing w:line="360" w:lineRule="auto"/>
        <w:jc w:val="center"/>
        <w:rPr>
          <w:b/>
          <w:sz w:val="28"/>
          <w:szCs w:val="28"/>
        </w:rPr>
      </w:pPr>
      <w:r w:rsidRPr="006C5361">
        <w:rPr>
          <w:b/>
          <w:sz w:val="28"/>
          <w:szCs w:val="28"/>
        </w:rPr>
        <w:lastRenderedPageBreak/>
        <w:t xml:space="preserve">Table 1 – Demographics of the </w:t>
      </w:r>
      <w:r w:rsidR="00492858" w:rsidRPr="006C5361">
        <w:rPr>
          <w:b/>
          <w:sz w:val="28"/>
          <w:szCs w:val="28"/>
        </w:rPr>
        <w:t>Santa Cruz</w:t>
      </w:r>
      <w:r w:rsidRPr="006C5361">
        <w:rPr>
          <w:b/>
          <w:sz w:val="28"/>
          <w:szCs w:val="28"/>
        </w:rPr>
        <w:t xml:space="preserve"> </w:t>
      </w:r>
      <w:r w:rsidR="00C11AF4">
        <w:rPr>
          <w:b/>
          <w:sz w:val="28"/>
          <w:szCs w:val="28"/>
        </w:rPr>
        <w:t xml:space="preserve">Metro Service </w:t>
      </w:r>
      <w:r w:rsidRPr="006C5361">
        <w:rPr>
          <w:b/>
          <w:sz w:val="28"/>
          <w:szCs w:val="28"/>
        </w:rPr>
        <w:t>Area</w:t>
      </w:r>
      <w:r w:rsidR="005A5B15" w:rsidRPr="005A5B15">
        <w:rPr>
          <w:b/>
          <w:sz w:val="28"/>
          <w:szCs w:val="28"/>
          <w:vertAlign w:val="superscript"/>
        </w:rPr>
        <w:footnoteReference w:id="1"/>
      </w:r>
    </w:p>
    <w:p w:rsidR="00905C65" w:rsidRPr="006C5361" w:rsidRDefault="00905C65" w:rsidP="00905C65">
      <w:pPr>
        <w:jc w:val="center"/>
        <w:rPr>
          <w:b/>
          <w:sz w:val="28"/>
          <w:szCs w:val="28"/>
        </w:rPr>
      </w:pPr>
      <w:r w:rsidRPr="006C5361">
        <w:rPr>
          <w:b/>
          <w:sz w:val="28"/>
          <w:szCs w:val="28"/>
        </w:rPr>
        <w:t xml:space="preserve">Racial/ Ethnic Breakdown </w:t>
      </w:r>
    </w:p>
    <w:p w:rsidR="00ED3B33" w:rsidRPr="00905C65" w:rsidRDefault="00ED3B33" w:rsidP="00905C65">
      <w:pPr>
        <w:rPr>
          <w:b/>
          <w:sz w:val="28"/>
          <w:szCs w:val="28"/>
          <w:highlight w:val="yellow"/>
        </w:rPr>
      </w:pPr>
    </w:p>
    <w:p w:rsidR="00905C65" w:rsidRPr="006C5361" w:rsidRDefault="00905C65" w:rsidP="00905C65">
      <w:pPr>
        <w:jc w:val="center"/>
        <w:rPr>
          <w:bCs/>
          <w:sz w:val="28"/>
          <w:szCs w:val="28"/>
        </w:rPr>
      </w:pPr>
      <w:r w:rsidRPr="006C5361">
        <w:rPr>
          <w:bCs/>
          <w:sz w:val="28"/>
          <w:szCs w:val="28"/>
        </w:rPr>
        <w:t>Source: 2000 and 2010 U.S. Census</w:t>
      </w:r>
    </w:p>
    <w:tbl>
      <w:tblPr>
        <w:tblW w:w="11658" w:type="dxa"/>
        <w:jc w:val="center"/>
        <w:tblInd w:w="-3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4"/>
        <w:gridCol w:w="990"/>
        <w:gridCol w:w="810"/>
        <w:gridCol w:w="990"/>
        <w:gridCol w:w="810"/>
        <w:gridCol w:w="1041"/>
        <w:gridCol w:w="786"/>
        <w:gridCol w:w="990"/>
        <w:gridCol w:w="810"/>
        <w:gridCol w:w="944"/>
        <w:gridCol w:w="874"/>
        <w:gridCol w:w="969"/>
      </w:tblGrid>
      <w:tr w:rsidR="00C126C1" w:rsidRPr="00C7727C" w:rsidTr="00914E76">
        <w:trPr>
          <w:jc w:val="center"/>
        </w:trPr>
        <w:tc>
          <w:tcPr>
            <w:tcW w:w="1644" w:type="dxa"/>
            <w:vMerge w:val="restart"/>
          </w:tcPr>
          <w:p w:rsidR="00C126C1" w:rsidRPr="006C5361" w:rsidRDefault="00C126C1" w:rsidP="00914E76">
            <w:pPr>
              <w:rPr>
                <w:b/>
                <w:bCs/>
                <w:sz w:val="22"/>
                <w:szCs w:val="22"/>
              </w:rPr>
            </w:pPr>
            <w:r w:rsidRPr="006C5361">
              <w:rPr>
                <w:b/>
                <w:bCs/>
                <w:sz w:val="22"/>
                <w:szCs w:val="22"/>
              </w:rPr>
              <w:t>Racial/ Ethnic Group</w:t>
            </w:r>
          </w:p>
        </w:tc>
        <w:tc>
          <w:tcPr>
            <w:tcW w:w="1800" w:type="dxa"/>
            <w:gridSpan w:val="2"/>
          </w:tcPr>
          <w:p w:rsidR="00C126C1" w:rsidRPr="006C5361" w:rsidRDefault="00C126C1" w:rsidP="00914E76">
            <w:pPr>
              <w:jc w:val="center"/>
              <w:rPr>
                <w:b/>
                <w:sz w:val="22"/>
                <w:szCs w:val="22"/>
              </w:rPr>
            </w:pPr>
            <w:r w:rsidRPr="006C5361">
              <w:rPr>
                <w:b/>
                <w:sz w:val="22"/>
                <w:szCs w:val="22"/>
              </w:rPr>
              <w:t>METRO’s Service Area</w:t>
            </w:r>
          </w:p>
          <w:p w:rsidR="00C126C1" w:rsidRPr="006C5361" w:rsidRDefault="00C126C1" w:rsidP="00914E76">
            <w:pPr>
              <w:jc w:val="center"/>
              <w:rPr>
                <w:b/>
                <w:sz w:val="22"/>
                <w:szCs w:val="22"/>
              </w:rPr>
            </w:pPr>
            <w:r w:rsidRPr="006C5361">
              <w:rPr>
                <w:b/>
                <w:sz w:val="22"/>
                <w:szCs w:val="22"/>
              </w:rPr>
              <w:t>2000</w:t>
            </w:r>
          </w:p>
        </w:tc>
        <w:tc>
          <w:tcPr>
            <w:tcW w:w="1800" w:type="dxa"/>
            <w:gridSpan w:val="2"/>
          </w:tcPr>
          <w:p w:rsidR="00C126C1" w:rsidRPr="006C5361" w:rsidRDefault="00C126C1" w:rsidP="00914E76">
            <w:pPr>
              <w:jc w:val="center"/>
              <w:rPr>
                <w:b/>
                <w:sz w:val="22"/>
                <w:szCs w:val="22"/>
              </w:rPr>
            </w:pPr>
            <w:r w:rsidRPr="006C5361">
              <w:rPr>
                <w:b/>
                <w:sz w:val="22"/>
                <w:szCs w:val="22"/>
              </w:rPr>
              <w:t>Santa Cruz County</w:t>
            </w:r>
          </w:p>
          <w:p w:rsidR="00C126C1" w:rsidRPr="006C5361" w:rsidRDefault="00C126C1" w:rsidP="00914E76">
            <w:pPr>
              <w:jc w:val="center"/>
              <w:rPr>
                <w:b/>
                <w:sz w:val="22"/>
                <w:szCs w:val="22"/>
              </w:rPr>
            </w:pPr>
            <w:r w:rsidRPr="006C5361">
              <w:rPr>
                <w:b/>
                <w:sz w:val="22"/>
                <w:szCs w:val="22"/>
              </w:rPr>
              <w:t>2000</w:t>
            </w:r>
          </w:p>
        </w:tc>
        <w:tc>
          <w:tcPr>
            <w:tcW w:w="1827" w:type="dxa"/>
            <w:gridSpan w:val="2"/>
          </w:tcPr>
          <w:p w:rsidR="00C126C1" w:rsidRPr="006C5361" w:rsidRDefault="00C126C1" w:rsidP="00914E76">
            <w:pPr>
              <w:jc w:val="center"/>
              <w:rPr>
                <w:b/>
                <w:sz w:val="22"/>
                <w:szCs w:val="22"/>
              </w:rPr>
            </w:pPr>
            <w:r w:rsidRPr="006C5361">
              <w:rPr>
                <w:b/>
                <w:sz w:val="22"/>
                <w:szCs w:val="22"/>
              </w:rPr>
              <w:t>METRO’s Service Area</w:t>
            </w:r>
          </w:p>
          <w:p w:rsidR="00C126C1" w:rsidRPr="006C5361" w:rsidRDefault="00C126C1" w:rsidP="00914E76">
            <w:pPr>
              <w:jc w:val="center"/>
              <w:rPr>
                <w:b/>
                <w:sz w:val="22"/>
                <w:szCs w:val="22"/>
              </w:rPr>
            </w:pPr>
            <w:r w:rsidRPr="006C5361">
              <w:rPr>
                <w:b/>
                <w:sz w:val="22"/>
                <w:szCs w:val="22"/>
              </w:rPr>
              <w:t>2010</w:t>
            </w:r>
          </w:p>
        </w:tc>
        <w:tc>
          <w:tcPr>
            <w:tcW w:w="1800" w:type="dxa"/>
            <w:gridSpan w:val="2"/>
          </w:tcPr>
          <w:p w:rsidR="00C126C1" w:rsidRPr="006C5361" w:rsidRDefault="00C126C1" w:rsidP="00914E76">
            <w:pPr>
              <w:jc w:val="center"/>
              <w:rPr>
                <w:b/>
                <w:sz w:val="22"/>
                <w:szCs w:val="22"/>
              </w:rPr>
            </w:pPr>
            <w:r w:rsidRPr="006C5361">
              <w:rPr>
                <w:b/>
                <w:sz w:val="22"/>
                <w:szCs w:val="22"/>
              </w:rPr>
              <w:t>Santa Cruz County</w:t>
            </w:r>
          </w:p>
          <w:p w:rsidR="00C126C1" w:rsidRPr="006C5361" w:rsidRDefault="00C126C1" w:rsidP="00914E76">
            <w:pPr>
              <w:jc w:val="center"/>
              <w:rPr>
                <w:b/>
                <w:sz w:val="22"/>
                <w:szCs w:val="22"/>
              </w:rPr>
            </w:pPr>
            <w:r w:rsidRPr="006C5361">
              <w:rPr>
                <w:b/>
                <w:sz w:val="22"/>
                <w:szCs w:val="22"/>
              </w:rPr>
              <w:t>2010</w:t>
            </w:r>
          </w:p>
        </w:tc>
        <w:tc>
          <w:tcPr>
            <w:tcW w:w="2787" w:type="dxa"/>
            <w:gridSpan w:val="3"/>
          </w:tcPr>
          <w:p w:rsidR="00C126C1" w:rsidRPr="006C5361" w:rsidRDefault="00C126C1" w:rsidP="00914E76">
            <w:pPr>
              <w:jc w:val="center"/>
              <w:rPr>
                <w:b/>
                <w:sz w:val="22"/>
                <w:szCs w:val="22"/>
              </w:rPr>
            </w:pPr>
            <w:r w:rsidRPr="006C5361">
              <w:rPr>
                <w:b/>
                <w:sz w:val="22"/>
                <w:szCs w:val="22"/>
              </w:rPr>
              <w:t>Change in METRO’s Service Area</w:t>
            </w:r>
          </w:p>
        </w:tc>
      </w:tr>
      <w:tr w:rsidR="00C126C1" w:rsidRPr="00905C65" w:rsidTr="00914E76">
        <w:trPr>
          <w:jc w:val="center"/>
        </w:trPr>
        <w:tc>
          <w:tcPr>
            <w:tcW w:w="1644" w:type="dxa"/>
            <w:vMerge/>
          </w:tcPr>
          <w:p w:rsidR="00C126C1" w:rsidRPr="006C5361" w:rsidRDefault="00C126C1" w:rsidP="00914E76">
            <w:pPr>
              <w:rPr>
                <w:sz w:val="22"/>
                <w:szCs w:val="22"/>
              </w:rPr>
            </w:pPr>
          </w:p>
        </w:tc>
        <w:tc>
          <w:tcPr>
            <w:tcW w:w="990" w:type="dxa"/>
          </w:tcPr>
          <w:p w:rsidR="00C126C1" w:rsidRPr="006C5361" w:rsidRDefault="00C126C1" w:rsidP="00914E76">
            <w:pPr>
              <w:rPr>
                <w:b/>
              </w:rPr>
            </w:pPr>
            <w:r w:rsidRPr="006C5361">
              <w:rPr>
                <w:b/>
              </w:rPr>
              <w:t>Number</w:t>
            </w:r>
          </w:p>
        </w:tc>
        <w:tc>
          <w:tcPr>
            <w:tcW w:w="810" w:type="dxa"/>
          </w:tcPr>
          <w:p w:rsidR="00C126C1" w:rsidRPr="006C5361" w:rsidRDefault="00C126C1" w:rsidP="00914E76">
            <w:pPr>
              <w:jc w:val="center"/>
              <w:rPr>
                <w:b/>
                <w:sz w:val="22"/>
                <w:szCs w:val="22"/>
              </w:rPr>
            </w:pPr>
            <w:r w:rsidRPr="006C5361">
              <w:rPr>
                <w:b/>
                <w:sz w:val="22"/>
                <w:szCs w:val="22"/>
              </w:rPr>
              <w:t>%</w:t>
            </w:r>
          </w:p>
        </w:tc>
        <w:tc>
          <w:tcPr>
            <w:tcW w:w="990" w:type="dxa"/>
          </w:tcPr>
          <w:p w:rsidR="00C126C1" w:rsidRPr="006C5361" w:rsidRDefault="00C126C1" w:rsidP="00914E76">
            <w:pPr>
              <w:jc w:val="center"/>
              <w:rPr>
                <w:b/>
                <w:bCs/>
              </w:rPr>
            </w:pPr>
            <w:r w:rsidRPr="006C5361">
              <w:rPr>
                <w:b/>
                <w:bCs/>
              </w:rPr>
              <w:t>Number</w:t>
            </w:r>
          </w:p>
        </w:tc>
        <w:tc>
          <w:tcPr>
            <w:tcW w:w="810" w:type="dxa"/>
          </w:tcPr>
          <w:p w:rsidR="00C126C1" w:rsidRPr="006C5361" w:rsidRDefault="00C126C1" w:rsidP="00914E76">
            <w:pPr>
              <w:jc w:val="center"/>
              <w:rPr>
                <w:b/>
                <w:bCs/>
                <w:sz w:val="22"/>
                <w:szCs w:val="22"/>
              </w:rPr>
            </w:pPr>
            <w:r w:rsidRPr="006C5361">
              <w:rPr>
                <w:b/>
                <w:bCs/>
                <w:sz w:val="22"/>
                <w:szCs w:val="22"/>
              </w:rPr>
              <w:t>%</w:t>
            </w:r>
          </w:p>
        </w:tc>
        <w:tc>
          <w:tcPr>
            <w:tcW w:w="1041" w:type="dxa"/>
          </w:tcPr>
          <w:p w:rsidR="00C126C1" w:rsidRPr="006C5361" w:rsidRDefault="00C126C1" w:rsidP="00914E76">
            <w:pPr>
              <w:rPr>
                <w:b/>
              </w:rPr>
            </w:pPr>
            <w:r w:rsidRPr="006C5361">
              <w:rPr>
                <w:b/>
              </w:rPr>
              <w:t>Number</w:t>
            </w:r>
          </w:p>
        </w:tc>
        <w:tc>
          <w:tcPr>
            <w:tcW w:w="786" w:type="dxa"/>
          </w:tcPr>
          <w:p w:rsidR="00C126C1" w:rsidRPr="006C5361" w:rsidRDefault="00C126C1" w:rsidP="00914E76">
            <w:pPr>
              <w:jc w:val="center"/>
              <w:rPr>
                <w:b/>
                <w:sz w:val="22"/>
                <w:szCs w:val="22"/>
              </w:rPr>
            </w:pPr>
            <w:r w:rsidRPr="006C5361">
              <w:rPr>
                <w:b/>
                <w:sz w:val="22"/>
                <w:szCs w:val="22"/>
              </w:rPr>
              <w:t>%</w:t>
            </w:r>
          </w:p>
        </w:tc>
        <w:tc>
          <w:tcPr>
            <w:tcW w:w="990" w:type="dxa"/>
          </w:tcPr>
          <w:p w:rsidR="00C126C1" w:rsidRPr="006C5361" w:rsidRDefault="00C126C1" w:rsidP="00914E76">
            <w:pPr>
              <w:jc w:val="center"/>
              <w:rPr>
                <w:b/>
                <w:bCs/>
              </w:rPr>
            </w:pPr>
            <w:r w:rsidRPr="006C5361">
              <w:rPr>
                <w:b/>
                <w:bCs/>
              </w:rPr>
              <w:t>Number</w:t>
            </w:r>
          </w:p>
        </w:tc>
        <w:tc>
          <w:tcPr>
            <w:tcW w:w="810" w:type="dxa"/>
          </w:tcPr>
          <w:p w:rsidR="00C126C1" w:rsidRPr="006C5361" w:rsidRDefault="00C126C1" w:rsidP="00914E76">
            <w:pPr>
              <w:jc w:val="center"/>
              <w:rPr>
                <w:b/>
                <w:bCs/>
                <w:sz w:val="22"/>
                <w:szCs w:val="22"/>
              </w:rPr>
            </w:pPr>
            <w:r w:rsidRPr="006C5361">
              <w:rPr>
                <w:b/>
                <w:bCs/>
                <w:sz w:val="22"/>
                <w:szCs w:val="22"/>
              </w:rPr>
              <w:t>%</w:t>
            </w:r>
          </w:p>
        </w:tc>
        <w:tc>
          <w:tcPr>
            <w:tcW w:w="944" w:type="dxa"/>
          </w:tcPr>
          <w:p w:rsidR="00C126C1" w:rsidRPr="006C5361" w:rsidRDefault="00C126C1" w:rsidP="00914E76">
            <w:pPr>
              <w:rPr>
                <w:b/>
                <w:bCs/>
              </w:rPr>
            </w:pPr>
            <w:r w:rsidRPr="006C5361">
              <w:rPr>
                <w:b/>
                <w:bCs/>
              </w:rPr>
              <w:t>Number</w:t>
            </w:r>
          </w:p>
        </w:tc>
        <w:tc>
          <w:tcPr>
            <w:tcW w:w="874" w:type="dxa"/>
          </w:tcPr>
          <w:p w:rsidR="00C126C1" w:rsidRPr="00EC3DAB" w:rsidRDefault="00C126C1" w:rsidP="00914E76">
            <w:pPr>
              <w:jc w:val="center"/>
              <w:rPr>
                <w:b/>
              </w:rPr>
            </w:pPr>
            <w:r>
              <w:rPr>
                <w:b/>
              </w:rPr>
              <w:t>%</w:t>
            </w:r>
            <w:r w:rsidRPr="00EC3DAB">
              <w:rPr>
                <w:b/>
              </w:rPr>
              <w:t xml:space="preserve"> change ethnic group</w:t>
            </w:r>
          </w:p>
        </w:tc>
        <w:tc>
          <w:tcPr>
            <w:tcW w:w="969" w:type="dxa"/>
          </w:tcPr>
          <w:p w:rsidR="00C126C1" w:rsidRPr="00EC3DAB" w:rsidRDefault="00C126C1" w:rsidP="00914E76">
            <w:pPr>
              <w:jc w:val="center"/>
              <w:rPr>
                <w:b/>
              </w:rPr>
            </w:pPr>
            <w:r>
              <w:rPr>
                <w:b/>
              </w:rPr>
              <w:t>%</w:t>
            </w:r>
            <w:r w:rsidRPr="00EC3DAB">
              <w:rPr>
                <w:b/>
              </w:rPr>
              <w:t xml:space="preserve"> change total </w:t>
            </w:r>
            <w:r>
              <w:rPr>
                <w:b/>
              </w:rPr>
              <w:t>pop</w:t>
            </w:r>
          </w:p>
        </w:tc>
      </w:tr>
      <w:tr w:rsidR="00E97520" w:rsidRPr="00905C65" w:rsidTr="00E84E61">
        <w:trPr>
          <w:jc w:val="center"/>
        </w:trPr>
        <w:tc>
          <w:tcPr>
            <w:tcW w:w="1644" w:type="dxa"/>
            <w:vAlign w:val="bottom"/>
          </w:tcPr>
          <w:p w:rsidR="00E97520" w:rsidRPr="00454C11" w:rsidRDefault="00E97520" w:rsidP="00914E76">
            <w:pPr>
              <w:rPr>
                <w:sz w:val="22"/>
                <w:szCs w:val="22"/>
                <w:highlight w:val="yellow"/>
              </w:rPr>
            </w:pPr>
            <w:r w:rsidRPr="006C5361">
              <w:rPr>
                <w:color w:val="000000"/>
                <w:sz w:val="22"/>
                <w:szCs w:val="22"/>
              </w:rPr>
              <w:t>White</w:t>
            </w:r>
          </w:p>
        </w:tc>
        <w:tc>
          <w:tcPr>
            <w:tcW w:w="990" w:type="dxa"/>
            <w:vAlign w:val="bottom"/>
          </w:tcPr>
          <w:p w:rsidR="00E97520" w:rsidRPr="00B6099E" w:rsidRDefault="006D085C" w:rsidP="00F526AF">
            <w:pPr>
              <w:jc w:val="right"/>
              <w:rPr>
                <w:color w:val="000000"/>
                <w:sz w:val="22"/>
                <w:szCs w:val="22"/>
              </w:rPr>
            </w:pPr>
            <w:r>
              <w:rPr>
                <w:color w:val="000000"/>
                <w:sz w:val="22"/>
                <w:szCs w:val="22"/>
              </w:rPr>
              <w:t>81,4</w:t>
            </w:r>
            <w:r w:rsidR="008D14A1">
              <w:rPr>
                <w:color w:val="000000"/>
                <w:sz w:val="22"/>
                <w:szCs w:val="22"/>
              </w:rPr>
              <w:t>1</w:t>
            </w:r>
            <w:r>
              <w:rPr>
                <w:color w:val="000000"/>
                <w:sz w:val="22"/>
                <w:szCs w:val="22"/>
              </w:rPr>
              <w:t>5</w:t>
            </w:r>
          </w:p>
        </w:tc>
        <w:tc>
          <w:tcPr>
            <w:tcW w:w="810" w:type="dxa"/>
            <w:vAlign w:val="bottom"/>
          </w:tcPr>
          <w:p w:rsidR="00E97520" w:rsidRPr="00B6099E" w:rsidRDefault="006D085C" w:rsidP="00914E76">
            <w:pPr>
              <w:jc w:val="right"/>
              <w:rPr>
                <w:color w:val="000000"/>
                <w:sz w:val="22"/>
                <w:szCs w:val="22"/>
              </w:rPr>
            </w:pPr>
            <w:r>
              <w:rPr>
                <w:color w:val="000000"/>
                <w:sz w:val="22"/>
                <w:szCs w:val="22"/>
              </w:rPr>
              <w:t>67.2</w:t>
            </w:r>
            <w:r w:rsidR="00E97520" w:rsidRPr="00B6099E">
              <w:rPr>
                <w:color w:val="000000"/>
                <w:sz w:val="22"/>
                <w:szCs w:val="22"/>
              </w:rPr>
              <w:t>%</w:t>
            </w:r>
          </w:p>
        </w:tc>
        <w:tc>
          <w:tcPr>
            <w:tcW w:w="990" w:type="dxa"/>
            <w:vAlign w:val="bottom"/>
          </w:tcPr>
          <w:p w:rsidR="00E97520" w:rsidRPr="00B6099E" w:rsidRDefault="00E97520" w:rsidP="00914E76">
            <w:pPr>
              <w:jc w:val="right"/>
              <w:rPr>
                <w:color w:val="000000"/>
                <w:sz w:val="22"/>
                <w:szCs w:val="22"/>
              </w:rPr>
            </w:pPr>
            <w:r w:rsidRPr="00B6099E">
              <w:rPr>
                <w:color w:val="000000"/>
                <w:sz w:val="22"/>
                <w:szCs w:val="22"/>
              </w:rPr>
              <w:t>191,931</w:t>
            </w:r>
          </w:p>
        </w:tc>
        <w:tc>
          <w:tcPr>
            <w:tcW w:w="810" w:type="dxa"/>
            <w:vAlign w:val="bottom"/>
          </w:tcPr>
          <w:p w:rsidR="00E97520" w:rsidRPr="00B6099E" w:rsidRDefault="00E97520" w:rsidP="00914E76">
            <w:pPr>
              <w:jc w:val="right"/>
              <w:rPr>
                <w:color w:val="000000"/>
                <w:sz w:val="22"/>
                <w:szCs w:val="22"/>
              </w:rPr>
            </w:pPr>
            <w:r w:rsidRPr="00B6099E">
              <w:rPr>
                <w:color w:val="000000"/>
                <w:sz w:val="22"/>
                <w:szCs w:val="22"/>
              </w:rPr>
              <w:t>75.1%</w:t>
            </w:r>
          </w:p>
        </w:tc>
        <w:tc>
          <w:tcPr>
            <w:tcW w:w="1041" w:type="dxa"/>
            <w:vAlign w:val="bottom"/>
          </w:tcPr>
          <w:p w:rsidR="00E97520" w:rsidRPr="00B6099E" w:rsidRDefault="00E97520" w:rsidP="00914E76">
            <w:pPr>
              <w:jc w:val="right"/>
              <w:rPr>
                <w:color w:val="000000"/>
                <w:sz w:val="22"/>
                <w:szCs w:val="22"/>
              </w:rPr>
            </w:pPr>
            <w:r w:rsidRPr="00B6099E">
              <w:rPr>
                <w:color w:val="000000"/>
                <w:sz w:val="22"/>
                <w:szCs w:val="22"/>
              </w:rPr>
              <w:t>84,981</w:t>
            </w:r>
          </w:p>
        </w:tc>
        <w:tc>
          <w:tcPr>
            <w:tcW w:w="786" w:type="dxa"/>
            <w:vAlign w:val="bottom"/>
          </w:tcPr>
          <w:p w:rsidR="00E97520" w:rsidRPr="00B6099E" w:rsidRDefault="00E97520" w:rsidP="00914E76">
            <w:pPr>
              <w:jc w:val="right"/>
              <w:rPr>
                <w:color w:val="000000"/>
                <w:sz w:val="22"/>
                <w:szCs w:val="22"/>
              </w:rPr>
            </w:pPr>
            <w:r w:rsidRPr="00B6099E">
              <w:rPr>
                <w:color w:val="000000"/>
                <w:sz w:val="22"/>
                <w:szCs w:val="22"/>
              </w:rPr>
              <w:t>64.1%</w:t>
            </w:r>
          </w:p>
        </w:tc>
        <w:tc>
          <w:tcPr>
            <w:tcW w:w="990" w:type="dxa"/>
            <w:vAlign w:val="bottom"/>
          </w:tcPr>
          <w:p w:rsidR="00E97520" w:rsidRPr="00B6099E" w:rsidRDefault="00E97520" w:rsidP="00914E76">
            <w:pPr>
              <w:jc w:val="right"/>
              <w:rPr>
                <w:color w:val="000000"/>
                <w:sz w:val="22"/>
                <w:szCs w:val="22"/>
              </w:rPr>
            </w:pPr>
            <w:r w:rsidRPr="00B6099E">
              <w:rPr>
                <w:color w:val="000000"/>
                <w:sz w:val="22"/>
                <w:szCs w:val="22"/>
              </w:rPr>
              <w:t>190,208</w:t>
            </w:r>
          </w:p>
        </w:tc>
        <w:tc>
          <w:tcPr>
            <w:tcW w:w="810" w:type="dxa"/>
            <w:vAlign w:val="bottom"/>
          </w:tcPr>
          <w:p w:rsidR="00E97520" w:rsidRPr="00B6099E" w:rsidRDefault="00E97520" w:rsidP="00914E76">
            <w:pPr>
              <w:jc w:val="right"/>
              <w:rPr>
                <w:color w:val="000000"/>
                <w:sz w:val="22"/>
                <w:szCs w:val="22"/>
              </w:rPr>
            </w:pPr>
            <w:r w:rsidRPr="00B6099E">
              <w:rPr>
                <w:color w:val="000000"/>
                <w:sz w:val="22"/>
                <w:szCs w:val="22"/>
              </w:rPr>
              <w:t>72.5%</w:t>
            </w:r>
          </w:p>
        </w:tc>
        <w:tc>
          <w:tcPr>
            <w:tcW w:w="944" w:type="dxa"/>
            <w:vAlign w:val="bottom"/>
          </w:tcPr>
          <w:p w:rsidR="00E97520" w:rsidRPr="00E97520" w:rsidRDefault="008D14A1" w:rsidP="00914E76">
            <w:pPr>
              <w:jc w:val="right"/>
              <w:rPr>
                <w:color w:val="000000"/>
                <w:sz w:val="22"/>
                <w:szCs w:val="22"/>
              </w:rPr>
            </w:pPr>
            <w:r>
              <w:rPr>
                <w:color w:val="000000"/>
                <w:sz w:val="22"/>
                <w:szCs w:val="22"/>
              </w:rPr>
              <w:t>3,566</w:t>
            </w:r>
          </w:p>
        </w:tc>
        <w:tc>
          <w:tcPr>
            <w:tcW w:w="874" w:type="dxa"/>
            <w:vAlign w:val="bottom"/>
          </w:tcPr>
          <w:p w:rsidR="00E97520" w:rsidRPr="00E97520" w:rsidRDefault="008D14A1" w:rsidP="00914E76">
            <w:pPr>
              <w:jc w:val="right"/>
              <w:rPr>
                <w:color w:val="000000"/>
                <w:sz w:val="22"/>
                <w:szCs w:val="22"/>
              </w:rPr>
            </w:pPr>
            <w:r>
              <w:rPr>
                <w:color w:val="000000"/>
                <w:sz w:val="22"/>
                <w:szCs w:val="22"/>
              </w:rPr>
              <w:t>4.4</w:t>
            </w:r>
            <w:r w:rsidR="00E97520" w:rsidRPr="00E84E61">
              <w:rPr>
                <w:color w:val="000000"/>
                <w:sz w:val="22"/>
                <w:szCs w:val="22"/>
              </w:rPr>
              <w:t>%</w:t>
            </w:r>
          </w:p>
        </w:tc>
        <w:tc>
          <w:tcPr>
            <w:tcW w:w="969" w:type="dxa"/>
            <w:vAlign w:val="bottom"/>
          </w:tcPr>
          <w:p w:rsidR="00E97520" w:rsidRPr="00E97520" w:rsidRDefault="00E97520" w:rsidP="00F526AF">
            <w:pPr>
              <w:jc w:val="right"/>
              <w:rPr>
                <w:color w:val="000000"/>
                <w:sz w:val="22"/>
                <w:szCs w:val="22"/>
              </w:rPr>
            </w:pPr>
            <w:r w:rsidRPr="00E84E61">
              <w:rPr>
                <w:color w:val="000000"/>
                <w:sz w:val="22"/>
                <w:szCs w:val="22"/>
              </w:rPr>
              <w:t>-</w:t>
            </w:r>
            <w:r w:rsidR="008D14A1">
              <w:rPr>
                <w:color w:val="000000"/>
                <w:sz w:val="22"/>
                <w:szCs w:val="22"/>
              </w:rPr>
              <w:t>3.1</w:t>
            </w:r>
            <w:r w:rsidRPr="00E84E61">
              <w:rPr>
                <w:color w:val="000000"/>
                <w:sz w:val="22"/>
                <w:szCs w:val="22"/>
              </w:rPr>
              <w:t>%</w:t>
            </w:r>
          </w:p>
        </w:tc>
      </w:tr>
      <w:tr w:rsidR="00E97520" w:rsidRPr="00905C65" w:rsidTr="00E84E61">
        <w:trPr>
          <w:trHeight w:val="620"/>
          <w:jc w:val="center"/>
        </w:trPr>
        <w:tc>
          <w:tcPr>
            <w:tcW w:w="1644" w:type="dxa"/>
            <w:vAlign w:val="bottom"/>
          </w:tcPr>
          <w:p w:rsidR="00E97520" w:rsidRPr="00454C11" w:rsidRDefault="00E97520" w:rsidP="00914E76">
            <w:pPr>
              <w:rPr>
                <w:sz w:val="22"/>
                <w:szCs w:val="22"/>
                <w:highlight w:val="yellow"/>
              </w:rPr>
            </w:pPr>
            <w:r w:rsidRPr="006C5361">
              <w:rPr>
                <w:color w:val="000000"/>
                <w:sz w:val="22"/>
                <w:szCs w:val="22"/>
              </w:rPr>
              <w:t>African American</w:t>
            </w:r>
          </w:p>
        </w:tc>
        <w:tc>
          <w:tcPr>
            <w:tcW w:w="990" w:type="dxa"/>
            <w:vAlign w:val="bottom"/>
          </w:tcPr>
          <w:p w:rsidR="00E97520" w:rsidRPr="00B6099E" w:rsidRDefault="00E97520" w:rsidP="00914E76">
            <w:pPr>
              <w:jc w:val="right"/>
              <w:rPr>
                <w:color w:val="000000"/>
                <w:sz w:val="22"/>
                <w:szCs w:val="22"/>
              </w:rPr>
            </w:pPr>
            <w:r w:rsidRPr="00B6099E">
              <w:rPr>
                <w:color w:val="000000"/>
                <w:sz w:val="22"/>
                <w:szCs w:val="22"/>
              </w:rPr>
              <w:t>1,451</w:t>
            </w:r>
          </w:p>
        </w:tc>
        <w:tc>
          <w:tcPr>
            <w:tcW w:w="810" w:type="dxa"/>
            <w:vAlign w:val="bottom"/>
          </w:tcPr>
          <w:p w:rsidR="00E97520" w:rsidRPr="00B6099E" w:rsidRDefault="00E97520" w:rsidP="00914E76">
            <w:pPr>
              <w:jc w:val="right"/>
              <w:rPr>
                <w:color w:val="000000"/>
                <w:sz w:val="22"/>
                <w:szCs w:val="22"/>
              </w:rPr>
            </w:pPr>
            <w:r w:rsidRPr="00B6099E">
              <w:rPr>
                <w:color w:val="000000"/>
                <w:sz w:val="22"/>
                <w:szCs w:val="22"/>
              </w:rPr>
              <w:t>1.2%</w:t>
            </w:r>
          </w:p>
        </w:tc>
        <w:tc>
          <w:tcPr>
            <w:tcW w:w="990" w:type="dxa"/>
            <w:vAlign w:val="bottom"/>
          </w:tcPr>
          <w:p w:rsidR="00E97520" w:rsidRPr="00B6099E" w:rsidRDefault="00E97520" w:rsidP="00914E76">
            <w:pPr>
              <w:jc w:val="right"/>
              <w:rPr>
                <w:color w:val="000000"/>
                <w:sz w:val="22"/>
                <w:szCs w:val="22"/>
              </w:rPr>
            </w:pPr>
            <w:r w:rsidRPr="00B6099E">
              <w:rPr>
                <w:color w:val="000000"/>
                <w:sz w:val="22"/>
                <w:szCs w:val="22"/>
              </w:rPr>
              <w:t>2,477</w:t>
            </w:r>
          </w:p>
        </w:tc>
        <w:tc>
          <w:tcPr>
            <w:tcW w:w="810" w:type="dxa"/>
            <w:vAlign w:val="bottom"/>
          </w:tcPr>
          <w:p w:rsidR="00E97520" w:rsidRPr="00B6099E" w:rsidRDefault="00E97520" w:rsidP="00914E76">
            <w:pPr>
              <w:jc w:val="right"/>
              <w:rPr>
                <w:color w:val="000000"/>
                <w:sz w:val="22"/>
                <w:szCs w:val="22"/>
              </w:rPr>
            </w:pPr>
            <w:r w:rsidRPr="00B6099E">
              <w:rPr>
                <w:color w:val="000000"/>
                <w:sz w:val="22"/>
                <w:szCs w:val="22"/>
              </w:rPr>
              <w:t>1.0%</w:t>
            </w:r>
          </w:p>
        </w:tc>
        <w:tc>
          <w:tcPr>
            <w:tcW w:w="1041" w:type="dxa"/>
            <w:vAlign w:val="bottom"/>
          </w:tcPr>
          <w:p w:rsidR="00E97520" w:rsidRPr="00B6099E" w:rsidRDefault="00E97520" w:rsidP="00914E76">
            <w:pPr>
              <w:jc w:val="right"/>
              <w:rPr>
                <w:color w:val="000000"/>
                <w:sz w:val="22"/>
                <w:szCs w:val="22"/>
              </w:rPr>
            </w:pPr>
            <w:r w:rsidRPr="00B6099E">
              <w:rPr>
                <w:color w:val="000000"/>
                <w:sz w:val="22"/>
                <w:szCs w:val="22"/>
              </w:rPr>
              <w:t>1,653</w:t>
            </w:r>
          </w:p>
        </w:tc>
        <w:tc>
          <w:tcPr>
            <w:tcW w:w="786" w:type="dxa"/>
            <w:vAlign w:val="bottom"/>
          </w:tcPr>
          <w:p w:rsidR="00E97520" w:rsidRPr="00B6099E" w:rsidRDefault="00E97520" w:rsidP="00914E76">
            <w:pPr>
              <w:jc w:val="right"/>
              <w:rPr>
                <w:color w:val="000000"/>
                <w:sz w:val="22"/>
                <w:szCs w:val="22"/>
              </w:rPr>
            </w:pPr>
            <w:r w:rsidRPr="00B6099E">
              <w:rPr>
                <w:color w:val="000000"/>
                <w:sz w:val="22"/>
                <w:szCs w:val="22"/>
              </w:rPr>
              <w:t>1.2%</w:t>
            </w:r>
          </w:p>
        </w:tc>
        <w:tc>
          <w:tcPr>
            <w:tcW w:w="990" w:type="dxa"/>
            <w:vAlign w:val="bottom"/>
          </w:tcPr>
          <w:p w:rsidR="00E97520" w:rsidRPr="00B6099E" w:rsidRDefault="00E97520" w:rsidP="00914E76">
            <w:pPr>
              <w:jc w:val="right"/>
              <w:rPr>
                <w:color w:val="000000"/>
                <w:sz w:val="22"/>
                <w:szCs w:val="22"/>
              </w:rPr>
            </w:pPr>
            <w:r w:rsidRPr="00B6099E">
              <w:rPr>
                <w:color w:val="000000"/>
                <w:sz w:val="22"/>
                <w:szCs w:val="22"/>
              </w:rPr>
              <w:t>2,766</w:t>
            </w:r>
          </w:p>
        </w:tc>
        <w:tc>
          <w:tcPr>
            <w:tcW w:w="810" w:type="dxa"/>
            <w:vAlign w:val="bottom"/>
          </w:tcPr>
          <w:p w:rsidR="00E97520" w:rsidRPr="00B6099E" w:rsidRDefault="00E97520" w:rsidP="00914E76">
            <w:pPr>
              <w:jc w:val="right"/>
              <w:rPr>
                <w:color w:val="000000"/>
                <w:sz w:val="22"/>
                <w:szCs w:val="22"/>
              </w:rPr>
            </w:pPr>
            <w:r w:rsidRPr="00B6099E">
              <w:rPr>
                <w:color w:val="000000"/>
                <w:sz w:val="22"/>
                <w:szCs w:val="22"/>
              </w:rPr>
              <w:t>1.1%</w:t>
            </w:r>
          </w:p>
        </w:tc>
        <w:tc>
          <w:tcPr>
            <w:tcW w:w="944" w:type="dxa"/>
            <w:vAlign w:val="bottom"/>
          </w:tcPr>
          <w:p w:rsidR="00E97520" w:rsidRPr="00E97520" w:rsidRDefault="00E97520" w:rsidP="00914E76">
            <w:pPr>
              <w:jc w:val="right"/>
              <w:rPr>
                <w:color w:val="000000"/>
                <w:sz w:val="22"/>
                <w:szCs w:val="22"/>
              </w:rPr>
            </w:pPr>
            <w:r w:rsidRPr="00E84E61">
              <w:rPr>
                <w:color w:val="000000"/>
                <w:sz w:val="22"/>
                <w:szCs w:val="22"/>
              </w:rPr>
              <w:t>202</w:t>
            </w:r>
          </w:p>
        </w:tc>
        <w:tc>
          <w:tcPr>
            <w:tcW w:w="874" w:type="dxa"/>
            <w:vAlign w:val="bottom"/>
          </w:tcPr>
          <w:p w:rsidR="00E97520" w:rsidRPr="00E97520" w:rsidRDefault="00E97520" w:rsidP="00914E76">
            <w:pPr>
              <w:jc w:val="right"/>
              <w:rPr>
                <w:color w:val="000000"/>
                <w:sz w:val="22"/>
                <w:szCs w:val="22"/>
              </w:rPr>
            </w:pPr>
            <w:r w:rsidRPr="00E84E61">
              <w:rPr>
                <w:color w:val="000000"/>
                <w:sz w:val="22"/>
                <w:szCs w:val="22"/>
              </w:rPr>
              <w:t>13.9%</w:t>
            </w:r>
          </w:p>
        </w:tc>
        <w:tc>
          <w:tcPr>
            <w:tcW w:w="969" w:type="dxa"/>
            <w:vAlign w:val="bottom"/>
          </w:tcPr>
          <w:p w:rsidR="00E97520" w:rsidRPr="00E97520" w:rsidRDefault="00E97520" w:rsidP="00914E76">
            <w:pPr>
              <w:jc w:val="right"/>
              <w:rPr>
                <w:color w:val="000000"/>
                <w:sz w:val="22"/>
                <w:szCs w:val="22"/>
              </w:rPr>
            </w:pPr>
            <w:r w:rsidRPr="00E84E61">
              <w:rPr>
                <w:color w:val="000000"/>
                <w:sz w:val="22"/>
                <w:szCs w:val="22"/>
              </w:rPr>
              <w:t>0.0%</w:t>
            </w:r>
          </w:p>
        </w:tc>
      </w:tr>
      <w:tr w:rsidR="008D14A1" w:rsidRPr="00905C65" w:rsidTr="00773044">
        <w:trPr>
          <w:jc w:val="center"/>
        </w:trPr>
        <w:tc>
          <w:tcPr>
            <w:tcW w:w="1644" w:type="dxa"/>
            <w:vAlign w:val="bottom"/>
          </w:tcPr>
          <w:p w:rsidR="008D14A1" w:rsidRPr="006C5361" w:rsidRDefault="008D14A1" w:rsidP="00914E76">
            <w:pPr>
              <w:rPr>
                <w:color w:val="000000"/>
                <w:sz w:val="22"/>
                <w:szCs w:val="22"/>
              </w:rPr>
            </w:pPr>
            <w:r>
              <w:rPr>
                <w:color w:val="000000"/>
                <w:sz w:val="22"/>
                <w:szCs w:val="22"/>
              </w:rPr>
              <w:t>Asian</w:t>
            </w:r>
          </w:p>
        </w:tc>
        <w:tc>
          <w:tcPr>
            <w:tcW w:w="990" w:type="dxa"/>
            <w:vAlign w:val="bottom"/>
          </w:tcPr>
          <w:p w:rsidR="008D14A1" w:rsidRPr="00B6099E" w:rsidRDefault="008D14A1" w:rsidP="00914E76">
            <w:pPr>
              <w:jc w:val="right"/>
              <w:rPr>
                <w:color w:val="000000"/>
                <w:sz w:val="22"/>
                <w:szCs w:val="22"/>
              </w:rPr>
            </w:pPr>
            <w:r>
              <w:rPr>
                <w:color w:val="000000"/>
                <w:sz w:val="22"/>
                <w:szCs w:val="22"/>
              </w:rPr>
              <w:t>5,059</w:t>
            </w:r>
          </w:p>
        </w:tc>
        <w:tc>
          <w:tcPr>
            <w:tcW w:w="810" w:type="dxa"/>
            <w:vAlign w:val="bottom"/>
          </w:tcPr>
          <w:p w:rsidR="008D14A1" w:rsidRPr="00B6099E" w:rsidRDefault="008D14A1" w:rsidP="00914E76">
            <w:pPr>
              <w:jc w:val="right"/>
              <w:rPr>
                <w:color w:val="000000"/>
                <w:sz w:val="22"/>
                <w:szCs w:val="22"/>
              </w:rPr>
            </w:pPr>
            <w:r>
              <w:rPr>
                <w:color w:val="000000"/>
                <w:sz w:val="22"/>
                <w:szCs w:val="22"/>
              </w:rPr>
              <w:t>4.2%</w:t>
            </w:r>
          </w:p>
        </w:tc>
        <w:tc>
          <w:tcPr>
            <w:tcW w:w="990" w:type="dxa"/>
            <w:vAlign w:val="bottom"/>
          </w:tcPr>
          <w:p w:rsidR="008D14A1" w:rsidRPr="00B6099E" w:rsidRDefault="008D14A1" w:rsidP="00914E76">
            <w:pPr>
              <w:jc w:val="right"/>
              <w:rPr>
                <w:color w:val="000000"/>
                <w:sz w:val="22"/>
                <w:szCs w:val="22"/>
              </w:rPr>
            </w:pPr>
            <w:r>
              <w:rPr>
                <w:color w:val="000000"/>
                <w:sz w:val="22"/>
                <w:szCs w:val="22"/>
              </w:rPr>
              <w:t>8,789</w:t>
            </w:r>
          </w:p>
        </w:tc>
        <w:tc>
          <w:tcPr>
            <w:tcW w:w="810" w:type="dxa"/>
            <w:vAlign w:val="bottom"/>
          </w:tcPr>
          <w:p w:rsidR="008D14A1" w:rsidRPr="00B6099E" w:rsidRDefault="008D14A1" w:rsidP="00914E76">
            <w:pPr>
              <w:jc w:val="right"/>
              <w:rPr>
                <w:color w:val="000000"/>
                <w:sz w:val="22"/>
                <w:szCs w:val="22"/>
              </w:rPr>
            </w:pPr>
            <w:r>
              <w:rPr>
                <w:color w:val="000000"/>
                <w:sz w:val="22"/>
                <w:szCs w:val="22"/>
              </w:rPr>
              <w:t>3.4%</w:t>
            </w:r>
          </w:p>
        </w:tc>
        <w:tc>
          <w:tcPr>
            <w:tcW w:w="1041" w:type="dxa"/>
            <w:vAlign w:val="bottom"/>
          </w:tcPr>
          <w:p w:rsidR="008D14A1" w:rsidRPr="00B6099E" w:rsidRDefault="008D14A1" w:rsidP="00914E76">
            <w:pPr>
              <w:jc w:val="right"/>
              <w:rPr>
                <w:color w:val="000000"/>
                <w:sz w:val="22"/>
                <w:szCs w:val="22"/>
              </w:rPr>
            </w:pPr>
            <w:r>
              <w:rPr>
                <w:color w:val="000000"/>
                <w:sz w:val="22"/>
                <w:szCs w:val="22"/>
              </w:rPr>
              <w:t>7,269</w:t>
            </w:r>
          </w:p>
        </w:tc>
        <w:tc>
          <w:tcPr>
            <w:tcW w:w="786" w:type="dxa"/>
            <w:vAlign w:val="bottom"/>
          </w:tcPr>
          <w:p w:rsidR="008D14A1" w:rsidRPr="00B6099E" w:rsidRDefault="008D14A1" w:rsidP="00914E76">
            <w:pPr>
              <w:jc w:val="right"/>
              <w:rPr>
                <w:color w:val="000000"/>
                <w:sz w:val="22"/>
                <w:szCs w:val="22"/>
              </w:rPr>
            </w:pPr>
            <w:r>
              <w:rPr>
                <w:color w:val="000000"/>
                <w:sz w:val="22"/>
                <w:szCs w:val="22"/>
              </w:rPr>
              <w:t>5.5%</w:t>
            </w:r>
          </w:p>
        </w:tc>
        <w:tc>
          <w:tcPr>
            <w:tcW w:w="990" w:type="dxa"/>
            <w:vAlign w:val="bottom"/>
          </w:tcPr>
          <w:p w:rsidR="008D14A1" w:rsidRPr="00B6099E" w:rsidRDefault="008D14A1" w:rsidP="00914E76">
            <w:pPr>
              <w:jc w:val="right"/>
              <w:rPr>
                <w:color w:val="000000"/>
                <w:sz w:val="22"/>
                <w:szCs w:val="22"/>
              </w:rPr>
            </w:pPr>
            <w:r>
              <w:rPr>
                <w:color w:val="000000"/>
                <w:sz w:val="22"/>
                <w:szCs w:val="22"/>
              </w:rPr>
              <w:t>11,112</w:t>
            </w:r>
          </w:p>
        </w:tc>
        <w:tc>
          <w:tcPr>
            <w:tcW w:w="810" w:type="dxa"/>
            <w:vAlign w:val="bottom"/>
          </w:tcPr>
          <w:p w:rsidR="008D14A1" w:rsidRPr="00B6099E" w:rsidRDefault="008D14A1" w:rsidP="00914E76">
            <w:pPr>
              <w:jc w:val="right"/>
              <w:rPr>
                <w:color w:val="000000"/>
                <w:sz w:val="22"/>
                <w:szCs w:val="22"/>
              </w:rPr>
            </w:pPr>
            <w:r>
              <w:rPr>
                <w:color w:val="000000"/>
                <w:sz w:val="22"/>
                <w:szCs w:val="22"/>
              </w:rPr>
              <w:t>4.2%</w:t>
            </w:r>
          </w:p>
        </w:tc>
        <w:tc>
          <w:tcPr>
            <w:tcW w:w="944" w:type="dxa"/>
            <w:vAlign w:val="bottom"/>
          </w:tcPr>
          <w:p w:rsidR="008D14A1" w:rsidRPr="00F526AF" w:rsidRDefault="008D14A1" w:rsidP="00914E76">
            <w:pPr>
              <w:jc w:val="right"/>
              <w:rPr>
                <w:color w:val="000000"/>
                <w:sz w:val="22"/>
                <w:szCs w:val="22"/>
              </w:rPr>
            </w:pPr>
            <w:r>
              <w:rPr>
                <w:color w:val="000000"/>
                <w:sz w:val="22"/>
                <w:szCs w:val="22"/>
              </w:rPr>
              <w:t>2,210</w:t>
            </w:r>
          </w:p>
        </w:tc>
        <w:tc>
          <w:tcPr>
            <w:tcW w:w="874" w:type="dxa"/>
            <w:vAlign w:val="bottom"/>
          </w:tcPr>
          <w:p w:rsidR="008D14A1" w:rsidRPr="00F526AF" w:rsidRDefault="008D14A1" w:rsidP="00914E76">
            <w:pPr>
              <w:jc w:val="right"/>
              <w:rPr>
                <w:color w:val="000000"/>
                <w:sz w:val="22"/>
                <w:szCs w:val="22"/>
              </w:rPr>
            </w:pPr>
            <w:r>
              <w:rPr>
                <w:color w:val="000000"/>
                <w:sz w:val="22"/>
                <w:szCs w:val="22"/>
              </w:rPr>
              <w:t>43.7%</w:t>
            </w:r>
          </w:p>
        </w:tc>
        <w:tc>
          <w:tcPr>
            <w:tcW w:w="969" w:type="dxa"/>
            <w:vAlign w:val="bottom"/>
          </w:tcPr>
          <w:p w:rsidR="008D14A1" w:rsidRPr="00F526AF" w:rsidRDefault="008D14A1" w:rsidP="00914E76">
            <w:pPr>
              <w:jc w:val="right"/>
              <w:rPr>
                <w:color w:val="000000"/>
                <w:sz w:val="22"/>
                <w:szCs w:val="22"/>
              </w:rPr>
            </w:pPr>
            <w:r>
              <w:rPr>
                <w:color w:val="000000"/>
                <w:sz w:val="22"/>
                <w:szCs w:val="22"/>
              </w:rPr>
              <w:t>1.3%</w:t>
            </w:r>
          </w:p>
        </w:tc>
      </w:tr>
      <w:tr w:rsidR="008D14A1" w:rsidRPr="00905C65" w:rsidTr="00E84E61">
        <w:trPr>
          <w:jc w:val="center"/>
        </w:trPr>
        <w:tc>
          <w:tcPr>
            <w:tcW w:w="1644" w:type="dxa"/>
            <w:vAlign w:val="bottom"/>
          </w:tcPr>
          <w:p w:rsidR="008D14A1" w:rsidRPr="00454C11" w:rsidRDefault="008D14A1" w:rsidP="00914E76">
            <w:pPr>
              <w:rPr>
                <w:sz w:val="22"/>
                <w:szCs w:val="22"/>
                <w:highlight w:val="yellow"/>
              </w:rPr>
            </w:pPr>
            <w:r w:rsidRPr="006C5361">
              <w:rPr>
                <w:color w:val="000000"/>
                <w:sz w:val="22"/>
                <w:szCs w:val="22"/>
              </w:rPr>
              <w:t>American Indian and Alaska Native</w:t>
            </w:r>
          </w:p>
        </w:tc>
        <w:tc>
          <w:tcPr>
            <w:tcW w:w="990" w:type="dxa"/>
            <w:vAlign w:val="bottom"/>
          </w:tcPr>
          <w:p w:rsidR="008D14A1" w:rsidRPr="00B6099E" w:rsidRDefault="008D14A1" w:rsidP="00914E76">
            <w:pPr>
              <w:jc w:val="right"/>
              <w:rPr>
                <w:color w:val="000000"/>
                <w:sz w:val="22"/>
                <w:szCs w:val="22"/>
              </w:rPr>
            </w:pPr>
            <w:r w:rsidRPr="00B6099E">
              <w:rPr>
                <w:color w:val="000000"/>
                <w:sz w:val="22"/>
                <w:szCs w:val="22"/>
              </w:rPr>
              <w:t>1,340</w:t>
            </w:r>
          </w:p>
        </w:tc>
        <w:tc>
          <w:tcPr>
            <w:tcW w:w="810" w:type="dxa"/>
            <w:vAlign w:val="bottom"/>
          </w:tcPr>
          <w:p w:rsidR="008D14A1" w:rsidRPr="00B6099E" w:rsidRDefault="008D14A1" w:rsidP="00914E76">
            <w:pPr>
              <w:jc w:val="right"/>
              <w:rPr>
                <w:color w:val="000000"/>
                <w:sz w:val="22"/>
                <w:szCs w:val="22"/>
              </w:rPr>
            </w:pPr>
            <w:r w:rsidRPr="00B6099E">
              <w:rPr>
                <w:color w:val="000000"/>
                <w:sz w:val="22"/>
                <w:szCs w:val="22"/>
              </w:rPr>
              <w:t>1.1%</w:t>
            </w:r>
          </w:p>
        </w:tc>
        <w:tc>
          <w:tcPr>
            <w:tcW w:w="990" w:type="dxa"/>
            <w:vAlign w:val="bottom"/>
          </w:tcPr>
          <w:p w:rsidR="008D14A1" w:rsidRPr="00B6099E" w:rsidRDefault="008D14A1" w:rsidP="00914E76">
            <w:pPr>
              <w:jc w:val="right"/>
              <w:rPr>
                <w:color w:val="000000"/>
                <w:sz w:val="22"/>
                <w:szCs w:val="22"/>
              </w:rPr>
            </w:pPr>
            <w:r w:rsidRPr="00B6099E">
              <w:rPr>
                <w:color w:val="000000"/>
                <w:sz w:val="22"/>
                <w:szCs w:val="22"/>
              </w:rPr>
              <w:t>2,461</w:t>
            </w:r>
          </w:p>
        </w:tc>
        <w:tc>
          <w:tcPr>
            <w:tcW w:w="810" w:type="dxa"/>
            <w:vAlign w:val="bottom"/>
          </w:tcPr>
          <w:p w:rsidR="008D14A1" w:rsidRPr="00B6099E" w:rsidRDefault="008D14A1" w:rsidP="00914E76">
            <w:pPr>
              <w:jc w:val="right"/>
              <w:rPr>
                <w:color w:val="000000"/>
                <w:sz w:val="22"/>
                <w:szCs w:val="22"/>
              </w:rPr>
            </w:pPr>
            <w:r w:rsidRPr="00B6099E">
              <w:rPr>
                <w:color w:val="000000"/>
                <w:sz w:val="22"/>
                <w:szCs w:val="22"/>
              </w:rPr>
              <w:t>1.0%</w:t>
            </w:r>
          </w:p>
        </w:tc>
        <w:tc>
          <w:tcPr>
            <w:tcW w:w="1041" w:type="dxa"/>
            <w:vAlign w:val="bottom"/>
          </w:tcPr>
          <w:p w:rsidR="008D14A1" w:rsidRPr="00B6099E" w:rsidRDefault="008D14A1" w:rsidP="00914E76">
            <w:pPr>
              <w:jc w:val="right"/>
              <w:rPr>
                <w:color w:val="000000"/>
                <w:sz w:val="22"/>
                <w:szCs w:val="22"/>
              </w:rPr>
            </w:pPr>
            <w:r w:rsidRPr="00B6099E">
              <w:rPr>
                <w:color w:val="000000"/>
                <w:sz w:val="22"/>
                <w:szCs w:val="22"/>
              </w:rPr>
              <w:t>1,185</w:t>
            </w:r>
          </w:p>
        </w:tc>
        <w:tc>
          <w:tcPr>
            <w:tcW w:w="786" w:type="dxa"/>
            <w:vAlign w:val="bottom"/>
          </w:tcPr>
          <w:p w:rsidR="008D14A1" w:rsidRPr="00B6099E" w:rsidRDefault="008D14A1" w:rsidP="00914E76">
            <w:pPr>
              <w:jc w:val="right"/>
              <w:rPr>
                <w:color w:val="000000"/>
                <w:sz w:val="22"/>
                <w:szCs w:val="22"/>
              </w:rPr>
            </w:pPr>
            <w:r w:rsidRPr="00B6099E">
              <w:rPr>
                <w:color w:val="000000"/>
                <w:sz w:val="22"/>
                <w:szCs w:val="22"/>
              </w:rPr>
              <w:t>0.9%</w:t>
            </w:r>
          </w:p>
        </w:tc>
        <w:tc>
          <w:tcPr>
            <w:tcW w:w="990" w:type="dxa"/>
            <w:vAlign w:val="bottom"/>
          </w:tcPr>
          <w:p w:rsidR="008D14A1" w:rsidRPr="00B6099E" w:rsidRDefault="008D14A1" w:rsidP="00914E76">
            <w:pPr>
              <w:jc w:val="right"/>
              <w:rPr>
                <w:color w:val="000000"/>
                <w:sz w:val="22"/>
                <w:szCs w:val="22"/>
              </w:rPr>
            </w:pPr>
            <w:r w:rsidRPr="00B6099E">
              <w:rPr>
                <w:color w:val="000000"/>
                <w:sz w:val="22"/>
                <w:szCs w:val="22"/>
              </w:rPr>
              <w:t>2,253</w:t>
            </w:r>
          </w:p>
        </w:tc>
        <w:tc>
          <w:tcPr>
            <w:tcW w:w="810" w:type="dxa"/>
            <w:vAlign w:val="bottom"/>
          </w:tcPr>
          <w:p w:rsidR="008D14A1" w:rsidRPr="00B6099E" w:rsidRDefault="008D14A1" w:rsidP="00914E76">
            <w:pPr>
              <w:jc w:val="right"/>
              <w:rPr>
                <w:color w:val="000000"/>
                <w:sz w:val="22"/>
                <w:szCs w:val="22"/>
              </w:rPr>
            </w:pPr>
            <w:r w:rsidRPr="00B6099E">
              <w:rPr>
                <w:color w:val="000000"/>
                <w:sz w:val="22"/>
                <w:szCs w:val="22"/>
              </w:rPr>
              <w:t>0.9%</w:t>
            </w:r>
          </w:p>
        </w:tc>
        <w:tc>
          <w:tcPr>
            <w:tcW w:w="944" w:type="dxa"/>
            <w:vAlign w:val="bottom"/>
          </w:tcPr>
          <w:p w:rsidR="008D14A1" w:rsidRPr="00E97520" w:rsidRDefault="008D14A1" w:rsidP="00914E76">
            <w:pPr>
              <w:jc w:val="right"/>
              <w:rPr>
                <w:color w:val="000000"/>
                <w:sz w:val="22"/>
                <w:szCs w:val="22"/>
              </w:rPr>
            </w:pPr>
            <w:r w:rsidRPr="00E84E61">
              <w:rPr>
                <w:color w:val="000000"/>
                <w:sz w:val="22"/>
                <w:szCs w:val="22"/>
              </w:rPr>
              <w:t>-155</w:t>
            </w:r>
          </w:p>
        </w:tc>
        <w:tc>
          <w:tcPr>
            <w:tcW w:w="874" w:type="dxa"/>
            <w:vAlign w:val="bottom"/>
          </w:tcPr>
          <w:p w:rsidR="008D14A1" w:rsidRPr="00E97520" w:rsidRDefault="008D14A1" w:rsidP="00914E76">
            <w:pPr>
              <w:jc w:val="right"/>
              <w:rPr>
                <w:color w:val="000000"/>
                <w:sz w:val="22"/>
                <w:szCs w:val="22"/>
              </w:rPr>
            </w:pPr>
            <w:r w:rsidRPr="00E84E61">
              <w:rPr>
                <w:color w:val="000000"/>
                <w:sz w:val="22"/>
                <w:szCs w:val="22"/>
              </w:rPr>
              <w:t>-11.6%</w:t>
            </w:r>
          </w:p>
        </w:tc>
        <w:tc>
          <w:tcPr>
            <w:tcW w:w="969" w:type="dxa"/>
            <w:vAlign w:val="bottom"/>
          </w:tcPr>
          <w:p w:rsidR="008D14A1" w:rsidRPr="00E97520" w:rsidRDefault="008D14A1" w:rsidP="00914E76">
            <w:pPr>
              <w:jc w:val="right"/>
              <w:rPr>
                <w:color w:val="000000"/>
                <w:sz w:val="22"/>
                <w:szCs w:val="22"/>
              </w:rPr>
            </w:pPr>
            <w:r w:rsidRPr="00E84E61">
              <w:rPr>
                <w:color w:val="000000"/>
                <w:sz w:val="22"/>
                <w:szCs w:val="22"/>
              </w:rPr>
              <w:t>-0.2%</w:t>
            </w:r>
          </w:p>
        </w:tc>
      </w:tr>
      <w:tr w:rsidR="008D14A1" w:rsidRPr="00905C65" w:rsidTr="00E84E61">
        <w:trPr>
          <w:jc w:val="center"/>
        </w:trPr>
        <w:tc>
          <w:tcPr>
            <w:tcW w:w="1644" w:type="dxa"/>
            <w:vAlign w:val="bottom"/>
          </w:tcPr>
          <w:p w:rsidR="008D14A1" w:rsidRPr="00454C11" w:rsidRDefault="008D14A1" w:rsidP="00914E76">
            <w:pPr>
              <w:rPr>
                <w:sz w:val="22"/>
                <w:szCs w:val="22"/>
                <w:highlight w:val="yellow"/>
              </w:rPr>
            </w:pPr>
            <w:r w:rsidRPr="006C5361">
              <w:rPr>
                <w:color w:val="000000"/>
                <w:sz w:val="22"/>
                <w:szCs w:val="22"/>
              </w:rPr>
              <w:t>Native Hawaiian and Pacific Islander</w:t>
            </w:r>
          </w:p>
        </w:tc>
        <w:tc>
          <w:tcPr>
            <w:tcW w:w="990" w:type="dxa"/>
            <w:vAlign w:val="bottom"/>
          </w:tcPr>
          <w:p w:rsidR="008D14A1" w:rsidRPr="000F65B1" w:rsidRDefault="008D14A1">
            <w:pPr>
              <w:jc w:val="right"/>
              <w:rPr>
                <w:color w:val="000000"/>
                <w:sz w:val="22"/>
                <w:szCs w:val="22"/>
              </w:rPr>
            </w:pPr>
            <w:r>
              <w:rPr>
                <w:color w:val="000000"/>
                <w:sz w:val="22"/>
                <w:szCs w:val="22"/>
              </w:rPr>
              <w:t>166</w:t>
            </w:r>
          </w:p>
        </w:tc>
        <w:tc>
          <w:tcPr>
            <w:tcW w:w="810" w:type="dxa"/>
            <w:vAlign w:val="bottom"/>
          </w:tcPr>
          <w:p w:rsidR="008D14A1" w:rsidRPr="000F65B1" w:rsidRDefault="008D14A1" w:rsidP="00F526AF">
            <w:pPr>
              <w:jc w:val="right"/>
              <w:rPr>
                <w:color w:val="000000"/>
                <w:sz w:val="22"/>
                <w:szCs w:val="22"/>
              </w:rPr>
            </w:pPr>
            <w:r>
              <w:rPr>
                <w:color w:val="000000"/>
                <w:sz w:val="22"/>
                <w:szCs w:val="22"/>
              </w:rPr>
              <w:t>0.1%</w:t>
            </w:r>
          </w:p>
        </w:tc>
        <w:tc>
          <w:tcPr>
            <w:tcW w:w="990" w:type="dxa"/>
            <w:vAlign w:val="bottom"/>
          </w:tcPr>
          <w:p w:rsidR="008D14A1" w:rsidRPr="000F65B1" w:rsidRDefault="008D14A1">
            <w:pPr>
              <w:jc w:val="right"/>
              <w:rPr>
                <w:color w:val="000000"/>
                <w:sz w:val="22"/>
                <w:szCs w:val="22"/>
              </w:rPr>
            </w:pPr>
            <w:r>
              <w:rPr>
                <w:color w:val="000000"/>
                <w:sz w:val="22"/>
                <w:szCs w:val="22"/>
              </w:rPr>
              <w:t>382</w:t>
            </w:r>
          </w:p>
        </w:tc>
        <w:tc>
          <w:tcPr>
            <w:tcW w:w="810" w:type="dxa"/>
            <w:vAlign w:val="bottom"/>
          </w:tcPr>
          <w:p w:rsidR="008D14A1" w:rsidRPr="000F65B1" w:rsidRDefault="008D14A1" w:rsidP="00F526AF">
            <w:pPr>
              <w:jc w:val="right"/>
              <w:rPr>
                <w:color w:val="000000"/>
                <w:sz w:val="22"/>
                <w:szCs w:val="22"/>
              </w:rPr>
            </w:pPr>
            <w:r>
              <w:rPr>
                <w:color w:val="000000"/>
                <w:sz w:val="22"/>
                <w:szCs w:val="22"/>
              </w:rPr>
              <w:t>0.1%</w:t>
            </w:r>
          </w:p>
        </w:tc>
        <w:tc>
          <w:tcPr>
            <w:tcW w:w="1041" w:type="dxa"/>
            <w:vAlign w:val="bottom"/>
          </w:tcPr>
          <w:p w:rsidR="008D14A1" w:rsidRPr="000F65B1" w:rsidRDefault="008D14A1">
            <w:pPr>
              <w:jc w:val="right"/>
              <w:rPr>
                <w:color w:val="000000"/>
                <w:sz w:val="22"/>
                <w:szCs w:val="22"/>
              </w:rPr>
            </w:pPr>
            <w:r>
              <w:rPr>
                <w:color w:val="000000"/>
                <w:sz w:val="22"/>
                <w:szCs w:val="22"/>
              </w:rPr>
              <w:t>176</w:t>
            </w:r>
          </w:p>
        </w:tc>
        <w:tc>
          <w:tcPr>
            <w:tcW w:w="786" w:type="dxa"/>
            <w:vAlign w:val="bottom"/>
          </w:tcPr>
          <w:p w:rsidR="008D14A1" w:rsidRPr="000F65B1" w:rsidRDefault="008D14A1" w:rsidP="00F526AF">
            <w:pPr>
              <w:jc w:val="right"/>
              <w:rPr>
                <w:color w:val="000000"/>
                <w:sz w:val="22"/>
                <w:szCs w:val="22"/>
              </w:rPr>
            </w:pPr>
            <w:r>
              <w:rPr>
                <w:color w:val="000000"/>
                <w:sz w:val="22"/>
                <w:szCs w:val="22"/>
              </w:rPr>
              <w:t>0.1%</w:t>
            </w:r>
          </w:p>
        </w:tc>
        <w:tc>
          <w:tcPr>
            <w:tcW w:w="990" w:type="dxa"/>
            <w:vAlign w:val="bottom"/>
          </w:tcPr>
          <w:p w:rsidR="008D14A1" w:rsidRPr="000F65B1" w:rsidRDefault="008D14A1">
            <w:pPr>
              <w:jc w:val="right"/>
              <w:rPr>
                <w:color w:val="000000"/>
                <w:sz w:val="22"/>
                <w:szCs w:val="22"/>
              </w:rPr>
            </w:pPr>
            <w:r>
              <w:rPr>
                <w:color w:val="000000"/>
                <w:sz w:val="22"/>
                <w:szCs w:val="22"/>
              </w:rPr>
              <w:t>349</w:t>
            </w:r>
          </w:p>
        </w:tc>
        <w:tc>
          <w:tcPr>
            <w:tcW w:w="810" w:type="dxa"/>
            <w:vAlign w:val="bottom"/>
          </w:tcPr>
          <w:p w:rsidR="008D14A1" w:rsidRPr="000F65B1" w:rsidRDefault="008D14A1" w:rsidP="00F526AF">
            <w:pPr>
              <w:jc w:val="right"/>
              <w:rPr>
                <w:color w:val="000000"/>
                <w:sz w:val="22"/>
                <w:szCs w:val="22"/>
              </w:rPr>
            </w:pPr>
            <w:r>
              <w:rPr>
                <w:color w:val="000000"/>
                <w:sz w:val="22"/>
                <w:szCs w:val="22"/>
              </w:rPr>
              <w:t>0.1%</w:t>
            </w:r>
          </w:p>
        </w:tc>
        <w:tc>
          <w:tcPr>
            <w:tcW w:w="944" w:type="dxa"/>
            <w:vAlign w:val="bottom"/>
          </w:tcPr>
          <w:p w:rsidR="008D14A1" w:rsidRPr="000F65B1" w:rsidRDefault="008D14A1">
            <w:pPr>
              <w:jc w:val="right"/>
              <w:rPr>
                <w:color w:val="000000"/>
                <w:sz w:val="22"/>
                <w:szCs w:val="22"/>
              </w:rPr>
            </w:pPr>
            <w:r>
              <w:rPr>
                <w:color w:val="000000"/>
                <w:sz w:val="22"/>
                <w:szCs w:val="22"/>
              </w:rPr>
              <w:t>10</w:t>
            </w:r>
          </w:p>
        </w:tc>
        <w:tc>
          <w:tcPr>
            <w:tcW w:w="874" w:type="dxa"/>
            <w:vAlign w:val="bottom"/>
          </w:tcPr>
          <w:p w:rsidR="008D14A1" w:rsidRPr="000F65B1" w:rsidRDefault="008D14A1">
            <w:pPr>
              <w:jc w:val="right"/>
              <w:rPr>
                <w:color w:val="000000"/>
                <w:sz w:val="22"/>
                <w:szCs w:val="22"/>
              </w:rPr>
            </w:pPr>
            <w:r>
              <w:rPr>
                <w:color w:val="000000"/>
                <w:sz w:val="22"/>
                <w:szCs w:val="22"/>
              </w:rPr>
              <w:t>6%</w:t>
            </w:r>
          </w:p>
        </w:tc>
        <w:tc>
          <w:tcPr>
            <w:tcW w:w="969" w:type="dxa"/>
            <w:vAlign w:val="bottom"/>
          </w:tcPr>
          <w:p w:rsidR="008D14A1" w:rsidRPr="000F65B1" w:rsidRDefault="008D14A1">
            <w:pPr>
              <w:jc w:val="right"/>
              <w:rPr>
                <w:color w:val="000000"/>
                <w:sz w:val="22"/>
                <w:szCs w:val="22"/>
              </w:rPr>
            </w:pPr>
            <w:r>
              <w:rPr>
                <w:color w:val="000000"/>
                <w:sz w:val="22"/>
                <w:szCs w:val="22"/>
              </w:rPr>
              <w:t>0.0%</w:t>
            </w:r>
          </w:p>
        </w:tc>
      </w:tr>
      <w:tr w:rsidR="008D14A1" w:rsidRPr="00905C65" w:rsidTr="00E84E61">
        <w:trPr>
          <w:jc w:val="center"/>
        </w:trPr>
        <w:tc>
          <w:tcPr>
            <w:tcW w:w="1644" w:type="dxa"/>
            <w:tcBorders>
              <w:bottom w:val="single" w:sz="4" w:space="0" w:color="auto"/>
            </w:tcBorders>
            <w:vAlign w:val="bottom"/>
          </w:tcPr>
          <w:p w:rsidR="008D14A1" w:rsidRPr="00454C11" w:rsidRDefault="008D14A1" w:rsidP="00914E76">
            <w:pPr>
              <w:rPr>
                <w:sz w:val="22"/>
                <w:szCs w:val="22"/>
                <w:highlight w:val="yellow"/>
              </w:rPr>
            </w:pPr>
            <w:r w:rsidRPr="006C5361">
              <w:rPr>
                <w:color w:val="000000"/>
                <w:sz w:val="22"/>
                <w:szCs w:val="22"/>
              </w:rPr>
              <w:t>Other</w:t>
            </w:r>
            <w:r>
              <w:rPr>
                <w:color w:val="000000"/>
                <w:sz w:val="22"/>
                <w:szCs w:val="22"/>
              </w:rPr>
              <w:t xml:space="preserve"> Race</w:t>
            </w:r>
          </w:p>
        </w:tc>
        <w:tc>
          <w:tcPr>
            <w:tcW w:w="99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26,118</w:t>
            </w:r>
          </w:p>
        </w:tc>
        <w:tc>
          <w:tcPr>
            <w:tcW w:w="810" w:type="dxa"/>
            <w:tcBorders>
              <w:bottom w:val="single" w:sz="4" w:space="0" w:color="auto"/>
            </w:tcBorders>
            <w:vAlign w:val="bottom"/>
          </w:tcPr>
          <w:p w:rsidR="008D14A1" w:rsidRPr="00B6099E" w:rsidRDefault="008D14A1" w:rsidP="00F526AF">
            <w:pPr>
              <w:jc w:val="right"/>
              <w:rPr>
                <w:color w:val="000000"/>
                <w:sz w:val="22"/>
                <w:szCs w:val="22"/>
              </w:rPr>
            </w:pPr>
            <w:r w:rsidRPr="00B6099E">
              <w:rPr>
                <w:color w:val="000000"/>
                <w:sz w:val="22"/>
                <w:szCs w:val="22"/>
              </w:rPr>
              <w:t>21.</w:t>
            </w:r>
            <w:r>
              <w:rPr>
                <w:color w:val="000000"/>
                <w:sz w:val="22"/>
                <w:szCs w:val="22"/>
              </w:rPr>
              <w:t>6</w:t>
            </w:r>
            <w:r w:rsidRPr="00B6099E">
              <w:rPr>
                <w:color w:val="000000"/>
                <w:sz w:val="22"/>
                <w:szCs w:val="22"/>
              </w:rPr>
              <w:t>%</w:t>
            </w:r>
          </w:p>
        </w:tc>
        <w:tc>
          <w:tcPr>
            <w:tcW w:w="99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38,391</w:t>
            </w:r>
          </w:p>
        </w:tc>
        <w:tc>
          <w:tcPr>
            <w:tcW w:w="81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15.0%</w:t>
            </w:r>
          </w:p>
        </w:tc>
        <w:tc>
          <w:tcPr>
            <w:tcW w:w="1041"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30,678</w:t>
            </w:r>
          </w:p>
        </w:tc>
        <w:tc>
          <w:tcPr>
            <w:tcW w:w="786"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23.1%</w:t>
            </w:r>
          </w:p>
        </w:tc>
        <w:tc>
          <w:tcPr>
            <w:tcW w:w="99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43,376</w:t>
            </w:r>
          </w:p>
        </w:tc>
        <w:tc>
          <w:tcPr>
            <w:tcW w:w="81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16.5%</w:t>
            </w:r>
          </w:p>
        </w:tc>
        <w:tc>
          <w:tcPr>
            <w:tcW w:w="944" w:type="dxa"/>
            <w:tcBorders>
              <w:bottom w:val="sing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4,560</w:t>
            </w:r>
          </w:p>
        </w:tc>
        <w:tc>
          <w:tcPr>
            <w:tcW w:w="874" w:type="dxa"/>
            <w:tcBorders>
              <w:bottom w:val="sing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17.5%</w:t>
            </w:r>
          </w:p>
        </w:tc>
        <w:tc>
          <w:tcPr>
            <w:tcW w:w="969" w:type="dxa"/>
            <w:tcBorders>
              <w:bottom w:val="sing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1.4%</w:t>
            </w:r>
          </w:p>
        </w:tc>
      </w:tr>
      <w:tr w:rsidR="008D14A1" w:rsidRPr="00905C65" w:rsidTr="00E84E61">
        <w:trPr>
          <w:jc w:val="center"/>
        </w:trPr>
        <w:tc>
          <w:tcPr>
            <w:tcW w:w="1644" w:type="dxa"/>
            <w:tcBorders>
              <w:bottom w:val="single" w:sz="4" w:space="0" w:color="auto"/>
            </w:tcBorders>
            <w:vAlign w:val="bottom"/>
          </w:tcPr>
          <w:p w:rsidR="008D14A1" w:rsidRPr="00454C11" w:rsidRDefault="008D14A1" w:rsidP="00914E76">
            <w:pPr>
              <w:rPr>
                <w:sz w:val="22"/>
                <w:szCs w:val="22"/>
                <w:highlight w:val="yellow"/>
              </w:rPr>
            </w:pPr>
            <w:r>
              <w:rPr>
                <w:color w:val="000000"/>
                <w:sz w:val="22"/>
                <w:szCs w:val="22"/>
              </w:rPr>
              <w:t>Two or More Races</w:t>
            </w:r>
          </w:p>
        </w:tc>
        <w:tc>
          <w:tcPr>
            <w:tcW w:w="99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5,620</w:t>
            </w:r>
          </w:p>
        </w:tc>
        <w:tc>
          <w:tcPr>
            <w:tcW w:w="810" w:type="dxa"/>
            <w:tcBorders>
              <w:bottom w:val="single" w:sz="4" w:space="0" w:color="auto"/>
            </w:tcBorders>
            <w:vAlign w:val="bottom"/>
          </w:tcPr>
          <w:p w:rsidR="008D14A1" w:rsidRPr="00B6099E" w:rsidRDefault="008D14A1" w:rsidP="00F526AF">
            <w:pPr>
              <w:jc w:val="right"/>
              <w:rPr>
                <w:color w:val="000000"/>
                <w:sz w:val="22"/>
                <w:szCs w:val="22"/>
              </w:rPr>
            </w:pPr>
            <w:r w:rsidRPr="00B6099E">
              <w:rPr>
                <w:color w:val="000000"/>
                <w:sz w:val="22"/>
                <w:szCs w:val="22"/>
              </w:rPr>
              <w:t>4.</w:t>
            </w:r>
            <w:r>
              <w:rPr>
                <w:color w:val="000000"/>
                <w:sz w:val="22"/>
                <w:szCs w:val="22"/>
              </w:rPr>
              <w:t>6</w:t>
            </w:r>
            <w:r w:rsidRPr="00B6099E">
              <w:rPr>
                <w:color w:val="000000"/>
                <w:sz w:val="22"/>
                <w:szCs w:val="22"/>
              </w:rPr>
              <w:t>%</w:t>
            </w:r>
          </w:p>
        </w:tc>
        <w:tc>
          <w:tcPr>
            <w:tcW w:w="99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11,171</w:t>
            </w:r>
          </w:p>
        </w:tc>
        <w:tc>
          <w:tcPr>
            <w:tcW w:w="81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4.4%</w:t>
            </w:r>
          </w:p>
        </w:tc>
        <w:tc>
          <w:tcPr>
            <w:tcW w:w="1041"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6,701</w:t>
            </w:r>
          </w:p>
        </w:tc>
        <w:tc>
          <w:tcPr>
            <w:tcW w:w="786"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5.1%</w:t>
            </w:r>
          </w:p>
        </w:tc>
        <w:tc>
          <w:tcPr>
            <w:tcW w:w="99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12,318</w:t>
            </w:r>
          </w:p>
        </w:tc>
        <w:tc>
          <w:tcPr>
            <w:tcW w:w="810" w:type="dxa"/>
            <w:tcBorders>
              <w:bottom w:val="sing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4.7%</w:t>
            </w:r>
          </w:p>
        </w:tc>
        <w:tc>
          <w:tcPr>
            <w:tcW w:w="944" w:type="dxa"/>
            <w:tcBorders>
              <w:bottom w:val="sing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1,081</w:t>
            </w:r>
          </w:p>
        </w:tc>
        <w:tc>
          <w:tcPr>
            <w:tcW w:w="874" w:type="dxa"/>
            <w:tcBorders>
              <w:bottom w:val="sing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19.2%</w:t>
            </w:r>
          </w:p>
        </w:tc>
        <w:tc>
          <w:tcPr>
            <w:tcW w:w="969" w:type="dxa"/>
            <w:tcBorders>
              <w:bottom w:val="sing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0.4%</w:t>
            </w:r>
          </w:p>
        </w:tc>
      </w:tr>
      <w:tr w:rsidR="008D14A1" w:rsidRPr="00905C65" w:rsidTr="00E84E61">
        <w:trPr>
          <w:jc w:val="center"/>
        </w:trPr>
        <w:tc>
          <w:tcPr>
            <w:tcW w:w="1644" w:type="dxa"/>
            <w:tcBorders>
              <w:bottom w:val="double" w:sz="4" w:space="0" w:color="auto"/>
            </w:tcBorders>
          </w:tcPr>
          <w:p w:rsidR="008D14A1" w:rsidRPr="00905C65" w:rsidRDefault="008D14A1" w:rsidP="00914E76">
            <w:pPr>
              <w:rPr>
                <w:sz w:val="22"/>
                <w:szCs w:val="22"/>
                <w:highlight w:val="yellow"/>
              </w:rPr>
            </w:pPr>
            <w:r w:rsidRPr="006C5361">
              <w:rPr>
                <w:sz w:val="22"/>
                <w:szCs w:val="22"/>
              </w:rPr>
              <w:t>Hispanic Origin</w:t>
            </w:r>
            <w:r w:rsidRPr="006C5361">
              <w:rPr>
                <w:sz w:val="22"/>
                <w:szCs w:val="22"/>
                <w:vertAlign w:val="superscript"/>
              </w:rPr>
              <w:footnoteReference w:id="2"/>
            </w:r>
          </w:p>
        </w:tc>
        <w:tc>
          <w:tcPr>
            <w:tcW w:w="990" w:type="dxa"/>
            <w:tcBorders>
              <w:bottom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44,741</w:t>
            </w:r>
          </w:p>
        </w:tc>
        <w:tc>
          <w:tcPr>
            <w:tcW w:w="810" w:type="dxa"/>
            <w:tcBorders>
              <w:bottom w:val="double" w:sz="4" w:space="0" w:color="auto"/>
            </w:tcBorders>
            <w:vAlign w:val="bottom"/>
          </w:tcPr>
          <w:p w:rsidR="008D14A1" w:rsidRPr="00B6099E" w:rsidRDefault="008D14A1" w:rsidP="00F526AF">
            <w:pPr>
              <w:jc w:val="right"/>
              <w:rPr>
                <w:color w:val="000000"/>
                <w:sz w:val="22"/>
                <w:szCs w:val="22"/>
              </w:rPr>
            </w:pPr>
            <w:r w:rsidRPr="00B6099E">
              <w:rPr>
                <w:color w:val="000000"/>
                <w:sz w:val="22"/>
                <w:szCs w:val="22"/>
              </w:rPr>
              <w:t>3</w:t>
            </w:r>
            <w:r>
              <w:rPr>
                <w:color w:val="000000"/>
                <w:sz w:val="22"/>
                <w:szCs w:val="22"/>
              </w:rPr>
              <w:t>6.9</w:t>
            </w:r>
            <w:r w:rsidRPr="00B6099E">
              <w:rPr>
                <w:color w:val="000000"/>
                <w:sz w:val="22"/>
                <w:szCs w:val="22"/>
              </w:rPr>
              <w:t>%</w:t>
            </w:r>
          </w:p>
        </w:tc>
        <w:tc>
          <w:tcPr>
            <w:tcW w:w="990" w:type="dxa"/>
            <w:tcBorders>
              <w:bottom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68,486</w:t>
            </w:r>
          </w:p>
        </w:tc>
        <w:tc>
          <w:tcPr>
            <w:tcW w:w="810" w:type="dxa"/>
            <w:tcBorders>
              <w:bottom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26.8%</w:t>
            </w:r>
          </w:p>
        </w:tc>
        <w:tc>
          <w:tcPr>
            <w:tcW w:w="1041" w:type="dxa"/>
            <w:tcBorders>
              <w:bottom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56,395</w:t>
            </w:r>
          </w:p>
        </w:tc>
        <w:tc>
          <w:tcPr>
            <w:tcW w:w="786" w:type="dxa"/>
            <w:tcBorders>
              <w:bottom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42.5%</w:t>
            </w:r>
          </w:p>
        </w:tc>
        <w:tc>
          <w:tcPr>
            <w:tcW w:w="990" w:type="dxa"/>
            <w:tcBorders>
              <w:bottom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84,092</w:t>
            </w:r>
          </w:p>
        </w:tc>
        <w:tc>
          <w:tcPr>
            <w:tcW w:w="810" w:type="dxa"/>
            <w:tcBorders>
              <w:bottom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32.0%</w:t>
            </w:r>
          </w:p>
        </w:tc>
        <w:tc>
          <w:tcPr>
            <w:tcW w:w="944" w:type="dxa"/>
            <w:tcBorders>
              <w:bottom w:val="doub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11,654</w:t>
            </w:r>
          </w:p>
        </w:tc>
        <w:tc>
          <w:tcPr>
            <w:tcW w:w="874" w:type="dxa"/>
            <w:tcBorders>
              <w:bottom w:val="doub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26.0%</w:t>
            </w:r>
          </w:p>
        </w:tc>
        <w:tc>
          <w:tcPr>
            <w:tcW w:w="969" w:type="dxa"/>
            <w:tcBorders>
              <w:bottom w:val="doub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5.3%</w:t>
            </w:r>
          </w:p>
        </w:tc>
      </w:tr>
      <w:tr w:rsidR="008D14A1" w:rsidRPr="00905C65" w:rsidTr="00E84E61">
        <w:trPr>
          <w:jc w:val="center"/>
        </w:trPr>
        <w:tc>
          <w:tcPr>
            <w:tcW w:w="1644" w:type="dxa"/>
            <w:tcBorders>
              <w:top w:val="double" w:sz="4" w:space="0" w:color="auto"/>
              <w:left w:val="double" w:sz="4" w:space="0" w:color="auto"/>
              <w:bottom w:val="double" w:sz="4" w:space="0" w:color="auto"/>
              <w:right w:val="double" w:sz="4" w:space="0" w:color="auto"/>
            </w:tcBorders>
          </w:tcPr>
          <w:p w:rsidR="008D14A1" w:rsidRPr="00905C65" w:rsidRDefault="008D14A1" w:rsidP="00914E76">
            <w:pPr>
              <w:rPr>
                <w:b/>
                <w:sz w:val="22"/>
                <w:szCs w:val="22"/>
                <w:highlight w:val="yellow"/>
                <w:u w:val="single"/>
              </w:rPr>
            </w:pPr>
            <w:r w:rsidRPr="006C5361">
              <w:rPr>
                <w:b/>
                <w:sz w:val="22"/>
                <w:szCs w:val="22"/>
                <w:u w:val="single"/>
              </w:rPr>
              <w:t>Total Population</w:t>
            </w:r>
          </w:p>
        </w:tc>
        <w:tc>
          <w:tcPr>
            <w:tcW w:w="990" w:type="dxa"/>
            <w:tcBorders>
              <w:top w:val="double" w:sz="4" w:space="0" w:color="auto"/>
              <w:left w:val="double" w:sz="4" w:space="0" w:color="auto"/>
              <w:bottom w:val="double" w:sz="4" w:space="0" w:color="auto"/>
              <w:right w:val="double" w:sz="4" w:space="0" w:color="auto"/>
            </w:tcBorders>
            <w:vAlign w:val="bottom"/>
          </w:tcPr>
          <w:p w:rsidR="008D14A1" w:rsidRPr="00B6099E" w:rsidRDefault="008D14A1" w:rsidP="00F526AF">
            <w:pPr>
              <w:jc w:val="right"/>
              <w:rPr>
                <w:color w:val="000000"/>
                <w:sz w:val="22"/>
                <w:szCs w:val="22"/>
              </w:rPr>
            </w:pPr>
            <w:r w:rsidRPr="00B6099E">
              <w:rPr>
                <w:color w:val="000000"/>
                <w:sz w:val="22"/>
                <w:szCs w:val="22"/>
              </w:rPr>
              <w:t>12</w:t>
            </w:r>
            <w:r>
              <w:rPr>
                <w:color w:val="000000"/>
                <w:sz w:val="22"/>
                <w:szCs w:val="22"/>
              </w:rPr>
              <w:t>1</w:t>
            </w:r>
            <w:r w:rsidRPr="00B6099E">
              <w:rPr>
                <w:color w:val="000000"/>
                <w:sz w:val="22"/>
                <w:szCs w:val="22"/>
              </w:rPr>
              <w:t>,</w:t>
            </w:r>
            <w:r>
              <w:rPr>
                <w:color w:val="000000"/>
                <w:sz w:val="22"/>
                <w:szCs w:val="22"/>
              </w:rPr>
              <w:t>1</w:t>
            </w:r>
            <w:r w:rsidRPr="00B6099E">
              <w:rPr>
                <w:color w:val="000000"/>
                <w:sz w:val="22"/>
                <w:szCs w:val="22"/>
              </w:rPr>
              <w:t>6</w:t>
            </w:r>
            <w:r>
              <w:rPr>
                <w:color w:val="000000"/>
                <w:sz w:val="22"/>
                <w:szCs w:val="22"/>
              </w:rPr>
              <w:t>9</w:t>
            </w:r>
          </w:p>
        </w:tc>
        <w:tc>
          <w:tcPr>
            <w:tcW w:w="810" w:type="dxa"/>
            <w:tcBorders>
              <w:top w:val="double" w:sz="4" w:space="0" w:color="auto"/>
              <w:left w:val="double" w:sz="4" w:space="0" w:color="auto"/>
              <w:bottom w:val="double" w:sz="4" w:space="0" w:color="auto"/>
              <w:right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100%</w:t>
            </w:r>
          </w:p>
        </w:tc>
        <w:tc>
          <w:tcPr>
            <w:tcW w:w="990" w:type="dxa"/>
            <w:tcBorders>
              <w:top w:val="double" w:sz="4" w:space="0" w:color="auto"/>
              <w:bottom w:val="double" w:sz="4" w:space="0" w:color="auto"/>
              <w:right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255,602</w:t>
            </w:r>
          </w:p>
        </w:tc>
        <w:tc>
          <w:tcPr>
            <w:tcW w:w="810" w:type="dxa"/>
            <w:tcBorders>
              <w:top w:val="double" w:sz="4" w:space="0" w:color="auto"/>
              <w:bottom w:val="double" w:sz="4" w:space="0" w:color="auto"/>
              <w:right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100%</w:t>
            </w:r>
          </w:p>
        </w:tc>
        <w:tc>
          <w:tcPr>
            <w:tcW w:w="1041" w:type="dxa"/>
            <w:tcBorders>
              <w:top w:val="double" w:sz="4" w:space="0" w:color="auto"/>
              <w:bottom w:val="double" w:sz="4" w:space="0" w:color="auto"/>
              <w:right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132,643</w:t>
            </w:r>
          </w:p>
        </w:tc>
        <w:tc>
          <w:tcPr>
            <w:tcW w:w="786" w:type="dxa"/>
            <w:tcBorders>
              <w:top w:val="double" w:sz="4" w:space="0" w:color="auto"/>
              <w:bottom w:val="double" w:sz="4" w:space="0" w:color="auto"/>
              <w:right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100%</w:t>
            </w:r>
          </w:p>
        </w:tc>
        <w:tc>
          <w:tcPr>
            <w:tcW w:w="990" w:type="dxa"/>
            <w:tcBorders>
              <w:top w:val="double" w:sz="4" w:space="0" w:color="auto"/>
              <w:bottom w:val="double" w:sz="4" w:space="0" w:color="auto"/>
              <w:right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262,382</w:t>
            </w:r>
          </w:p>
        </w:tc>
        <w:tc>
          <w:tcPr>
            <w:tcW w:w="810" w:type="dxa"/>
            <w:tcBorders>
              <w:top w:val="double" w:sz="4" w:space="0" w:color="auto"/>
              <w:left w:val="double" w:sz="4" w:space="0" w:color="auto"/>
              <w:bottom w:val="double" w:sz="4" w:space="0" w:color="auto"/>
              <w:right w:val="double" w:sz="4" w:space="0" w:color="auto"/>
            </w:tcBorders>
            <w:vAlign w:val="bottom"/>
          </w:tcPr>
          <w:p w:rsidR="008D14A1" w:rsidRPr="00B6099E" w:rsidRDefault="008D14A1" w:rsidP="00914E76">
            <w:pPr>
              <w:jc w:val="right"/>
              <w:rPr>
                <w:color w:val="000000"/>
                <w:sz w:val="22"/>
                <w:szCs w:val="22"/>
              </w:rPr>
            </w:pPr>
            <w:r w:rsidRPr="00B6099E">
              <w:rPr>
                <w:color w:val="000000"/>
                <w:sz w:val="22"/>
                <w:szCs w:val="22"/>
              </w:rPr>
              <w:t>100%</w:t>
            </w:r>
          </w:p>
        </w:tc>
        <w:tc>
          <w:tcPr>
            <w:tcW w:w="944" w:type="dxa"/>
            <w:tcBorders>
              <w:top w:val="double" w:sz="4" w:space="0" w:color="auto"/>
              <w:left w:val="double" w:sz="4" w:space="0" w:color="auto"/>
              <w:bottom w:val="double" w:sz="4" w:space="0" w:color="auto"/>
              <w:right w:val="double" w:sz="4" w:space="0" w:color="auto"/>
            </w:tcBorders>
            <w:vAlign w:val="bottom"/>
          </w:tcPr>
          <w:p w:rsidR="008D14A1" w:rsidRPr="00E97520" w:rsidRDefault="008D14A1" w:rsidP="00F526AF">
            <w:pPr>
              <w:jc w:val="right"/>
              <w:rPr>
                <w:color w:val="000000"/>
                <w:sz w:val="22"/>
                <w:szCs w:val="22"/>
              </w:rPr>
            </w:pPr>
            <w:r w:rsidRPr="00E84E61">
              <w:rPr>
                <w:color w:val="000000"/>
                <w:sz w:val="22"/>
                <w:szCs w:val="22"/>
              </w:rPr>
              <w:t>1</w:t>
            </w:r>
            <w:r w:rsidR="00D0750E">
              <w:rPr>
                <w:color w:val="000000"/>
                <w:sz w:val="22"/>
                <w:szCs w:val="22"/>
              </w:rPr>
              <w:t>1</w:t>
            </w:r>
            <w:r w:rsidRPr="00E84E61">
              <w:rPr>
                <w:color w:val="000000"/>
                <w:sz w:val="22"/>
                <w:szCs w:val="22"/>
              </w:rPr>
              <w:t>,</w:t>
            </w:r>
            <w:r w:rsidR="00D0750E">
              <w:rPr>
                <w:color w:val="000000"/>
                <w:sz w:val="22"/>
                <w:szCs w:val="22"/>
              </w:rPr>
              <w:t>4</w:t>
            </w:r>
            <w:r w:rsidRPr="00E84E61">
              <w:rPr>
                <w:color w:val="000000"/>
                <w:sz w:val="22"/>
                <w:szCs w:val="22"/>
              </w:rPr>
              <w:t>7</w:t>
            </w:r>
            <w:r w:rsidR="00D0750E">
              <w:rPr>
                <w:color w:val="000000"/>
                <w:sz w:val="22"/>
                <w:szCs w:val="22"/>
              </w:rPr>
              <w:t>4</w:t>
            </w:r>
          </w:p>
        </w:tc>
        <w:tc>
          <w:tcPr>
            <w:tcW w:w="874" w:type="dxa"/>
            <w:tcBorders>
              <w:top w:val="double" w:sz="4" w:space="0" w:color="auto"/>
              <w:left w:val="double" w:sz="4" w:space="0" w:color="auto"/>
              <w:bottom w:val="double" w:sz="4" w:space="0" w:color="auto"/>
              <w:right w:val="double" w:sz="4" w:space="0" w:color="auto"/>
            </w:tcBorders>
            <w:vAlign w:val="bottom"/>
          </w:tcPr>
          <w:p w:rsidR="008D14A1" w:rsidRPr="00E97520" w:rsidRDefault="00D0750E" w:rsidP="00914E76">
            <w:pPr>
              <w:jc w:val="right"/>
              <w:rPr>
                <w:color w:val="000000"/>
                <w:sz w:val="22"/>
                <w:szCs w:val="22"/>
              </w:rPr>
            </w:pPr>
            <w:r>
              <w:rPr>
                <w:color w:val="000000"/>
                <w:sz w:val="22"/>
                <w:szCs w:val="22"/>
              </w:rPr>
              <w:t>9.5</w:t>
            </w:r>
            <w:r w:rsidR="008D14A1" w:rsidRPr="00E84E61">
              <w:rPr>
                <w:color w:val="000000"/>
                <w:sz w:val="22"/>
                <w:szCs w:val="22"/>
              </w:rPr>
              <w:t>%</w:t>
            </w:r>
          </w:p>
        </w:tc>
        <w:tc>
          <w:tcPr>
            <w:tcW w:w="969" w:type="dxa"/>
            <w:tcBorders>
              <w:top w:val="double" w:sz="4" w:space="0" w:color="auto"/>
              <w:left w:val="double" w:sz="4" w:space="0" w:color="auto"/>
              <w:bottom w:val="double" w:sz="4" w:space="0" w:color="auto"/>
              <w:right w:val="double" w:sz="4" w:space="0" w:color="auto"/>
            </w:tcBorders>
            <w:vAlign w:val="bottom"/>
          </w:tcPr>
          <w:p w:rsidR="008D14A1" w:rsidRPr="00E97520" w:rsidRDefault="008D14A1" w:rsidP="00914E76">
            <w:pPr>
              <w:jc w:val="right"/>
              <w:rPr>
                <w:color w:val="000000"/>
                <w:sz w:val="22"/>
                <w:szCs w:val="22"/>
              </w:rPr>
            </w:pPr>
            <w:r w:rsidRPr="00E84E61">
              <w:rPr>
                <w:color w:val="000000"/>
                <w:sz w:val="22"/>
                <w:szCs w:val="22"/>
              </w:rPr>
              <w:t>0.0%</w:t>
            </w:r>
          </w:p>
        </w:tc>
      </w:tr>
    </w:tbl>
    <w:p w:rsidR="00F84E06" w:rsidRDefault="00F84E06"/>
    <w:tbl>
      <w:tblPr>
        <w:tblW w:w="5244"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4"/>
        <w:gridCol w:w="990"/>
        <w:gridCol w:w="810"/>
        <w:gridCol w:w="990"/>
        <w:gridCol w:w="810"/>
      </w:tblGrid>
      <w:tr w:rsidR="008D14A1" w:rsidRPr="00905C65" w:rsidTr="000E748D">
        <w:trPr>
          <w:trHeight w:val="323"/>
        </w:trPr>
        <w:tc>
          <w:tcPr>
            <w:tcW w:w="1644" w:type="dxa"/>
            <w:tcBorders>
              <w:top w:val="single" w:sz="4" w:space="0" w:color="auto"/>
              <w:left w:val="single" w:sz="4" w:space="0" w:color="auto"/>
              <w:bottom w:val="single" w:sz="4" w:space="0" w:color="auto"/>
              <w:right w:val="single" w:sz="4" w:space="0" w:color="auto"/>
            </w:tcBorders>
          </w:tcPr>
          <w:p w:rsidR="008D14A1" w:rsidRPr="00E84E61" w:rsidRDefault="008D14A1" w:rsidP="00914E76">
            <w:pPr>
              <w:rPr>
                <w:sz w:val="22"/>
                <w:szCs w:val="22"/>
              </w:rPr>
            </w:pPr>
            <w:r w:rsidRPr="00E84E61">
              <w:rPr>
                <w:sz w:val="22"/>
                <w:szCs w:val="22"/>
              </w:rPr>
              <w:t>Low Income</w:t>
            </w:r>
          </w:p>
        </w:tc>
        <w:tc>
          <w:tcPr>
            <w:tcW w:w="990" w:type="dxa"/>
            <w:tcBorders>
              <w:top w:val="single" w:sz="4" w:space="0" w:color="auto"/>
              <w:left w:val="single" w:sz="4" w:space="0" w:color="auto"/>
              <w:bottom w:val="single" w:sz="4" w:space="0" w:color="auto"/>
              <w:right w:val="single" w:sz="4" w:space="0" w:color="auto"/>
            </w:tcBorders>
            <w:vAlign w:val="bottom"/>
          </w:tcPr>
          <w:p w:rsidR="008D14A1" w:rsidRPr="00F51431" w:rsidRDefault="008D14A1" w:rsidP="00914E76">
            <w:pPr>
              <w:jc w:val="center"/>
              <w:rPr>
                <w:bCs/>
                <w:color w:val="000000"/>
                <w:sz w:val="22"/>
                <w:szCs w:val="22"/>
              </w:rPr>
            </w:pPr>
            <w:r w:rsidRPr="00F51431">
              <w:rPr>
                <w:bCs/>
                <w:color w:val="000000"/>
                <w:sz w:val="22"/>
                <w:szCs w:val="22"/>
              </w:rPr>
              <w:t>17,693</w:t>
            </w:r>
          </w:p>
        </w:tc>
        <w:tc>
          <w:tcPr>
            <w:tcW w:w="810" w:type="dxa"/>
            <w:tcBorders>
              <w:top w:val="single" w:sz="4" w:space="0" w:color="auto"/>
              <w:left w:val="single" w:sz="4" w:space="0" w:color="auto"/>
              <w:bottom w:val="single" w:sz="4" w:space="0" w:color="auto"/>
              <w:right w:val="single" w:sz="4" w:space="0" w:color="auto"/>
            </w:tcBorders>
            <w:vAlign w:val="bottom"/>
          </w:tcPr>
          <w:p w:rsidR="008D14A1" w:rsidRPr="00F51431" w:rsidRDefault="008D14A1" w:rsidP="00914E76">
            <w:pPr>
              <w:jc w:val="center"/>
              <w:rPr>
                <w:color w:val="000000"/>
                <w:sz w:val="22"/>
                <w:szCs w:val="22"/>
              </w:rPr>
            </w:pPr>
            <w:r w:rsidRPr="00F51431">
              <w:rPr>
                <w:color w:val="000000"/>
                <w:sz w:val="22"/>
                <w:szCs w:val="22"/>
              </w:rPr>
              <w:t>14.7%</w:t>
            </w:r>
          </w:p>
        </w:tc>
        <w:tc>
          <w:tcPr>
            <w:tcW w:w="990" w:type="dxa"/>
            <w:tcBorders>
              <w:top w:val="single" w:sz="4" w:space="0" w:color="auto"/>
              <w:left w:val="single" w:sz="4" w:space="0" w:color="auto"/>
              <w:bottom w:val="single" w:sz="4" w:space="0" w:color="auto"/>
              <w:right w:val="single" w:sz="4" w:space="0" w:color="auto"/>
            </w:tcBorders>
            <w:vAlign w:val="bottom"/>
          </w:tcPr>
          <w:p w:rsidR="008D14A1" w:rsidRPr="00F51431" w:rsidRDefault="008D14A1" w:rsidP="00914E76">
            <w:pPr>
              <w:jc w:val="center"/>
              <w:rPr>
                <w:bCs/>
                <w:color w:val="000000"/>
                <w:sz w:val="22"/>
                <w:szCs w:val="22"/>
              </w:rPr>
            </w:pPr>
            <w:r w:rsidRPr="00F51431">
              <w:rPr>
                <w:bCs/>
                <w:color w:val="000000"/>
                <w:sz w:val="22"/>
                <w:szCs w:val="22"/>
              </w:rPr>
              <w:t>29,383</w:t>
            </w:r>
          </w:p>
        </w:tc>
        <w:tc>
          <w:tcPr>
            <w:tcW w:w="810" w:type="dxa"/>
            <w:tcBorders>
              <w:top w:val="single" w:sz="4" w:space="0" w:color="auto"/>
              <w:left w:val="single" w:sz="4" w:space="0" w:color="auto"/>
              <w:bottom w:val="single" w:sz="4" w:space="0" w:color="auto"/>
              <w:right w:val="single" w:sz="4" w:space="0" w:color="auto"/>
            </w:tcBorders>
            <w:vAlign w:val="bottom"/>
          </w:tcPr>
          <w:p w:rsidR="008D14A1" w:rsidRPr="00F51431" w:rsidRDefault="008D14A1" w:rsidP="00914E76">
            <w:pPr>
              <w:jc w:val="center"/>
              <w:rPr>
                <w:color w:val="000000"/>
                <w:sz w:val="22"/>
                <w:szCs w:val="22"/>
              </w:rPr>
            </w:pPr>
            <w:r w:rsidRPr="00F51431">
              <w:rPr>
                <w:color w:val="000000"/>
                <w:sz w:val="22"/>
                <w:szCs w:val="22"/>
              </w:rPr>
              <w:t>11.9%</w:t>
            </w:r>
          </w:p>
        </w:tc>
      </w:tr>
      <w:tr w:rsidR="008D14A1" w:rsidRPr="00905C65" w:rsidTr="000E748D">
        <w:trPr>
          <w:trHeight w:val="350"/>
        </w:trPr>
        <w:tc>
          <w:tcPr>
            <w:tcW w:w="1644" w:type="dxa"/>
            <w:tcBorders>
              <w:top w:val="single" w:sz="4" w:space="0" w:color="auto"/>
              <w:left w:val="single" w:sz="4" w:space="0" w:color="auto"/>
              <w:bottom w:val="single" w:sz="4" w:space="0" w:color="auto"/>
              <w:right w:val="single" w:sz="4" w:space="0" w:color="auto"/>
            </w:tcBorders>
          </w:tcPr>
          <w:p w:rsidR="008D14A1" w:rsidRPr="00E84E61" w:rsidRDefault="008D14A1" w:rsidP="00914E76">
            <w:pPr>
              <w:rPr>
                <w:sz w:val="22"/>
                <w:szCs w:val="22"/>
              </w:rPr>
            </w:pPr>
            <w:r w:rsidRPr="00E84E61">
              <w:rPr>
                <w:sz w:val="22"/>
                <w:szCs w:val="22"/>
              </w:rPr>
              <w:t>Limited English</w:t>
            </w:r>
          </w:p>
        </w:tc>
        <w:tc>
          <w:tcPr>
            <w:tcW w:w="990" w:type="dxa"/>
            <w:tcBorders>
              <w:top w:val="single" w:sz="4" w:space="0" w:color="auto"/>
              <w:left w:val="single" w:sz="4" w:space="0" w:color="auto"/>
              <w:bottom w:val="single" w:sz="4" w:space="0" w:color="auto"/>
              <w:right w:val="single" w:sz="4" w:space="0" w:color="auto"/>
            </w:tcBorders>
            <w:vAlign w:val="bottom"/>
          </w:tcPr>
          <w:p w:rsidR="008D14A1" w:rsidRPr="00F51431" w:rsidRDefault="008D14A1" w:rsidP="00914E76">
            <w:pPr>
              <w:jc w:val="center"/>
              <w:rPr>
                <w:bCs/>
                <w:color w:val="000000"/>
                <w:sz w:val="22"/>
                <w:szCs w:val="22"/>
              </w:rPr>
            </w:pPr>
            <w:r w:rsidRPr="00F51431">
              <w:rPr>
                <w:bCs/>
                <w:color w:val="000000"/>
                <w:sz w:val="22"/>
                <w:szCs w:val="22"/>
              </w:rPr>
              <w:t>23,623</w:t>
            </w:r>
          </w:p>
        </w:tc>
        <w:tc>
          <w:tcPr>
            <w:tcW w:w="810" w:type="dxa"/>
            <w:tcBorders>
              <w:top w:val="single" w:sz="4" w:space="0" w:color="auto"/>
              <w:left w:val="single" w:sz="4" w:space="0" w:color="auto"/>
              <w:bottom w:val="single" w:sz="4" w:space="0" w:color="auto"/>
              <w:right w:val="single" w:sz="4" w:space="0" w:color="auto"/>
            </w:tcBorders>
            <w:vAlign w:val="bottom"/>
          </w:tcPr>
          <w:p w:rsidR="008D14A1" w:rsidRPr="00F51431" w:rsidRDefault="008D14A1" w:rsidP="00914E76">
            <w:pPr>
              <w:jc w:val="center"/>
              <w:rPr>
                <w:color w:val="000000"/>
                <w:sz w:val="22"/>
                <w:szCs w:val="22"/>
              </w:rPr>
            </w:pPr>
            <w:r w:rsidRPr="00F51431">
              <w:rPr>
                <w:color w:val="000000"/>
                <w:sz w:val="22"/>
                <w:szCs w:val="22"/>
              </w:rPr>
              <w:t>19.6%</w:t>
            </w:r>
          </w:p>
        </w:tc>
        <w:tc>
          <w:tcPr>
            <w:tcW w:w="990" w:type="dxa"/>
            <w:tcBorders>
              <w:top w:val="single" w:sz="4" w:space="0" w:color="auto"/>
              <w:left w:val="single" w:sz="4" w:space="0" w:color="auto"/>
              <w:bottom w:val="single" w:sz="4" w:space="0" w:color="auto"/>
              <w:right w:val="single" w:sz="4" w:space="0" w:color="auto"/>
            </w:tcBorders>
            <w:vAlign w:val="bottom"/>
          </w:tcPr>
          <w:p w:rsidR="008D14A1" w:rsidRPr="00F51431" w:rsidRDefault="008D14A1" w:rsidP="00914E76">
            <w:pPr>
              <w:jc w:val="center"/>
              <w:rPr>
                <w:bCs/>
                <w:color w:val="000000"/>
                <w:sz w:val="22"/>
                <w:szCs w:val="22"/>
              </w:rPr>
            </w:pPr>
            <w:r w:rsidRPr="00F51431">
              <w:rPr>
                <w:bCs/>
                <w:color w:val="000000"/>
                <w:sz w:val="22"/>
                <w:szCs w:val="22"/>
              </w:rPr>
              <w:t>34,399</w:t>
            </w:r>
          </w:p>
        </w:tc>
        <w:tc>
          <w:tcPr>
            <w:tcW w:w="810" w:type="dxa"/>
            <w:tcBorders>
              <w:top w:val="single" w:sz="4" w:space="0" w:color="auto"/>
              <w:left w:val="single" w:sz="4" w:space="0" w:color="auto"/>
              <w:bottom w:val="single" w:sz="4" w:space="0" w:color="auto"/>
              <w:right w:val="single" w:sz="4" w:space="0" w:color="auto"/>
            </w:tcBorders>
            <w:vAlign w:val="bottom"/>
          </w:tcPr>
          <w:p w:rsidR="008D14A1" w:rsidRPr="00F51431" w:rsidRDefault="008D14A1" w:rsidP="00914E76">
            <w:pPr>
              <w:jc w:val="center"/>
              <w:rPr>
                <w:color w:val="000000"/>
                <w:sz w:val="22"/>
                <w:szCs w:val="22"/>
              </w:rPr>
            </w:pPr>
            <w:r w:rsidRPr="00F51431">
              <w:rPr>
                <w:color w:val="000000"/>
                <w:sz w:val="22"/>
                <w:szCs w:val="22"/>
              </w:rPr>
              <w:t>14.3%</w:t>
            </w:r>
          </w:p>
        </w:tc>
      </w:tr>
    </w:tbl>
    <w:p w:rsidR="004F0DEB" w:rsidRPr="00905C65" w:rsidRDefault="004F0DEB">
      <w:pPr>
        <w:rPr>
          <w:sz w:val="28"/>
          <w:szCs w:val="28"/>
          <w:highlight w:val="yellow"/>
        </w:rPr>
      </w:pPr>
      <w:r>
        <w:rPr>
          <w:sz w:val="28"/>
          <w:szCs w:val="28"/>
        </w:rPr>
        <w:br w:type="page"/>
      </w:r>
    </w:p>
    <w:p w:rsidR="00176420" w:rsidRDefault="009734DD" w:rsidP="008B2510">
      <w:pPr>
        <w:pStyle w:val="BHLevel1"/>
        <w:rPr>
          <w:sz w:val="28"/>
          <w:szCs w:val="28"/>
        </w:rPr>
      </w:pPr>
      <w:bookmarkStart w:id="9" w:name="_Toc312841756"/>
      <w:r w:rsidRPr="008B2510">
        <w:rPr>
          <w:sz w:val="28"/>
          <w:szCs w:val="28"/>
        </w:rPr>
        <w:lastRenderedPageBreak/>
        <w:t>SCOPE AND METHODOLOGY</w:t>
      </w:r>
      <w:bookmarkEnd w:id="7"/>
      <w:bookmarkEnd w:id="9"/>
    </w:p>
    <w:p w:rsidR="00AE1FF2" w:rsidRPr="00BE19FD" w:rsidRDefault="00AE1FF2" w:rsidP="00E84E61">
      <w:pPr>
        <w:rPr>
          <w:sz w:val="28"/>
          <w:szCs w:val="28"/>
        </w:rPr>
      </w:pPr>
    </w:p>
    <w:p w:rsidR="00F80A8D" w:rsidRDefault="00F80A8D">
      <w:pPr>
        <w:pStyle w:val="Heading4"/>
        <w:spacing w:line="360" w:lineRule="auto"/>
        <w:rPr>
          <w:sz w:val="28"/>
          <w:szCs w:val="28"/>
        </w:rPr>
      </w:pPr>
      <w:r>
        <w:rPr>
          <w:sz w:val="28"/>
          <w:szCs w:val="28"/>
        </w:rPr>
        <w:t>Scope</w:t>
      </w:r>
    </w:p>
    <w:p w:rsidR="00F80A8D" w:rsidRDefault="00F80A8D">
      <w:pPr>
        <w:spacing w:line="360" w:lineRule="auto"/>
        <w:rPr>
          <w:sz w:val="28"/>
          <w:szCs w:val="28"/>
        </w:rPr>
      </w:pPr>
      <w:r>
        <w:rPr>
          <w:sz w:val="28"/>
          <w:szCs w:val="28"/>
        </w:rPr>
        <w:t xml:space="preserve">The Title VI Compliance Review of </w:t>
      </w:r>
      <w:r w:rsidR="005468B2">
        <w:rPr>
          <w:sz w:val="28"/>
          <w:szCs w:val="28"/>
        </w:rPr>
        <w:t>METRO</w:t>
      </w:r>
      <w:r>
        <w:rPr>
          <w:sz w:val="28"/>
          <w:szCs w:val="28"/>
        </w:rPr>
        <w:t xml:space="preserve"> examined the following requirements as specified in FTA Circular 4702.1A: </w:t>
      </w:r>
    </w:p>
    <w:p w:rsidR="00550C55" w:rsidRDefault="00550C55" w:rsidP="00550C55">
      <w:pPr>
        <w:spacing w:line="360" w:lineRule="auto"/>
        <w:rPr>
          <w:sz w:val="28"/>
          <w:szCs w:val="28"/>
          <w:u w:val="single"/>
        </w:rPr>
      </w:pPr>
    </w:p>
    <w:p w:rsidR="00F80A8D" w:rsidRDefault="00F80A8D" w:rsidP="00550C55">
      <w:pPr>
        <w:spacing w:line="360" w:lineRule="auto"/>
        <w:rPr>
          <w:sz w:val="28"/>
          <w:szCs w:val="28"/>
        </w:rPr>
      </w:pPr>
      <w:r>
        <w:rPr>
          <w:sz w:val="28"/>
          <w:szCs w:val="28"/>
          <w:u w:val="single"/>
        </w:rPr>
        <w:t>General Reporting Requirements</w:t>
      </w:r>
      <w:r w:rsidR="000A65D4">
        <w:rPr>
          <w:sz w:val="28"/>
          <w:szCs w:val="28"/>
          <w:u w:val="single"/>
        </w:rPr>
        <w:t xml:space="preserve"> and Guidelines</w:t>
      </w:r>
      <w:r>
        <w:rPr>
          <w:sz w:val="28"/>
          <w:szCs w:val="28"/>
        </w:rPr>
        <w:t xml:space="preserve"> </w:t>
      </w:r>
      <w:r w:rsidR="00552C6A">
        <w:rPr>
          <w:sz w:val="28"/>
          <w:szCs w:val="28"/>
        </w:rPr>
        <w:t>–</w:t>
      </w:r>
      <w:r>
        <w:rPr>
          <w:sz w:val="28"/>
          <w:szCs w:val="28"/>
        </w:rPr>
        <w:t xml:space="preserve"> all</w:t>
      </w:r>
      <w:r w:rsidR="00552C6A">
        <w:rPr>
          <w:sz w:val="28"/>
          <w:szCs w:val="28"/>
        </w:rPr>
        <w:t xml:space="preserve"> </w:t>
      </w:r>
      <w:r>
        <w:rPr>
          <w:sz w:val="28"/>
          <w:szCs w:val="28"/>
        </w:rPr>
        <w:t>applicants, recipients</w:t>
      </w:r>
      <w:r w:rsidR="00B26E51">
        <w:rPr>
          <w:sz w:val="28"/>
          <w:szCs w:val="28"/>
        </w:rPr>
        <w:t>,</w:t>
      </w:r>
      <w:r>
        <w:rPr>
          <w:sz w:val="28"/>
          <w:szCs w:val="28"/>
        </w:rPr>
        <w:t xml:space="preserve"> and subrecipients shall maintain and submit the following:  </w:t>
      </w:r>
    </w:p>
    <w:p w:rsidR="00F80A8D" w:rsidRDefault="00F80A8D">
      <w:pPr>
        <w:rPr>
          <w:sz w:val="28"/>
          <w:szCs w:val="28"/>
        </w:rPr>
      </w:pPr>
    </w:p>
    <w:p w:rsidR="00F80A8D" w:rsidRDefault="00F80A8D" w:rsidP="00150F0E">
      <w:pPr>
        <w:numPr>
          <w:ilvl w:val="0"/>
          <w:numId w:val="4"/>
        </w:numPr>
        <w:tabs>
          <w:tab w:val="clear" w:pos="360"/>
        </w:tabs>
        <w:spacing w:line="360" w:lineRule="auto"/>
        <w:ind w:left="1080"/>
        <w:rPr>
          <w:sz w:val="28"/>
          <w:szCs w:val="28"/>
        </w:rPr>
      </w:pPr>
      <w:r>
        <w:rPr>
          <w:sz w:val="28"/>
          <w:szCs w:val="28"/>
        </w:rPr>
        <w:t>Annual Title VI Certification and Assurance;</w:t>
      </w:r>
    </w:p>
    <w:p w:rsidR="00F80A8D" w:rsidRDefault="00F80A8D" w:rsidP="00150F0E">
      <w:pPr>
        <w:numPr>
          <w:ilvl w:val="0"/>
          <w:numId w:val="4"/>
        </w:numPr>
        <w:tabs>
          <w:tab w:val="clear" w:pos="360"/>
        </w:tabs>
        <w:spacing w:line="360" w:lineRule="auto"/>
        <w:ind w:left="1080"/>
        <w:rPr>
          <w:sz w:val="28"/>
          <w:szCs w:val="28"/>
        </w:rPr>
      </w:pPr>
      <w:r>
        <w:rPr>
          <w:sz w:val="28"/>
          <w:szCs w:val="28"/>
        </w:rPr>
        <w:t>Title VI Complaint Procedures;</w:t>
      </w:r>
    </w:p>
    <w:p w:rsidR="00F80A8D" w:rsidRDefault="00F80A8D" w:rsidP="00150F0E">
      <w:pPr>
        <w:numPr>
          <w:ilvl w:val="0"/>
          <w:numId w:val="4"/>
        </w:numPr>
        <w:tabs>
          <w:tab w:val="clear" w:pos="360"/>
        </w:tabs>
        <w:spacing w:line="360" w:lineRule="auto"/>
        <w:ind w:left="1080"/>
        <w:rPr>
          <w:sz w:val="28"/>
          <w:szCs w:val="28"/>
        </w:rPr>
      </w:pPr>
      <w:r>
        <w:rPr>
          <w:sz w:val="28"/>
          <w:szCs w:val="28"/>
        </w:rPr>
        <w:t>Record of Title VI Investigations, Complaints, and Lawsuits;</w:t>
      </w:r>
    </w:p>
    <w:p w:rsidR="00F80A8D" w:rsidRDefault="00F80A8D" w:rsidP="00150F0E">
      <w:pPr>
        <w:numPr>
          <w:ilvl w:val="0"/>
          <w:numId w:val="4"/>
        </w:numPr>
        <w:tabs>
          <w:tab w:val="clear" w:pos="360"/>
        </w:tabs>
        <w:spacing w:line="360" w:lineRule="auto"/>
        <w:ind w:left="1080"/>
        <w:rPr>
          <w:sz w:val="28"/>
          <w:szCs w:val="28"/>
        </w:rPr>
      </w:pPr>
      <w:r>
        <w:rPr>
          <w:sz w:val="28"/>
          <w:szCs w:val="28"/>
        </w:rPr>
        <w:t>Language Access to LEP Persons;</w:t>
      </w:r>
    </w:p>
    <w:p w:rsidR="00F80A8D" w:rsidRDefault="00F80A8D" w:rsidP="00150F0E">
      <w:pPr>
        <w:numPr>
          <w:ilvl w:val="0"/>
          <w:numId w:val="4"/>
        </w:numPr>
        <w:tabs>
          <w:tab w:val="clear" w:pos="360"/>
        </w:tabs>
        <w:spacing w:line="360" w:lineRule="auto"/>
        <w:ind w:left="1080"/>
        <w:rPr>
          <w:sz w:val="28"/>
          <w:szCs w:val="28"/>
        </w:rPr>
      </w:pPr>
      <w:r>
        <w:rPr>
          <w:sz w:val="28"/>
          <w:szCs w:val="28"/>
        </w:rPr>
        <w:t>Notice to Beneficiaries of Protection under Title VI;</w:t>
      </w:r>
    </w:p>
    <w:p w:rsidR="00F80A8D" w:rsidRDefault="00F80A8D" w:rsidP="00150F0E">
      <w:pPr>
        <w:numPr>
          <w:ilvl w:val="0"/>
          <w:numId w:val="4"/>
        </w:numPr>
        <w:tabs>
          <w:tab w:val="clear" w:pos="360"/>
        </w:tabs>
        <w:spacing w:line="360" w:lineRule="auto"/>
        <w:ind w:left="1080"/>
        <w:rPr>
          <w:sz w:val="28"/>
          <w:szCs w:val="28"/>
        </w:rPr>
      </w:pPr>
      <w:r>
        <w:rPr>
          <w:sz w:val="28"/>
          <w:szCs w:val="28"/>
        </w:rPr>
        <w:t>Submit Title VI Program;</w:t>
      </w:r>
    </w:p>
    <w:p w:rsidR="00F80A8D" w:rsidRDefault="00F80A8D" w:rsidP="00150F0E">
      <w:pPr>
        <w:numPr>
          <w:ilvl w:val="0"/>
          <w:numId w:val="4"/>
        </w:numPr>
        <w:tabs>
          <w:tab w:val="clear" w:pos="360"/>
        </w:tabs>
        <w:spacing w:line="360" w:lineRule="auto"/>
        <w:ind w:left="1080"/>
        <w:rPr>
          <w:sz w:val="28"/>
          <w:szCs w:val="28"/>
        </w:rPr>
      </w:pPr>
      <w:r>
        <w:rPr>
          <w:sz w:val="28"/>
          <w:szCs w:val="28"/>
        </w:rPr>
        <w:t>Environmental Justice Analysis of Construction Projects; and</w:t>
      </w:r>
    </w:p>
    <w:p w:rsidR="00F80A8D" w:rsidRDefault="00F80A8D" w:rsidP="00150F0E">
      <w:pPr>
        <w:numPr>
          <w:ilvl w:val="0"/>
          <w:numId w:val="4"/>
        </w:numPr>
        <w:tabs>
          <w:tab w:val="clear" w:pos="360"/>
        </w:tabs>
        <w:spacing w:line="360" w:lineRule="auto"/>
        <w:ind w:left="1080"/>
        <w:rPr>
          <w:sz w:val="28"/>
          <w:szCs w:val="28"/>
        </w:rPr>
      </w:pPr>
      <w:r>
        <w:rPr>
          <w:sz w:val="28"/>
          <w:szCs w:val="28"/>
        </w:rPr>
        <w:t>Inclusive Public Participation.</w:t>
      </w:r>
    </w:p>
    <w:p w:rsidR="00656B60" w:rsidRPr="00656B60" w:rsidRDefault="00656B60" w:rsidP="00656B60">
      <w:pPr>
        <w:spacing w:line="360" w:lineRule="auto"/>
        <w:rPr>
          <w:sz w:val="28"/>
          <w:szCs w:val="28"/>
        </w:rPr>
      </w:pPr>
    </w:p>
    <w:p w:rsidR="00656B60" w:rsidRPr="00D9084A" w:rsidRDefault="00D9084A" w:rsidP="009F4178">
      <w:pPr>
        <w:spacing w:line="360" w:lineRule="auto"/>
        <w:rPr>
          <w:sz w:val="28"/>
          <w:szCs w:val="28"/>
        </w:rPr>
      </w:pPr>
      <w:r w:rsidRPr="00D9084A">
        <w:rPr>
          <w:sz w:val="28"/>
          <w:szCs w:val="28"/>
        </w:rPr>
        <w:t>Since METRO</w:t>
      </w:r>
      <w:r w:rsidR="009118BE" w:rsidRPr="00D9084A">
        <w:rPr>
          <w:sz w:val="28"/>
          <w:szCs w:val="28"/>
        </w:rPr>
        <w:t xml:space="preserve"> does not meet the size threshold for a large urban operator</w:t>
      </w:r>
      <w:r w:rsidR="00550C55">
        <w:rPr>
          <w:sz w:val="28"/>
          <w:szCs w:val="28"/>
        </w:rPr>
        <w:t xml:space="preserve"> </w:t>
      </w:r>
      <w:r w:rsidR="00550C55" w:rsidRPr="00D9084A">
        <w:rPr>
          <w:sz w:val="28"/>
          <w:szCs w:val="28"/>
          <w:u w:val="single"/>
        </w:rPr>
        <w:t>(</w:t>
      </w:r>
      <w:r w:rsidR="00550C55">
        <w:rPr>
          <w:sz w:val="28"/>
          <w:szCs w:val="28"/>
          <w:u w:val="single"/>
        </w:rPr>
        <w:t>a</w:t>
      </w:r>
      <w:r w:rsidR="00550C55" w:rsidRPr="00D9084A">
        <w:rPr>
          <w:sz w:val="28"/>
          <w:szCs w:val="28"/>
        </w:rPr>
        <w:t xml:space="preserve">ll applicants, recipients and subrecipients that provide public mass transit service in </w:t>
      </w:r>
      <w:r w:rsidR="000B6B86">
        <w:rPr>
          <w:sz w:val="28"/>
          <w:szCs w:val="28"/>
        </w:rPr>
        <w:t xml:space="preserve">urbanized </w:t>
      </w:r>
      <w:r w:rsidR="00550C55" w:rsidRPr="00D9084A">
        <w:rPr>
          <w:sz w:val="28"/>
          <w:szCs w:val="28"/>
        </w:rPr>
        <w:t>areas with populations over 200,000)</w:t>
      </w:r>
      <w:r w:rsidR="009118BE" w:rsidRPr="00D9084A">
        <w:rPr>
          <w:sz w:val="28"/>
          <w:szCs w:val="28"/>
        </w:rPr>
        <w:t xml:space="preserve">, </w:t>
      </w:r>
      <w:r w:rsidR="009F4178">
        <w:rPr>
          <w:sz w:val="28"/>
          <w:szCs w:val="28"/>
        </w:rPr>
        <w:t>it is not required to report on its activities related to FTA Circular 4702.1A Program-S</w:t>
      </w:r>
      <w:r w:rsidR="009118BE" w:rsidRPr="00D9084A">
        <w:rPr>
          <w:sz w:val="28"/>
          <w:szCs w:val="28"/>
        </w:rPr>
        <w:t>pecific</w:t>
      </w:r>
      <w:r w:rsidR="009F4178">
        <w:rPr>
          <w:sz w:val="28"/>
          <w:szCs w:val="28"/>
        </w:rPr>
        <w:t xml:space="preserve"> Requirements and Guidelines for Large Urban Areas.</w:t>
      </w:r>
      <w:r w:rsidR="009118BE" w:rsidRPr="00D9084A">
        <w:rPr>
          <w:sz w:val="28"/>
          <w:szCs w:val="28"/>
        </w:rPr>
        <w:t xml:space="preserve">  </w:t>
      </w:r>
      <w:r w:rsidR="009F4178">
        <w:rPr>
          <w:sz w:val="28"/>
          <w:szCs w:val="28"/>
        </w:rPr>
        <w:t xml:space="preserve">However, since METRO is required to ensure that its services and the results of its decision-making </w:t>
      </w:r>
      <w:r w:rsidR="00BB0BC6">
        <w:rPr>
          <w:sz w:val="28"/>
          <w:szCs w:val="28"/>
        </w:rPr>
        <w:t xml:space="preserve">are equitable, </w:t>
      </w:r>
      <w:r w:rsidR="009F4178">
        <w:rPr>
          <w:sz w:val="28"/>
          <w:szCs w:val="28"/>
        </w:rPr>
        <w:t>t</w:t>
      </w:r>
      <w:r w:rsidR="009118BE" w:rsidRPr="00D9084A">
        <w:rPr>
          <w:sz w:val="28"/>
          <w:szCs w:val="28"/>
        </w:rPr>
        <w:t>he Revi</w:t>
      </w:r>
      <w:r w:rsidRPr="00D9084A">
        <w:rPr>
          <w:sz w:val="28"/>
          <w:szCs w:val="28"/>
        </w:rPr>
        <w:t>ew team, in agreement with METRO</w:t>
      </w:r>
      <w:r w:rsidR="009118BE" w:rsidRPr="00D9084A">
        <w:rPr>
          <w:sz w:val="28"/>
          <w:szCs w:val="28"/>
        </w:rPr>
        <w:t xml:space="preserve">, provided technical assistance in the </w:t>
      </w:r>
      <w:r w:rsidR="009F4178">
        <w:rPr>
          <w:sz w:val="28"/>
          <w:szCs w:val="28"/>
        </w:rPr>
        <w:t xml:space="preserve">areas of </w:t>
      </w:r>
      <w:r w:rsidR="009F4178" w:rsidRPr="00BB0BC6">
        <w:rPr>
          <w:i/>
          <w:sz w:val="28"/>
          <w:szCs w:val="28"/>
        </w:rPr>
        <w:t>Evaluation of Service and Fare Changes</w:t>
      </w:r>
      <w:r w:rsidR="009F4178">
        <w:rPr>
          <w:sz w:val="28"/>
          <w:szCs w:val="28"/>
        </w:rPr>
        <w:t xml:space="preserve"> </w:t>
      </w:r>
      <w:r w:rsidR="009F4178" w:rsidRPr="00D9084A">
        <w:rPr>
          <w:sz w:val="28"/>
          <w:szCs w:val="28"/>
        </w:rPr>
        <w:t>and</w:t>
      </w:r>
      <w:r w:rsidR="009F4178">
        <w:rPr>
          <w:sz w:val="28"/>
          <w:szCs w:val="28"/>
        </w:rPr>
        <w:t xml:space="preserve"> </w:t>
      </w:r>
      <w:r w:rsidR="009F4178" w:rsidRPr="00BB0BC6">
        <w:rPr>
          <w:i/>
          <w:sz w:val="28"/>
          <w:szCs w:val="28"/>
        </w:rPr>
        <w:t>Monitoring Transit Service</w:t>
      </w:r>
      <w:r w:rsidR="00BB0BC6">
        <w:rPr>
          <w:sz w:val="28"/>
          <w:szCs w:val="28"/>
        </w:rPr>
        <w:t>.</w:t>
      </w:r>
    </w:p>
    <w:p w:rsidR="001055A6" w:rsidRPr="001055A6" w:rsidRDefault="001055A6" w:rsidP="001055A6">
      <w:pPr>
        <w:spacing w:line="360" w:lineRule="auto"/>
        <w:rPr>
          <w:sz w:val="28"/>
          <w:szCs w:val="28"/>
        </w:rPr>
      </w:pPr>
    </w:p>
    <w:p w:rsidR="00F80A8D" w:rsidRDefault="00F80A8D">
      <w:pPr>
        <w:pStyle w:val="Heading4"/>
        <w:spacing w:line="360" w:lineRule="auto"/>
        <w:rPr>
          <w:sz w:val="28"/>
          <w:szCs w:val="28"/>
        </w:rPr>
      </w:pPr>
      <w:r>
        <w:rPr>
          <w:sz w:val="28"/>
          <w:szCs w:val="28"/>
        </w:rPr>
        <w:lastRenderedPageBreak/>
        <w:t>Methodology</w:t>
      </w:r>
    </w:p>
    <w:p w:rsidR="00F80A8D" w:rsidRDefault="00F80A8D">
      <w:pPr>
        <w:spacing w:line="360" w:lineRule="auto"/>
        <w:rPr>
          <w:sz w:val="28"/>
          <w:szCs w:val="28"/>
        </w:rPr>
      </w:pPr>
      <w:r>
        <w:rPr>
          <w:sz w:val="28"/>
          <w:szCs w:val="28"/>
        </w:rPr>
        <w:t xml:space="preserve">Initial interviews were conducted with the FTA Headquarters Civil Rights staff and the FTA </w:t>
      </w:r>
      <w:r w:rsidR="00CA1585">
        <w:rPr>
          <w:sz w:val="28"/>
          <w:szCs w:val="28"/>
        </w:rPr>
        <w:t xml:space="preserve">Region </w:t>
      </w:r>
      <w:r w:rsidR="00D50A8F">
        <w:rPr>
          <w:sz w:val="28"/>
          <w:szCs w:val="28"/>
        </w:rPr>
        <w:t>I</w:t>
      </w:r>
      <w:r w:rsidR="00656B60">
        <w:rPr>
          <w:sz w:val="28"/>
          <w:szCs w:val="28"/>
        </w:rPr>
        <w:t>X</w:t>
      </w:r>
      <w:r>
        <w:rPr>
          <w:sz w:val="28"/>
          <w:szCs w:val="28"/>
        </w:rPr>
        <w:t xml:space="preserve"> Civil Rights Officer to discuss specific Title VI issues and concerns regarding </w:t>
      </w:r>
      <w:r w:rsidR="005468B2">
        <w:rPr>
          <w:sz w:val="28"/>
          <w:szCs w:val="28"/>
        </w:rPr>
        <w:t>METRO</w:t>
      </w:r>
      <w:r>
        <w:rPr>
          <w:sz w:val="28"/>
          <w:szCs w:val="28"/>
        </w:rPr>
        <w:t>.</w:t>
      </w:r>
      <w:r>
        <w:rPr>
          <w:color w:val="33CCCC"/>
          <w:sz w:val="28"/>
          <w:szCs w:val="28"/>
        </w:rPr>
        <w:t xml:space="preserve">  </w:t>
      </w:r>
      <w:r>
        <w:rPr>
          <w:sz w:val="28"/>
          <w:szCs w:val="28"/>
        </w:rPr>
        <w:t xml:space="preserve">An agenda letter covering the Review was sent to </w:t>
      </w:r>
      <w:r w:rsidR="005468B2">
        <w:rPr>
          <w:sz w:val="28"/>
          <w:szCs w:val="28"/>
        </w:rPr>
        <w:t>METRO</w:t>
      </w:r>
      <w:r>
        <w:rPr>
          <w:sz w:val="28"/>
          <w:szCs w:val="28"/>
        </w:rPr>
        <w:t xml:space="preserve"> advising </w:t>
      </w:r>
      <w:r w:rsidR="004C1F75">
        <w:rPr>
          <w:sz w:val="28"/>
          <w:szCs w:val="28"/>
        </w:rPr>
        <w:t>it</w:t>
      </w:r>
      <w:r>
        <w:rPr>
          <w:sz w:val="28"/>
          <w:szCs w:val="28"/>
        </w:rPr>
        <w:t xml:space="preserve"> of the site visit and indicating additional information that would be needed and issues that would be discussed.  The Review team focused on the </w:t>
      </w:r>
      <w:r w:rsidR="00224031">
        <w:rPr>
          <w:sz w:val="28"/>
          <w:szCs w:val="28"/>
        </w:rPr>
        <w:t xml:space="preserve">General Reporting Requirements and Guidelines </w:t>
      </w:r>
      <w:r>
        <w:rPr>
          <w:sz w:val="28"/>
          <w:szCs w:val="28"/>
        </w:rPr>
        <w:t xml:space="preserve">that are contained in FTA Title VI Circular 4702.1A that became effective on May 13, 2007.  The General Reporting Requirements </w:t>
      </w:r>
      <w:r w:rsidR="003C68B7">
        <w:rPr>
          <w:sz w:val="28"/>
          <w:szCs w:val="28"/>
        </w:rPr>
        <w:t xml:space="preserve">and Guidelines </w:t>
      </w:r>
      <w:r>
        <w:rPr>
          <w:sz w:val="28"/>
          <w:szCs w:val="28"/>
        </w:rPr>
        <w:t xml:space="preserve">now include implementation of the Environmental Justice (EJ) and Limited English Proficiency (LEP) Executive Orders.  </w:t>
      </w:r>
    </w:p>
    <w:p w:rsidR="00F80A8D" w:rsidRDefault="00F80A8D">
      <w:pPr>
        <w:spacing w:line="360" w:lineRule="auto"/>
        <w:rPr>
          <w:sz w:val="28"/>
          <w:szCs w:val="28"/>
        </w:rPr>
      </w:pPr>
    </w:p>
    <w:p w:rsidR="00210A0B" w:rsidRDefault="005468B2" w:rsidP="00210A0B">
      <w:pPr>
        <w:spacing w:line="360" w:lineRule="auto"/>
        <w:rPr>
          <w:sz w:val="28"/>
          <w:szCs w:val="28"/>
        </w:rPr>
      </w:pPr>
      <w:r>
        <w:rPr>
          <w:sz w:val="28"/>
          <w:szCs w:val="28"/>
        </w:rPr>
        <w:t>METRO</w:t>
      </w:r>
      <w:r w:rsidR="00210A0B" w:rsidRPr="00210A0B">
        <w:rPr>
          <w:sz w:val="28"/>
          <w:szCs w:val="28"/>
        </w:rPr>
        <w:t xml:space="preserve"> was requested to provide the following documents in advance of the site visit:  </w:t>
      </w:r>
    </w:p>
    <w:p w:rsidR="00210A0B" w:rsidRPr="00210A0B" w:rsidRDefault="00210A0B" w:rsidP="00150F0E">
      <w:pPr>
        <w:numPr>
          <w:ilvl w:val="0"/>
          <w:numId w:val="12"/>
        </w:numPr>
        <w:tabs>
          <w:tab w:val="clear" w:pos="1080"/>
          <w:tab w:val="num" w:pos="720"/>
        </w:tabs>
        <w:ind w:left="720"/>
        <w:rPr>
          <w:sz w:val="28"/>
          <w:szCs w:val="28"/>
        </w:rPr>
      </w:pPr>
      <w:r w:rsidRPr="00210A0B">
        <w:rPr>
          <w:rFonts w:cs="Arial"/>
          <w:sz w:val="28"/>
          <w:szCs w:val="22"/>
        </w:rPr>
        <w:t xml:space="preserve">Description of </w:t>
      </w:r>
      <w:r w:rsidR="005468B2">
        <w:rPr>
          <w:rFonts w:cs="Arial"/>
          <w:sz w:val="28"/>
          <w:szCs w:val="22"/>
        </w:rPr>
        <w:t>METRO</w:t>
      </w:r>
      <w:r w:rsidRPr="00210A0B">
        <w:rPr>
          <w:rFonts w:cs="Arial"/>
          <w:sz w:val="28"/>
          <w:szCs w:val="22"/>
        </w:rPr>
        <w:t>’s service area, including general population and other demographic information using the most recent Census data.</w:t>
      </w:r>
    </w:p>
    <w:p w:rsidR="00210A0B" w:rsidRPr="00210A0B" w:rsidRDefault="00210A0B" w:rsidP="001E2593">
      <w:pPr>
        <w:ind w:left="720"/>
        <w:rPr>
          <w:sz w:val="28"/>
          <w:szCs w:val="28"/>
        </w:rPr>
      </w:pPr>
    </w:p>
    <w:p w:rsidR="00210A0B" w:rsidRPr="00210A0B" w:rsidRDefault="00210A0B" w:rsidP="00150F0E">
      <w:pPr>
        <w:numPr>
          <w:ilvl w:val="0"/>
          <w:numId w:val="12"/>
        </w:numPr>
        <w:tabs>
          <w:tab w:val="clear" w:pos="1080"/>
          <w:tab w:val="num" w:pos="1440"/>
        </w:tabs>
        <w:ind w:left="720"/>
        <w:rPr>
          <w:sz w:val="28"/>
          <w:szCs w:val="28"/>
        </w:rPr>
      </w:pPr>
      <w:r w:rsidRPr="00210A0B">
        <w:rPr>
          <w:rFonts w:cs="Arial"/>
          <w:sz w:val="28"/>
          <w:szCs w:val="22"/>
        </w:rPr>
        <w:t xml:space="preserve">Current description of </w:t>
      </w:r>
      <w:r w:rsidR="005468B2">
        <w:rPr>
          <w:rFonts w:cs="Arial"/>
          <w:sz w:val="28"/>
          <w:szCs w:val="22"/>
        </w:rPr>
        <w:t>METRO</w:t>
      </w:r>
      <w:r w:rsidRPr="00210A0B">
        <w:rPr>
          <w:rFonts w:cs="Arial"/>
          <w:sz w:val="28"/>
          <w:szCs w:val="22"/>
        </w:rPr>
        <w:t>’s public transit service, including system maps, public timetables, transit service brochures, etc.</w:t>
      </w:r>
    </w:p>
    <w:p w:rsidR="00210A0B" w:rsidRPr="00210A0B" w:rsidRDefault="00210A0B" w:rsidP="001E2593">
      <w:pPr>
        <w:ind w:left="360"/>
        <w:rPr>
          <w:sz w:val="28"/>
          <w:szCs w:val="28"/>
        </w:rPr>
      </w:pPr>
    </w:p>
    <w:p w:rsidR="00210A0B" w:rsidRPr="00210A0B" w:rsidRDefault="00210A0B" w:rsidP="00150F0E">
      <w:pPr>
        <w:numPr>
          <w:ilvl w:val="0"/>
          <w:numId w:val="12"/>
        </w:numPr>
        <w:tabs>
          <w:tab w:val="clear" w:pos="1080"/>
          <w:tab w:val="num" w:pos="1440"/>
        </w:tabs>
        <w:ind w:left="720"/>
        <w:rPr>
          <w:sz w:val="28"/>
          <w:szCs w:val="28"/>
        </w:rPr>
      </w:pPr>
      <w:r w:rsidRPr="00210A0B">
        <w:rPr>
          <w:rFonts w:cs="Arial"/>
          <w:sz w:val="28"/>
          <w:szCs w:val="22"/>
        </w:rPr>
        <w:t xml:space="preserve">Roster of </w:t>
      </w:r>
      <w:r w:rsidR="005468B2">
        <w:rPr>
          <w:rFonts w:cs="Arial"/>
          <w:sz w:val="28"/>
          <w:szCs w:val="22"/>
        </w:rPr>
        <w:t>METRO</w:t>
      </w:r>
      <w:r w:rsidRPr="00210A0B">
        <w:rPr>
          <w:rFonts w:cs="Arial"/>
          <w:sz w:val="28"/>
          <w:szCs w:val="22"/>
        </w:rPr>
        <w:t xml:space="preserve">’s </w:t>
      </w:r>
      <w:r w:rsidR="00BB0BC6">
        <w:rPr>
          <w:rFonts w:cs="Arial"/>
          <w:sz w:val="28"/>
          <w:szCs w:val="22"/>
        </w:rPr>
        <w:t xml:space="preserve">current </w:t>
      </w:r>
      <w:r w:rsidRPr="00210A0B">
        <w:rPr>
          <w:rFonts w:cs="Arial"/>
          <w:sz w:val="28"/>
          <w:szCs w:val="22"/>
        </w:rPr>
        <w:t>revenue fleet, to include acquisition date, fuel type, seating configurations</w:t>
      </w:r>
      <w:r w:rsidR="00656B60">
        <w:rPr>
          <w:rFonts w:cs="Arial"/>
          <w:sz w:val="28"/>
          <w:szCs w:val="22"/>
        </w:rPr>
        <w:t>,</w:t>
      </w:r>
      <w:r w:rsidRPr="00210A0B">
        <w:rPr>
          <w:rFonts w:cs="Arial"/>
          <w:sz w:val="28"/>
          <w:szCs w:val="22"/>
        </w:rPr>
        <w:t xml:space="preserve"> and other amenities.</w:t>
      </w:r>
    </w:p>
    <w:p w:rsidR="00210A0B" w:rsidRPr="00210A0B" w:rsidRDefault="00210A0B" w:rsidP="001E2593">
      <w:pPr>
        <w:ind w:left="360"/>
        <w:rPr>
          <w:sz w:val="28"/>
          <w:szCs w:val="28"/>
        </w:rPr>
      </w:pPr>
    </w:p>
    <w:p w:rsidR="00210A0B" w:rsidRPr="00210A0B" w:rsidRDefault="00210A0B" w:rsidP="00150F0E">
      <w:pPr>
        <w:numPr>
          <w:ilvl w:val="0"/>
          <w:numId w:val="12"/>
        </w:numPr>
        <w:tabs>
          <w:tab w:val="clear" w:pos="1080"/>
          <w:tab w:val="num" w:pos="1440"/>
        </w:tabs>
        <w:ind w:left="720"/>
        <w:rPr>
          <w:sz w:val="28"/>
          <w:szCs w:val="28"/>
        </w:rPr>
      </w:pPr>
      <w:r w:rsidRPr="00210A0B">
        <w:rPr>
          <w:rFonts w:cs="Arial"/>
          <w:sz w:val="28"/>
          <w:szCs w:val="22"/>
        </w:rPr>
        <w:t xml:space="preserve">Description of transit amenities maintained by </w:t>
      </w:r>
      <w:r w:rsidR="005468B2">
        <w:rPr>
          <w:rFonts w:cs="Arial"/>
          <w:sz w:val="28"/>
          <w:szCs w:val="22"/>
        </w:rPr>
        <w:t>METRO</w:t>
      </w:r>
      <w:r w:rsidRPr="00210A0B">
        <w:rPr>
          <w:rFonts w:cs="Arial"/>
          <w:sz w:val="28"/>
          <w:szCs w:val="22"/>
        </w:rPr>
        <w:t xml:space="preserve"> for its service area.  Amenities include stations, shelters, benches, restrooms, telephones, passenger information systems, etc.</w:t>
      </w:r>
    </w:p>
    <w:p w:rsidR="00210A0B" w:rsidRPr="00210A0B" w:rsidRDefault="00210A0B" w:rsidP="001E2593">
      <w:pPr>
        <w:ind w:left="360"/>
        <w:rPr>
          <w:sz w:val="28"/>
          <w:szCs w:val="28"/>
        </w:rPr>
      </w:pPr>
    </w:p>
    <w:p w:rsidR="00210A0B" w:rsidRPr="00210A0B" w:rsidRDefault="005468B2" w:rsidP="00150F0E">
      <w:pPr>
        <w:numPr>
          <w:ilvl w:val="0"/>
          <w:numId w:val="12"/>
        </w:numPr>
        <w:tabs>
          <w:tab w:val="clear" w:pos="1080"/>
          <w:tab w:val="num" w:pos="1440"/>
        </w:tabs>
        <w:ind w:left="720"/>
        <w:rPr>
          <w:sz w:val="28"/>
          <w:szCs w:val="28"/>
        </w:rPr>
      </w:pPr>
      <w:r>
        <w:rPr>
          <w:rFonts w:cs="Arial"/>
          <w:sz w:val="28"/>
          <w:szCs w:val="22"/>
        </w:rPr>
        <w:t>METRO</w:t>
      </w:r>
      <w:r w:rsidR="00210A0B" w:rsidRPr="00210A0B">
        <w:rPr>
          <w:rFonts w:cs="Arial"/>
          <w:sz w:val="28"/>
          <w:szCs w:val="22"/>
        </w:rPr>
        <w:t xml:space="preserve"> Organization Chart.</w:t>
      </w:r>
    </w:p>
    <w:p w:rsidR="00210A0B" w:rsidRPr="00210A0B" w:rsidRDefault="00210A0B" w:rsidP="001E2593">
      <w:pPr>
        <w:ind w:left="360"/>
        <w:rPr>
          <w:sz w:val="28"/>
          <w:szCs w:val="28"/>
        </w:rPr>
      </w:pPr>
    </w:p>
    <w:p w:rsidR="00210A0B" w:rsidRPr="00210A0B" w:rsidRDefault="00210A0B" w:rsidP="00150F0E">
      <w:pPr>
        <w:numPr>
          <w:ilvl w:val="0"/>
          <w:numId w:val="12"/>
        </w:numPr>
        <w:tabs>
          <w:tab w:val="clear" w:pos="1080"/>
          <w:tab w:val="num" w:pos="1440"/>
        </w:tabs>
        <w:ind w:left="720"/>
        <w:rPr>
          <w:sz w:val="28"/>
          <w:szCs w:val="28"/>
        </w:rPr>
      </w:pPr>
      <w:r w:rsidRPr="00210A0B">
        <w:rPr>
          <w:rFonts w:cs="Arial"/>
          <w:sz w:val="28"/>
          <w:szCs w:val="22"/>
        </w:rPr>
        <w:t xml:space="preserve">Any studies or surveys conducted by </w:t>
      </w:r>
      <w:r w:rsidR="005468B2">
        <w:rPr>
          <w:rFonts w:cs="Arial"/>
          <w:sz w:val="28"/>
          <w:szCs w:val="22"/>
        </w:rPr>
        <w:t>METRO</w:t>
      </w:r>
      <w:r w:rsidRPr="00210A0B">
        <w:rPr>
          <w:rFonts w:cs="Arial"/>
          <w:sz w:val="28"/>
          <w:szCs w:val="22"/>
        </w:rPr>
        <w:t xml:space="preserve">, its consultants or other interested parties (colleges or universities, community groups, etc.) regarding ridership, service levels and amenities, passenger satisfaction, </w:t>
      </w:r>
      <w:r w:rsidRPr="00210A0B">
        <w:rPr>
          <w:rFonts w:cs="Arial"/>
          <w:sz w:val="28"/>
          <w:szCs w:val="22"/>
        </w:rPr>
        <w:lastRenderedPageBreak/>
        <w:t>passenger demographics, or fare issues for its public transit service during the past three years.</w:t>
      </w:r>
    </w:p>
    <w:p w:rsidR="00210A0B" w:rsidRPr="00210A0B" w:rsidRDefault="00210A0B" w:rsidP="001E2593">
      <w:pPr>
        <w:ind w:left="360"/>
        <w:rPr>
          <w:sz w:val="28"/>
          <w:szCs w:val="28"/>
        </w:rPr>
      </w:pPr>
    </w:p>
    <w:p w:rsidR="00210A0B" w:rsidRPr="00210A0B" w:rsidRDefault="00210A0B" w:rsidP="00150F0E">
      <w:pPr>
        <w:numPr>
          <w:ilvl w:val="0"/>
          <w:numId w:val="12"/>
        </w:numPr>
        <w:tabs>
          <w:tab w:val="clear" w:pos="1080"/>
          <w:tab w:val="num" w:pos="720"/>
        </w:tabs>
        <w:ind w:left="720"/>
        <w:rPr>
          <w:sz w:val="28"/>
          <w:szCs w:val="28"/>
        </w:rPr>
      </w:pPr>
      <w:r w:rsidRPr="00210A0B">
        <w:rPr>
          <w:rFonts w:cs="Arial"/>
          <w:sz w:val="28"/>
          <w:szCs w:val="22"/>
        </w:rPr>
        <w:t xml:space="preserve">Summary of </w:t>
      </w:r>
      <w:r w:rsidR="005468B2">
        <w:rPr>
          <w:rFonts w:cs="Arial"/>
          <w:sz w:val="28"/>
          <w:szCs w:val="22"/>
        </w:rPr>
        <w:t>METRO</w:t>
      </w:r>
      <w:r w:rsidRPr="00210A0B">
        <w:rPr>
          <w:rFonts w:cs="Arial"/>
          <w:sz w:val="28"/>
          <w:szCs w:val="22"/>
        </w:rPr>
        <w:t>’s current efforts to seek out and consider the viewpoints of minority, low-income, and LEP populations in the course of conducting public outreach and involvement activities.</w:t>
      </w:r>
    </w:p>
    <w:p w:rsidR="00210A0B" w:rsidRPr="00210A0B" w:rsidRDefault="00210A0B" w:rsidP="001E2593">
      <w:pPr>
        <w:ind w:left="360"/>
        <w:rPr>
          <w:sz w:val="28"/>
          <w:szCs w:val="28"/>
        </w:rPr>
      </w:pPr>
    </w:p>
    <w:p w:rsidR="00210A0B" w:rsidRPr="00210A0B" w:rsidRDefault="00210A0B" w:rsidP="00150F0E">
      <w:pPr>
        <w:numPr>
          <w:ilvl w:val="0"/>
          <w:numId w:val="12"/>
        </w:numPr>
        <w:tabs>
          <w:tab w:val="clear" w:pos="1080"/>
          <w:tab w:val="num" w:pos="1440"/>
        </w:tabs>
        <w:ind w:left="720"/>
        <w:rPr>
          <w:sz w:val="28"/>
          <w:szCs w:val="28"/>
        </w:rPr>
      </w:pPr>
      <w:r w:rsidRPr="00210A0B">
        <w:rPr>
          <w:rFonts w:cs="Arial"/>
          <w:sz w:val="28"/>
          <w:szCs w:val="22"/>
        </w:rPr>
        <w:t xml:space="preserve">A copy of </w:t>
      </w:r>
      <w:r w:rsidR="005468B2">
        <w:rPr>
          <w:rFonts w:cs="Arial"/>
          <w:sz w:val="28"/>
          <w:szCs w:val="22"/>
        </w:rPr>
        <w:t>METRO</w:t>
      </w:r>
      <w:r w:rsidRPr="00210A0B">
        <w:rPr>
          <w:rFonts w:cs="Arial"/>
          <w:sz w:val="28"/>
          <w:szCs w:val="22"/>
        </w:rPr>
        <w:t>’s four factor analysis of the needs of persons with Limited Englis</w:t>
      </w:r>
      <w:r w:rsidR="004E4A96">
        <w:rPr>
          <w:rFonts w:cs="Arial"/>
          <w:sz w:val="28"/>
          <w:szCs w:val="22"/>
        </w:rPr>
        <w:t>h Proficiency</w:t>
      </w:r>
      <w:r w:rsidR="004E4A96" w:rsidRPr="004E4A96">
        <w:rPr>
          <w:rFonts w:cs="Arial"/>
          <w:sz w:val="28"/>
          <w:szCs w:val="22"/>
        </w:rPr>
        <w:t xml:space="preserve">, if updated since </w:t>
      </w:r>
      <w:proofErr w:type="gramStart"/>
      <w:r w:rsidR="004E4A96" w:rsidRPr="004E4A96">
        <w:rPr>
          <w:rFonts w:cs="Arial"/>
          <w:sz w:val="28"/>
          <w:szCs w:val="22"/>
        </w:rPr>
        <w:t>its</w:t>
      </w:r>
      <w:proofErr w:type="gramEnd"/>
      <w:r w:rsidR="004E4A96" w:rsidRPr="004E4A96">
        <w:rPr>
          <w:rFonts w:cs="Arial"/>
          <w:sz w:val="28"/>
          <w:szCs w:val="22"/>
        </w:rPr>
        <w:t xml:space="preserve"> most recent FTA Title VI Program Compliance Report dated February 26, 2010.</w:t>
      </w:r>
    </w:p>
    <w:p w:rsidR="00210A0B" w:rsidRPr="00210A0B" w:rsidRDefault="00210A0B" w:rsidP="001E2593">
      <w:pPr>
        <w:ind w:left="360"/>
        <w:rPr>
          <w:sz w:val="28"/>
          <w:szCs w:val="28"/>
        </w:rPr>
      </w:pPr>
    </w:p>
    <w:p w:rsidR="00210A0B" w:rsidRPr="00210A0B" w:rsidRDefault="00210A0B" w:rsidP="00150F0E">
      <w:pPr>
        <w:numPr>
          <w:ilvl w:val="0"/>
          <w:numId w:val="12"/>
        </w:numPr>
        <w:tabs>
          <w:tab w:val="clear" w:pos="1080"/>
          <w:tab w:val="num" w:pos="1440"/>
        </w:tabs>
        <w:ind w:left="720"/>
        <w:rPr>
          <w:sz w:val="28"/>
          <w:szCs w:val="28"/>
        </w:rPr>
      </w:pPr>
      <w:r w:rsidRPr="00210A0B">
        <w:rPr>
          <w:rFonts w:cs="Arial"/>
          <w:sz w:val="28"/>
          <w:szCs w:val="22"/>
        </w:rPr>
        <w:t xml:space="preserve">A copy of </w:t>
      </w:r>
      <w:r w:rsidR="005468B2">
        <w:rPr>
          <w:rFonts w:cs="Arial"/>
          <w:sz w:val="28"/>
          <w:szCs w:val="22"/>
        </w:rPr>
        <w:t>METRO</w:t>
      </w:r>
      <w:r w:rsidRPr="00210A0B">
        <w:rPr>
          <w:rFonts w:cs="Arial"/>
          <w:sz w:val="28"/>
          <w:szCs w:val="22"/>
        </w:rPr>
        <w:t xml:space="preserve">’s plan for providing language assistance to persons with Limited English Proficiency that is </w:t>
      </w:r>
      <w:r w:rsidR="004E4A96">
        <w:rPr>
          <w:rFonts w:cs="Arial"/>
          <w:sz w:val="28"/>
          <w:szCs w:val="22"/>
        </w:rPr>
        <w:t>based on the USDOT LEP Guidance</w:t>
      </w:r>
      <w:r w:rsidR="004E4A96" w:rsidRPr="004E4A96">
        <w:rPr>
          <w:rFonts w:cs="Arial"/>
          <w:sz w:val="28"/>
          <w:szCs w:val="22"/>
        </w:rPr>
        <w:t>, if updated since its most recent FTA Title VI Program Compliance Report dated February 26, 2010.</w:t>
      </w:r>
    </w:p>
    <w:p w:rsidR="00210A0B" w:rsidRPr="00210A0B" w:rsidRDefault="00210A0B" w:rsidP="001E2593">
      <w:pPr>
        <w:ind w:left="360"/>
        <w:rPr>
          <w:sz w:val="28"/>
          <w:szCs w:val="28"/>
        </w:rPr>
      </w:pPr>
    </w:p>
    <w:p w:rsidR="00210A0B" w:rsidRPr="00210A0B" w:rsidRDefault="005468B2" w:rsidP="00150F0E">
      <w:pPr>
        <w:numPr>
          <w:ilvl w:val="0"/>
          <w:numId w:val="12"/>
        </w:numPr>
        <w:tabs>
          <w:tab w:val="clear" w:pos="1080"/>
          <w:tab w:val="num" w:pos="1440"/>
        </w:tabs>
        <w:ind w:left="720"/>
        <w:rPr>
          <w:sz w:val="28"/>
          <w:szCs w:val="28"/>
        </w:rPr>
      </w:pPr>
      <w:r>
        <w:rPr>
          <w:rFonts w:cs="Arial"/>
          <w:sz w:val="28"/>
          <w:szCs w:val="22"/>
        </w:rPr>
        <w:t>METRO</w:t>
      </w:r>
      <w:r w:rsidR="00210A0B" w:rsidRPr="00210A0B">
        <w:rPr>
          <w:rFonts w:cs="Arial"/>
          <w:sz w:val="28"/>
          <w:szCs w:val="22"/>
        </w:rPr>
        <w:t>’s procedures for investigating and tracking Title VI complaints and documentation that the procedures for filing complaints are available to mem</w:t>
      </w:r>
      <w:r w:rsidR="004E4A96">
        <w:rPr>
          <w:rFonts w:cs="Arial"/>
          <w:sz w:val="28"/>
          <w:szCs w:val="22"/>
        </w:rPr>
        <w:t>bers of the public upon request</w:t>
      </w:r>
      <w:r w:rsidR="004E4A96" w:rsidRPr="004E4A96">
        <w:rPr>
          <w:rFonts w:cs="Arial"/>
          <w:sz w:val="28"/>
          <w:szCs w:val="22"/>
        </w:rPr>
        <w:t>, if updated since its most recent FTA Title VI Program Compliance Report dated February 26, 2010.</w:t>
      </w:r>
    </w:p>
    <w:p w:rsidR="00210A0B" w:rsidRPr="00210A0B" w:rsidRDefault="00210A0B" w:rsidP="001E2593">
      <w:pPr>
        <w:ind w:left="360"/>
        <w:rPr>
          <w:sz w:val="28"/>
          <w:szCs w:val="28"/>
        </w:rPr>
      </w:pPr>
    </w:p>
    <w:p w:rsidR="00210A0B" w:rsidRPr="00210A0B" w:rsidRDefault="00210A0B" w:rsidP="00150F0E">
      <w:pPr>
        <w:numPr>
          <w:ilvl w:val="0"/>
          <w:numId w:val="12"/>
        </w:numPr>
        <w:tabs>
          <w:tab w:val="clear" w:pos="1080"/>
          <w:tab w:val="num" w:pos="720"/>
        </w:tabs>
        <w:ind w:left="720"/>
        <w:rPr>
          <w:sz w:val="28"/>
          <w:szCs w:val="28"/>
        </w:rPr>
      </w:pPr>
      <w:r w:rsidRPr="00210A0B">
        <w:rPr>
          <w:rFonts w:cs="Arial"/>
          <w:kern w:val="32"/>
          <w:sz w:val="28"/>
          <w:szCs w:val="22"/>
        </w:rPr>
        <w:t xml:space="preserve">A list of any investigations, lawsuits, or complaints naming </w:t>
      </w:r>
      <w:r w:rsidR="005468B2">
        <w:rPr>
          <w:rFonts w:cs="Arial"/>
          <w:kern w:val="32"/>
          <w:sz w:val="28"/>
          <w:szCs w:val="22"/>
        </w:rPr>
        <w:t>METRO</w:t>
      </w:r>
      <w:r w:rsidRPr="00210A0B">
        <w:rPr>
          <w:rFonts w:cs="Arial"/>
          <w:kern w:val="32"/>
          <w:sz w:val="28"/>
          <w:szCs w:val="22"/>
        </w:rPr>
        <w:t xml:space="preserve"> that alleges discrimination on the basis of race, color, or national origin </w:t>
      </w:r>
      <w:r w:rsidR="004E4A96" w:rsidRPr="004E4A96">
        <w:rPr>
          <w:rFonts w:cs="Arial"/>
          <w:kern w:val="32"/>
          <w:sz w:val="28"/>
          <w:szCs w:val="22"/>
        </w:rPr>
        <w:t>since its most recent FTA Title VI Program Compliance Report dated February 26, 2010</w:t>
      </w:r>
      <w:r w:rsidR="004E4A96">
        <w:rPr>
          <w:rFonts w:cs="Arial"/>
          <w:kern w:val="32"/>
          <w:sz w:val="28"/>
          <w:szCs w:val="22"/>
        </w:rPr>
        <w:t xml:space="preserve">.  </w:t>
      </w:r>
      <w:r w:rsidRPr="00210A0B">
        <w:rPr>
          <w:rFonts w:cs="Arial"/>
          <w:kern w:val="32"/>
          <w:sz w:val="28"/>
          <w:szCs w:val="22"/>
        </w:rPr>
        <w:t>This list must include:</w:t>
      </w:r>
    </w:p>
    <w:p w:rsidR="00210A0B" w:rsidRPr="00210A0B" w:rsidRDefault="00210A0B" w:rsidP="00150F0E">
      <w:pPr>
        <w:numPr>
          <w:ilvl w:val="0"/>
          <w:numId w:val="11"/>
        </w:numPr>
        <w:spacing w:after="200" w:line="276" w:lineRule="auto"/>
        <w:ind w:left="1080"/>
        <w:contextualSpacing/>
        <w:rPr>
          <w:rFonts w:cs="Arial"/>
          <w:sz w:val="28"/>
          <w:szCs w:val="22"/>
        </w:rPr>
      </w:pPr>
      <w:r w:rsidRPr="00210A0B">
        <w:rPr>
          <w:rFonts w:cs="Arial"/>
          <w:kern w:val="32"/>
          <w:sz w:val="28"/>
          <w:szCs w:val="22"/>
        </w:rPr>
        <w:t xml:space="preserve">the date the investigation, lawsuit, or complaint was filed; </w:t>
      </w:r>
    </w:p>
    <w:p w:rsidR="00210A0B" w:rsidRPr="00210A0B" w:rsidRDefault="00210A0B" w:rsidP="00150F0E">
      <w:pPr>
        <w:numPr>
          <w:ilvl w:val="0"/>
          <w:numId w:val="11"/>
        </w:numPr>
        <w:spacing w:after="200" w:line="276" w:lineRule="auto"/>
        <w:ind w:left="1080"/>
        <w:contextualSpacing/>
        <w:rPr>
          <w:rFonts w:cs="Arial"/>
          <w:sz w:val="28"/>
          <w:szCs w:val="22"/>
        </w:rPr>
      </w:pPr>
      <w:r w:rsidRPr="00210A0B">
        <w:rPr>
          <w:rFonts w:cs="Arial"/>
          <w:kern w:val="32"/>
          <w:sz w:val="28"/>
          <w:szCs w:val="22"/>
        </w:rPr>
        <w:t xml:space="preserve">a summary of the allegation(s); </w:t>
      </w:r>
    </w:p>
    <w:p w:rsidR="00210A0B" w:rsidRPr="00210A0B" w:rsidRDefault="00210A0B" w:rsidP="00150F0E">
      <w:pPr>
        <w:numPr>
          <w:ilvl w:val="0"/>
          <w:numId w:val="11"/>
        </w:numPr>
        <w:spacing w:after="200" w:line="276" w:lineRule="auto"/>
        <w:ind w:left="1080"/>
        <w:contextualSpacing/>
        <w:rPr>
          <w:rFonts w:cs="Arial"/>
          <w:sz w:val="28"/>
          <w:szCs w:val="22"/>
        </w:rPr>
      </w:pPr>
      <w:r w:rsidRPr="00210A0B">
        <w:rPr>
          <w:rFonts w:cs="Arial"/>
          <w:kern w:val="32"/>
          <w:sz w:val="28"/>
          <w:szCs w:val="22"/>
        </w:rPr>
        <w:t xml:space="preserve">the status of the investigation, lawsuit, or complaint; and </w:t>
      </w:r>
    </w:p>
    <w:p w:rsidR="00210A0B" w:rsidRPr="00210A0B" w:rsidRDefault="00210A0B" w:rsidP="00150F0E">
      <w:pPr>
        <w:numPr>
          <w:ilvl w:val="0"/>
          <w:numId w:val="11"/>
        </w:numPr>
        <w:spacing w:after="200" w:line="276" w:lineRule="auto"/>
        <w:ind w:left="1080"/>
        <w:contextualSpacing/>
        <w:rPr>
          <w:rFonts w:cs="Arial"/>
          <w:sz w:val="28"/>
          <w:szCs w:val="22"/>
        </w:rPr>
      </w:pPr>
      <w:proofErr w:type="gramStart"/>
      <w:r w:rsidRPr="00210A0B">
        <w:rPr>
          <w:rFonts w:cs="Arial"/>
          <w:kern w:val="32"/>
          <w:sz w:val="28"/>
          <w:szCs w:val="22"/>
        </w:rPr>
        <w:t>actions</w:t>
      </w:r>
      <w:proofErr w:type="gramEnd"/>
      <w:r w:rsidRPr="00210A0B">
        <w:rPr>
          <w:rFonts w:cs="Arial"/>
          <w:kern w:val="32"/>
          <w:sz w:val="28"/>
          <w:szCs w:val="22"/>
        </w:rPr>
        <w:t xml:space="preserve"> taken by </w:t>
      </w:r>
      <w:r w:rsidR="005468B2">
        <w:rPr>
          <w:rFonts w:cs="Arial"/>
          <w:kern w:val="32"/>
          <w:sz w:val="28"/>
          <w:szCs w:val="22"/>
        </w:rPr>
        <w:t>METRO</w:t>
      </w:r>
      <w:r w:rsidRPr="00210A0B">
        <w:rPr>
          <w:rFonts w:cs="Arial"/>
          <w:kern w:val="32"/>
          <w:sz w:val="28"/>
          <w:szCs w:val="22"/>
        </w:rPr>
        <w:t xml:space="preserve"> in response to the investigation, lawsuit, or complaint.</w:t>
      </w:r>
    </w:p>
    <w:p w:rsidR="00210A0B" w:rsidRPr="00210A0B" w:rsidRDefault="00210A0B" w:rsidP="001E2593">
      <w:pPr>
        <w:ind w:left="1080"/>
        <w:contextualSpacing/>
        <w:rPr>
          <w:rFonts w:cs="Arial"/>
          <w:sz w:val="28"/>
          <w:szCs w:val="22"/>
        </w:rPr>
      </w:pPr>
    </w:p>
    <w:p w:rsidR="00210A0B" w:rsidRPr="00210A0B" w:rsidRDefault="001B41AF" w:rsidP="00150F0E">
      <w:pPr>
        <w:numPr>
          <w:ilvl w:val="0"/>
          <w:numId w:val="12"/>
        </w:numPr>
        <w:tabs>
          <w:tab w:val="clear" w:pos="1080"/>
          <w:tab w:val="num" w:pos="1440"/>
        </w:tabs>
        <w:ind w:left="720"/>
        <w:rPr>
          <w:sz w:val="28"/>
          <w:szCs w:val="28"/>
        </w:rPr>
      </w:pPr>
      <w:r w:rsidRPr="001B41AF">
        <w:rPr>
          <w:rFonts w:cs="Arial"/>
          <w:sz w:val="28"/>
          <w:szCs w:val="22"/>
        </w:rPr>
        <w:t xml:space="preserve">Copy of </w:t>
      </w:r>
      <w:r w:rsidR="005468B2">
        <w:rPr>
          <w:rFonts w:cs="Arial"/>
          <w:sz w:val="28"/>
          <w:szCs w:val="22"/>
        </w:rPr>
        <w:t>METRO</w:t>
      </w:r>
      <w:r w:rsidRPr="001B41AF">
        <w:rPr>
          <w:rFonts w:cs="Arial"/>
          <w:sz w:val="28"/>
          <w:szCs w:val="22"/>
        </w:rPr>
        <w:t>’s Notice to Beneficiaries of Protection under Title VI, if updated since its most recent FTA Title VI Program Compliance Report dated February 26, 2010.</w:t>
      </w:r>
    </w:p>
    <w:p w:rsidR="00210A0B" w:rsidRPr="00210A0B" w:rsidRDefault="00210A0B" w:rsidP="001E2593">
      <w:pPr>
        <w:ind w:left="720"/>
        <w:rPr>
          <w:sz w:val="28"/>
          <w:szCs w:val="28"/>
        </w:rPr>
      </w:pPr>
    </w:p>
    <w:p w:rsidR="00210A0B" w:rsidRPr="00210A0B" w:rsidRDefault="00210A0B" w:rsidP="00150F0E">
      <w:pPr>
        <w:numPr>
          <w:ilvl w:val="0"/>
          <w:numId w:val="12"/>
        </w:numPr>
        <w:tabs>
          <w:tab w:val="clear" w:pos="1080"/>
          <w:tab w:val="num" w:pos="1440"/>
        </w:tabs>
        <w:ind w:left="720"/>
        <w:rPr>
          <w:sz w:val="28"/>
          <w:szCs w:val="28"/>
        </w:rPr>
      </w:pPr>
      <w:r w:rsidRPr="00210A0B">
        <w:rPr>
          <w:rFonts w:cs="Arial"/>
          <w:sz w:val="28"/>
          <w:szCs w:val="22"/>
        </w:rPr>
        <w:t xml:space="preserve">Documentation of efforts made by </w:t>
      </w:r>
      <w:r w:rsidR="005468B2">
        <w:rPr>
          <w:rFonts w:cs="Arial"/>
          <w:sz w:val="28"/>
          <w:szCs w:val="22"/>
        </w:rPr>
        <w:t>METRO</w:t>
      </w:r>
      <w:r w:rsidRPr="00210A0B">
        <w:rPr>
          <w:rFonts w:cs="Arial"/>
          <w:sz w:val="28"/>
          <w:szCs w:val="22"/>
        </w:rPr>
        <w:t xml:space="preserve"> to notify members of the public of the protections against discrimination afforded to them by Title VI.</w:t>
      </w:r>
    </w:p>
    <w:p w:rsidR="00210A0B" w:rsidRPr="00210A0B" w:rsidRDefault="00210A0B" w:rsidP="001E2593">
      <w:pPr>
        <w:ind w:left="360"/>
        <w:rPr>
          <w:sz w:val="28"/>
          <w:szCs w:val="28"/>
        </w:rPr>
      </w:pPr>
    </w:p>
    <w:p w:rsidR="001B41AF" w:rsidRDefault="001B41AF" w:rsidP="00150F0E">
      <w:pPr>
        <w:numPr>
          <w:ilvl w:val="0"/>
          <w:numId w:val="12"/>
        </w:numPr>
        <w:tabs>
          <w:tab w:val="clear" w:pos="1080"/>
          <w:tab w:val="num" w:pos="720"/>
        </w:tabs>
        <w:ind w:left="720"/>
        <w:rPr>
          <w:rFonts w:cs="Arial"/>
          <w:sz w:val="28"/>
          <w:szCs w:val="22"/>
        </w:rPr>
      </w:pPr>
      <w:r w:rsidRPr="001B41AF">
        <w:rPr>
          <w:rFonts w:cs="Arial"/>
          <w:sz w:val="28"/>
          <w:szCs w:val="22"/>
        </w:rPr>
        <w:lastRenderedPageBreak/>
        <w:t xml:space="preserve">Copies of any environmental justice assessments conducted for construction projects since its most recent FTA Title VI Program Compliance Report dated February 26, 2010 and, </w:t>
      </w:r>
      <w:r w:rsidRPr="007612EC">
        <w:rPr>
          <w:rFonts w:cs="Arial"/>
          <w:sz w:val="28"/>
          <w:szCs w:val="22"/>
        </w:rPr>
        <w:t>if needed,</w:t>
      </w:r>
      <w:r w:rsidRPr="001B41AF">
        <w:rPr>
          <w:rFonts w:cs="Arial"/>
          <w:sz w:val="28"/>
          <w:szCs w:val="22"/>
        </w:rPr>
        <w:t xml:space="preserve"> a description of the program or other measures used or planned to mitigate any identified adverse impact on the minority or low-income communities.</w:t>
      </w:r>
    </w:p>
    <w:p w:rsidR="001B41AF" w:rsidRPr="001B41AF" w:rsidRDefault="001B41AF" w:rsidP="001E2593">
      <w:pPr>
        <w:ind w:left="360"/>
        <w:rPr>
          <w:rFonts w:cs="Arial"/>
          <w:sz w:val="28"/>
          <w:szCs w:val="22"/>
        </w:rPr>
      </w:pPr>
    </w:p>
    <w:p w:rsidR="001B41AF" w:rsidRPr="001B41AF" w:rsidRDefault="001B41AF" w:rsidP="00150F0E">
      <w:pPr>
        <w:numPr>
          <w:ilvl w:val="0"/>
          <w:numId w:val="12"/>
        </w:numPr>
        <w:tabs>
          <w:tab w:val="clear" w:pos="1080"/>
          <w:tab w:val="num" w:pos="1440"/>
        </w:tabs>
        <w:ind w:left="720"/>
        <w:rPr>
          <w:rFonts w:cs="Arial"/>
          <w:sz w:val="28"/>
          <w:szCs w:val="22"/>
        </w:rPr>
      </w:pPr>
      <w:r w:rsidRPr="001B41AF">
        <w:rPr>
          <w:rFonts w:cs="Arial"/>
          <w:sz w:val="28"/>
          <w:szCs w:val="22"/>
        </w:rPr>
        <w:t xml:space="preserve">Documentation of any equity evaluations of fare and service changes undertaken by </w:t>
      </w:r>
      <w:r w:rsidR="005468B2">
        <w:rPr>
          <w:rFonts w:cs="Arial"/>
          <w:sz w:val="28"/>
          <w:szCs w:val="22"/>
        </w:rPr>
        <w:t>METRO</w:t>
      </w:r>
      <w:r w:rsidRPr="001B41AF">
        <w:rPr>
          <w:rFonts w:cs="Arial"/>
          <w:sz w:val="28"/>
          <w:szCs w:val="22"/>
        </w:rPr>
        <w:t xml:space="preserve"> since its most recent FTA Title VI Program Compliance Report dated February 26, 2010. </w:t>
      </w:r>
    </w:p>
    <w:p w:rsidR="001B41AF" w:rsidRPr="001B41AF" w:rsidRDefault="001B41AF" w:rsidP="001E2593">
      <w:pPr>
        <w:ind w:left="720"/>
        <w:rPr>
          <w:rFonts w:cs="Arial"/>
          <w:caps/>
          <w:sz w:val="28"/>
          <w:szCs w:val="22"/>
        </w:rPr>
      </w:pPr>
    </w:p>
    <w:p w:rsidR="00210A0B" w:rsidRPr="001B41AF" w:rsidRDefault="001B41AF" w:rsidP="00150F0E">
      <w:pPr>
        <w:numPr>
          <w:ilvl w:val="0"/>
          <w:numId w:val="12"/>
        </w:numPr>
        <w:tabs>
          <w:tab w:val="clear" w:pos="1080"/>
          <w:tab w:val="num" w:pos="1440"/>
        </w:tabs>
        <w:ind w:left="720"/>
        <w:rPr>
          <w:rFonts w:cs="Arial"/>
          <w:caps/>
          <w:sz w:val="28"/>
          <w:szCs w:val="22"/>
        </w:rPr>
      </w:pPr>
      <w:r w:rsidRPr="001B41AF">
        <w:rPr>
          <w:rFonts w:cs="Arial"/>
          <w:sz w:val="28"/>
          <w:szCs w:val="22"/>
        </w:rPr>
        <w:t xml:space="preserve">Documentation of periodic service monitoring activities undertaken by </w:t>
      </w:r>
      <w:r w:rsidR="005468B2">
        <w:rPr>
          <w:rFonts w:cs="Arial"/>
          <w:sz w:val="28"/>
          <w:szCs w:val="22"/>
        </w:rPr>
        <w:t>METRO</w:t>
      </w:r>
      <w:r w:rsidRPr="001B41AF">
        <w:rPr>
          <w:rFonts w:cs="Arial"/>
          <w:sz w:val="28"/>
          <w:szCs w:val="22"/>
        </w:rPr>
        <w:t xml:space="preserve">, during the past three years, to compare the level and quality of service provided to predominantly minority and low-income areas with service provided in other areas to ensure that the end result of policies and decision-making is equitable service.  If </w:t>
      </w:r>
      <w:r w:rsidR="005468B2">
        <w:rPr>
          <w:rFonts w:cs="Arial"/>
          <w:sz w:val="28"/>
          <w:szCs w:val="22"/>
        </w:rPr>
        <w:t>METRO</w:t>
      </w:r>
      <w:r w:rsidRPr="001B41AF">
        <w:rPr>
          <w:rFonts w:cs="Arial"/>
          <w:sz w:val="28"/>
          <w:szCs w:val="22"/>
        </w:rPr>
        <w:t>’s monitoring determined that prior decisions have resulted in disparate impacts, provide documentation of corrective actions taken to remedy the disparities.</w:t>
      </w:r>
    </w:p>
    <w:p w:rsidR="00210A0B" w:rsidRDefault="00210A0B" w:rsidP="001E2593">
      <w:pPr>
        <w:pStyle w:val="ListParagraph"/>
        <w:ind w:left="1080"/>
        <w:rPr>
          <w:sz w:val="28"/>
          <w:szCs w:val="28"/>
        </w:rPr>
      </w:pPr>
    </w:p>
    <w:p w:rsidR="00210A0B" w:rsidRPr="00210A0B" w:rsidRDefault="00210A0B" w:rsidP="00210A0B">
      <w:pPr>
        <w:rPr>
          <w:sz w:val="28"/>
          <w:szCs w:val="28"/>
        </w:rPr>
      </w:pPr>
    </w:p>
    <w:p w:rsidR="00210A0B" w:rsidRPr="00210A0B" w:rsidRDefault="005468B2" w:rsidP="00210A0B">
      <w:pPr>
        <w:spacing w:line="360" w:lineRule="auto"/>
        <w:rPr>
          <w:bCs/>
          <w:sz w:val="28"/>
          <w:szCs w:val="28"/>
        </w:rPr>
      </w:pPr>
      <w:r>
        <w:rPr>
          <w:bCs/>
          <w:sz w:val="28"/>
          <w:szCs w:val="28"/>
        </w:rPr>
        <w:t>METRO</w:t>
      </w:r>
      <w:r w:rsidR="00210A0B" w:rsidRPr="00210A0B">
        <w:rPr>
          <w:bCs/>
          <w:sz w:val="28"/>
          <w:szCs w:val="28"/>
        </w:rPr>
        <w:t xml:space="preserve"> assembled the documents prior to the site visit and provided them to the Compliance Review team for advance review.  A detailed schedule for the three-day site visit was developed.</w:t>
      </w:r>
    </w:p>
    <w:p w:rsidR="00F80A8D" w:rsidRDefault="00F80A8D">
      <w:pPr>
        <w:pStyle w:val="BodyText2"/>
        <w:spacing w:line="36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t xml:space="preserve">The site visit to </w:t>
      </w:r>
      <w:r w:rsidR="005468B2">
        <w:rPr>
          <w:b w:val="0"/>
          <w:bCs/>
          <w:sz w:val="28"/>
          <w:szCs w:val="28"/>
        </w:rPr>
        <w:t>METRO</w:t>
      </w:r>
      <w:r>
        <w:rPr>
          <w:b w:val="0"/>
          <w:bCs/>
          <w:sz w:val="28"/>
          <w:szCs w:val="28"/>
        </w:rPr>
        <w:t xml:space="preserve"> occurred </w:t>
      </w:r>
      <w:r w:rsidR="00E41845">
        <w:rPr>
          <w:b w:val="0"/>
          <w:bCs/>
          <w:sz w:val="28"/>
          <w:szCs w:val="28"/>
        </w:rPr>
        <w:t>September 13</w:t>
      </w:r>
      <w:r w:rsidR="00295271">
        <w:rPr>
          <w:b w:val="0"/>
          <w:bCs/>
          <w:sz w:val="28"/>
          <w:szCs w:val="28"/>
        </w:rPr>
        <w:t xml:space="preserve"> – </w:t>
      </w:r>
      <w:r w:rsidR="00E41845">
        <w:rPr>
          <w:b w:val="0"/>
          <w:bCs/>
          <w:sz w:val="28"/>
          <w:szCs w:val="28"/>
        </w:rPr>
        <w:t>15</w:t>
      </w:r>
      <w:r w:rsidR="00295271">
        <w:rPr>
          <w:b w:val="0"/>
          <w:bCs/>
          <w:sz w:val="28"/>
          <w:szCs w:val="28"/>
        </w:rPr>
        <w:t>, 2011</w:t>
      </w:r>
      <w:r>
        <w:rPr>
          <w:b w:val="0"/>
          <w:bCs/>
          <w:sz w:val="28"/>
          <w:szCs w:val="28"/>
        </w:rPr>
        <w:t>.  The individuals participating in the Review are listed in Section VIII of this report.</w:t>
      </w:r>
      <w:r>
        <w:rPr>
          <w:sz w:val="28"/>
          <w:szCs w:val="28"/>
        </w:rPr>
        <w:t xml:space="preserve"> </w:t>
      </w:r>
      <w:r>
        <w:rPr>
          <w:b w:val="0"/>
          <w:sz w:val="28"/>
        </w:rPr>
        <w:t xml:space="preserve"> </w:t>
      </w:r>
      <w:r w:rsidR="00EA0F06">
        <w:rPr>
          <w:b w:val="0"/>
          <w:sz w:val="28"/>
        </w:rPr>
        <w:t>An</w:t>
      </w:r>
      <w:r>
        <w:rPr>
          <w:b w:val="0"/>
          <w:sz w:val="28"/>
        </w:rPr>
        <w:t xml:space="preserve"> Entrance Conference was conducted at the beginning of the Compliance Review with </w:t>
      </w:r>
      <w:r w:rsidR="005468B2">
        <w:rPr>
          <w:b w:val="0"/>
          <w:sz w:val="28"/>
        </w:rPr>
        <w:t>METRO</w:t>
      </w:r>
      <w:r w:rsidR="004F0DEB" w:rsidRPr="00C9437C">
        <w:rPr>
          <w:b w:val="0"/>
          <w:sz w:val="28"/>
        </w:rPr>
        <w:t xml:space="preserve"> senior management</w:t>
      </w:r>
      <w:r w:rsidR="00C9437C">
        <w:rPr>
          <w:b w:val="0"/>
          <w:sz w:val="28"/>
        </w:rPr>
        <w:t xml:space="preserve">, </w:t>
      </w:r>
      <w:r w:rsidR="005468B2">
        <w:rPr>
          <w:b w:val="0"/>
          <w:sz w:val="28"/>
        </w:rPr>
        <w:t>METRO</w:t>
      </w:r>
      <w:r w:rsidR="00C9437C">
        <w:rPr>
          <w:b w:val="0"/>
          <w:sz w:val="28"/>
        </w:rPr>
        <w:t xml:space="preserve"> staff,</w:t>
      </w:r>
      <w:r w:rsidR="004F0DEB" w:rsidRPr="00C9437C">
        <w:rPr>
          <w:b w:val="0"/>
          <w:sz w:val="28"/>
        </w:rPr>
        <w:t xml:space="preserve"> </w:t>
      </w:r>
      <w:r w:rsidR="00295271" w:rsidRPr="00C9437C">
        <w:rPr>
          <w:b w:val="0"/>
          <w:sz w:val="28"/>
        </w:rPr>
        <w:t>and the contractor Review t</w:t>
      </w:r>
      <w:r w:rsidRPr="00C9437C">
        <w:rPr>
          <w:b w:val="0"/>
          <w:sz w:val="28"/>
        </w:rPr>
        <w:t>eam.  The Review team</w:t>
      </w:r>
      <w:r>
        <w:rPr>
          <w:b w:val="0"/>
          <w:sz w:val="28"/>
        </w:rPr>
        <w:t xml:space="preserve"> showed the participants a U.S. Justice Department Title VI film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F80A8D" w:rsidRDefault="00F80A8D">
      <w:pPr>
        <w:pStyle w:val="BodyText2"/>
        <w:spacing w:line="360" w:lineRule="auto"/>
        <w:rPr>
          <w:b w:val="0"/>
          <w:sz w:val="28"/>
        </w:rPr>
      </w:pPr>
    </w:p>
    <w:p w:rsidR="00F80A8D" w:rsidRDefault="00F80A8D">
      <w:pPr>
        <w:spacing w:line="360" w:lineRule="auto"/>
        <w:rPr>
          <w:bCs/>
          <w:sz w:val="28"/>
        </w:rPr>
      </w:pPr>
      <w:r w:rsidRPr="00FE655D">
        <w:rPr>
          <w:bCs/>
          <w:sz w:val="28"/>
        </w:rPr>
        <w:lastRenderedPageBreak/>
        <w:t xml:space="preserve">Following the Entrance Conference, the Review team met with </w:t>
      </w:r>
      <w:r w:rsidR="00C6318B" w:rsidRPr="00FE655D">
        <w:rPr>
          <w:bCs/>
          <w:sz w:val="28"/>
        </w:rPr>
        <w:t xml:space="preserve">the </w:t>
      </w:r>
      <w:r w:rsidR="005468B2">
        <w:rPr>
          <w:bCs/>
          <w:sz w:val="28"/>
        </w:rPr>
        <w:t>METRO</w:t>
      </w:r>
      <w:r w:rsidR="00C6318B" w:rsidRPr="00C9437C">
        <w:rPr>
          <w:bCs/>
          <w:sz w:val="28"/>
        </w:rPr>
        <w:t xml:space="preserve"> </w:t>
      </w:r>
      <w:r w:rsidR="00C9437C" w:rsidRPr="00C9437C">
        <w:rPr>
          <w:bCs/>
          <w:sz w:val="28"/>
        </w:rPr>
        <w:t>General Manager</w:t>
      </w:r>
      <w:r w:rsidR="00C6318B" w:rsidRPr="00FE655D">
        <w:rPr>
          <w:bCs/>
          <w:sz w:val="28"/>
        </w:rPr>
        <w:t xml:space="preserve"> and other </w:t>
      </w:r>
      <w:r w:rsidRPr="00FE655D">
        <w:rPr>
          <w:bCs/>
          <w:sz w:val="28"/>
        </w:rPr>
        <w:t>staff responsible for Title VI Compliance.  During this meeting, discussions focused on a detailed examination of documents submitted in advance of the site visit and documents provided at the</w:t>
      </w:r>
      <w:r w:rsidR="00CA1585" w:rsidRPr="00FE655D">
        <w:rPr>
          <w:bCs/>
          <w:sz w:val="28"/>
        </w:rPr>
        <w:t xml:space="preserve"> site visit by</w:t>
      </w:r>
      <w:r w:rsidRPr="00FE655D">
        <w:rPr>
          <w:bCs/>
          <w:sz w:val="28"/>
        </w:rPr>
        <w:t xml:space="preserve"> </w:t>
      </w:r>
      <w:r w:rsidR="005468B2">
        <w:rPr>
          <w:bCs/>
          <w:sz w:val="28"/>
        </w:rPr>
        <w:t>METRO</w:t>
      </w:r>
      <w:r w:rsidRPr="00FE655D">
        <w:rPr>
          <w:bCs/>
          <w:sz w:val="28"/>
        </w:rPr>
        <w:t>.</w:t>
      </w:r>
    </w:p>
    <w:p w:rsidR="00EA0F06" w:rsidRDefault="00EA0F06">
      <w:pPr>
        <w:spacing w:line="360" w:lineRule="auto"/>
        <w:rPr>
          <w:bCs/>
          <w:sz w:val="28"/>
        </w:rPr>
      </w:pPr>
    </w:p>
    <w:p w:rsidR="00F80A8D" w:rsidRDefault="00F80A8D">
      <w:pPr>
        <w:spacing w:line="360" w:lineRule="auto"/>
        <w:rPr>
          <w:sz w:val="28"/>
        </w:rPr>
      </w:pPr>
      <w:r>
        <w:rPr>
          <w:sz w:val="28"/>
        </w:rPr>
        <w:t xml:space="preserve">At the end of the site visit, an Exit Conference was held with </w:t>
      </w:r>
      <w:r w:rsidR="005468B2">
        <w:rPr>
          <w:sz w:val="28"/>
        </w:rPr>
        <w:t>METRO</w:t>
      </w:r>
      <w:r>
        <w:rPr>
          <w:sz w:val="28"/>
        </w:rPr>
        <w:t xml:space="preserve"> </w:t>
      </w:r>
      <w:r w:rsidR="00AA59B8">
        <w:rPr>
          <w:sz w:val="28"/>
        </w:rPr>
        <w:t>staff</w:t>
      </w:r>
      <w:r w:rsidR="00055114">
        <w:rPr>
          <w:sz w:val="28"/>
        </w:rPr>
        <w:t xml:space="preserve"> </w:t>
      </w:r>
      <w:r>
        <w:rPr>
          <w:sz w:val="28"/>
        </w:rPr>
        <w:t xml:space="preserve">and the contractor Review team.  At the Exit Conference, initial findings and corrective actions were discussed with </w:t>
      </w:r>
      <w:r w:rsidR="005468B2">
        <w:rPr>
          <w:sz w:val="28"/>
        </w:rPr>
        <w:t>METRO</w:t>
      </w:r>
      <w:r>
        <w:rPr>
          <w:sz w:val="28"/>
        </w:rPr>
        <w:t>.</w:t>
      </w:r>
    </w:p>
    <w:p w:rsidR="00D952A3" w:rsidRDefault="00D952A3" w:rsidP="00D952A3">
      <w:bookmarkStart w:id="10" w:name="_Toc106790242"/>
    </w:p>
    <w:p w:rsidR="00D952A3" w:rsidRDefault="00D952A3" w:rsidP="00D952A3">
      <w:pPr>
        <w:rPr>
          <w:sz w:val="28"/>
          <w:szCs w:val="28"/>
        </w:rPr>
      </w:pPr>
      <w:r w:rsidRPr="00933287">
        <w:rPr>
          <w:b/>
          <w:sz w:val="28"/>
          <w:szCs w:val="28"/>
          <w:u w:val="single"/>
        </w:rPr>
        <w:t>Site Visits</w:t>
      </w:r>
    </w:p>
    <w:p w:rsidR="00933287" w:rsidRDefault="00933287" w:rsidP="00D952A3">
      <w:pPr>
        <w:rPr>
          <w:sz w:val="28"/>
          <w:szCs w:val="28"/>
        </w:rPr>
      </w:pPr>
    </w:p>
    <w:p w:rsidR="00933287" w:rsidRDefault="00933287" w:rsidP="003764C4">
      <w:pPr>
        <w:spacing w:line="360" w:lineRule="auto"/>
        <w:rPr>
          <w:sz w:val="28"/>
          <w:szCs w:val="28"/>
        </w:rPr>
      </w:pPr>
      <w:r>
        <w:rPr>
          <w:sz w:val="28"/>
          <w:szCs w:val="28"/>
        </w:rPr>
        <w:t xml:space="preserve">With </w:t>
      </w:r>
      <w:r w:rsidR="005468B2">
        <w:rPr>
          <w:sz w:val="28"/>
          <w:szCs w:val="28"/>
        </w:rPr>
        <w:t>METRO</w:t>
      </w:r>
      <w:r>
        <w:rPr>
          <w:sz w:val="28"/>
          <w:szCs w:val="28"/>
        </w:rPr>
        <w:t xml:space="preserve">’s help, </w:t>
      </w:r>
      <w:r w:rsidR="00324B07">
        <w:rPr>
          <w:sz w:val="28"/>
          <w:szCs w:val="28"/>
        </w:rPr>
        <w:t>t</w:t>
      </w:r>
      <w:r>
        <w:rPr>
          <w:sz w:val="28"/>
          <w:szCs w:val="28"/>
        </w:rPr>
        <w:t xml:space="preserve">he Review team selected </w:t>
      </w:r>
      <w:r w:rsidRPr="007612EC">
        <w:rPr>
          <w:sz w:val="28"/>
          <w:szCs w:val="28"/>
        </w:rPr>
        <w:t>one minority, one non-minority, one low-income, and one non-low-income route to tour.</w:t>
      </w:r>
      <w:r>
        <w:rPr>
          <w:sz w:val="28"/>
          <w:szCs w:val="28"/>
        </w:rPr>
        <w:t xml:space="preserve">  The objective was to get a sense of </w:t>
      </w:r>
      <w:r w:rsidR="005468B2">
        <w:rPr>
          <w:sz w:val="28"/>
          <w:szCs w:val="28"/>
        </w:rPr>
        <w:t>METRO</w:t>
      </w:r>
      <w:r>
        <w:rPr>
          <w:sz w:val="28"/>
          <w:szCs w:val="28"/>
        </w:rPr>
        <w:t>’s service area in relation to Title VI and to identify any obvious disparities in the distribution of transit amenities along its routes.  The route tour results are as follows:</w:t>
      </w:r>
    </w:p>
    <w:p w:rsidR="00933287" w:rsidRDefault="00933287" w:rsidP="00D952A3">
      <w:pPr>
        <w:rPr>
          <w:sz w:val="28"/>
          <w:szCs w:val="28"/>
        </w:rPr>
      </w:pPr>
    </w:p>
    <w:tbl>
      <w:tblPr>
        <w:tblStyle w:val="TableGrid"/>
        <w:tblW w:w="0" w:type="auto"/>
        <w:tblLook w:val="04A0"/>
      </w:tblPr>
      <w:tblGrid>
        <w:gridCol w:w="1915"/>
        <w:gridCol w:w="1793"/>
        <w:gridCol w:w="1890"/>
        <w:gridCol w:w="1890"/>
        <w:gridCol w:w="2088"/>
      </w:tblGrid>
      <w:tr w:rsidR="00C60450" w:rsidTr="003764C4">
        <w:tc>
          <w:tcPr>
            <w:tcW w:w="1915" w:type="dxa"/>
          </w:tcPr>
          <w:p w:rsidR="00C60450" w:rsidRDefault="00C60450" w:rsidP="00D952A3">
            <w:pPr>
              <w:rPr>
                <w:sz w:val="28"/>
                <w:szCs w:val="28"/>
              </w:rPr>
            </w:pPr>
          </w:p>
        </w:tc>
        <w:tc>
          <w:tcPr>
            <w:tcW w:w="1793" w:type="dxa"/>
          </w:tcPr>
          <w:p w:rsidR="00C60450" w:rsidRDefault="00C60450" w:rsidP="00C60450">
            <w:pPr>
              <w:jc w:val="center"/>
              <w:rPr>
                <w:sz w:val="24"/>
                <w:szCs w:val="24"/>
              </w:rPr>
            </w:pPr>
            <w:r w:rsidRPr="003764C4">
              <w:rPr>
                <w:sz w:val="24"/>
                <w:szCs w:val="24"/>
              </w:rPr>
              <w:t>Minority</w:t>
            </w:r>
          </w:p>
          <w:p w:rsidR="00C60450" w:rsidRPr="003764C4" w:rsidRDefault="00C60450" w:rsidP="00C60450">
            <w:pPr>
              <w:jc w:val="center"/>
              <w:rPr>
                <w:sz w:val="24"/>
                <w:szCs w:val="24"/>
              </w:rPr>
            </w:pPr>
            <w:r>
              <w:rPr>
                <w:sz w:val="24"/>
                <w:szCs w:val="24"/>
              </w:rPr>
              <w:t>(Route 71)</w:t>
            </w:r>
          </w:p>
        </w:tc>
        <w:tc>
          <w:tcPr>
            <w:tcW w:w="1890" w:type="dxa"/>
          </w:tcPr>
          <w:p w:rsidR="00C60450" w:rsidRDefault="00C60450" w:rsidP="00C60450">
            <w:pPr>
              <w:jc w:val="center"/>
              <w:rPr>
                <w:sz w:val="24"/>
                <w:szCs w:val="24"/>
              </w:rPr>
            </w:pPr>
            <w:r w:rsidRPr="003764C4">
              <w:rPr>
                <w:sz w:val="24"/>
                <w:szCs w:val="24"/>
              </w:rPr>
              <w:t>Non-Minority</w:t>
            </w:r>
          </w:p>
          <w:p w:rsidR="00C60450" w:rsidRPr="003764C4" w:rsidRDefault="00C60450" w:rsidP="00C60450">
            <w:pPr>
              <w:jc w:val="center"/>
              <w:rPr>
                <w:sz w:val="24"/>
                <w:szCs w:val="24"/>
              </w:rPr>
            </w:pPr>
            <w:r>
              <w:rPr>
                <w:sz w:val="24"/>
                <w:szCs w:val="24"/>
              </w:rPr>
              <w:t>(Route 35)</w:t>
            </w:r>
          </w:p>
        </w:tc>
        <w:tc>
          <w:tcPr>
            <w:tcW w:w="1890" w:type="dxa"/>
          </w:tcPr>
          <w:p w:rsidR="00C60450" w:rsidRDefault="00C60450" w:rsidP="00C60450">
            <w:pPr>
              <w:jc w:val="center"/>
              <w:rPr>
                <w:sz w:val="24"/>
                <w:szCs w:val="24"/>
              </w:rPr>
            </w:pPr>
            <w:r w:rsidRPr="003764C4">
              <w:rPr>
                <w:sz w:val="24"/>
                <w:szCs w:val="24"/>
              </w:rPr>
              <w:t>Low-Income</w:t>
            </w:r>
          </w:p>
          <w:p w:rsidR="00C60450" w:rsidRPr="003764C4" w:rsidRDefault="00C60450" w:rsidP="00C60450">
            <w:pPr>
              <w:jc w:val="center"/>
              <w:rPr>
                <w:sz w:val="24"/>
                <w:szCs w:val="24"/>
              </w:rPr>
            </w:pPr>
            <w:r>
              <w:rPr>
                <w:sz w:val="24"/>
                <w:szCs w:val="24"/>
              </w:rPr>
              <w:t>(Route 75)</w:t>
            </w:r>
          </w:p>
        </w:tc>
        <w:tc>
          <w:tcPr>
            <w:tcW w:w="2088" w:type="dxa"/>
          </w:tcPr>
          <w:p w:rsidR="00C60450" w:rsidRDefault="00C60450" w:rsidP="00C60450">
            <w:pPr>
              <w:jc w:val="center"/>
              <w:rPr>
                <w:sz w:val="24"/>
                <w:szCs w:val="24"/>
              </w:rPr>
            </w:pPr>
            <w:r w:rsidRPr="003764C4">
              <w:rPr>
                <w:sz w:val="24"/>
                <w:szCs w:val="24"/>
              </w:rPr>
              <w:t>Non-Low-Income</w:t>
            </w:r>
          </w:p>
          <w:p w:rsidR="00C60450" w:rsidRPr="003764C4" w:rsidRDefault="00C60450" w:rsidP="00C60450">
            <w:pPr>
              <w:jc w:val="center"/>
              <w:rPr>
                <w:sz w:val="24"/>
                <w:szCs w:val="24"/>
              </w:rPr>
            </w:pPr>
            <w:r>
              <w:rPr>
                <w:sz w:val="24"/>
                <w:szCs w:val="24"/>
              </w:rPr>
              <w:t>(Route 3)</w:t>
            </w:r>
          </w:p>
        </w:tc>
      </w:tr>
      <w:tr w:rsidR="003764C4" w:rsidTr="003764C4">
        <w:tc>
          <w:tcPr>
            <w:tcW w:w="1915" w:type="dxa"/>
          </w:tcPr>
          <w:p w:rsidR="003764C4" w:rsidRPr="003764C4" w:rsidRDefault="003764C4" w:rsidP="00D952A3">
            <w:pPr>
              <w:rPr>
                <w:sz w:val="24"/>
                <w:szCs w:val="24"/>
              </w:rPr>
            </w:pPr>
            <w:r w:rsidRPr="003764C4">
              <w:rPr>
                <w:sz w:val="24"/>
                <w:szCs w:val="24"/>
              </w:rPr>
              <w:t>Bench</w:t>
            </w:r>
          </w:p>
        </w:tc>
        <w:tc>
          <w:tcPr>
            <w:tcW w:w="1793" w:type="dxa"/>
          </w:tcPr>
          <w:p w:rsidR="003764C4" w:rsidRPr="007306F1" w:rsidRDefault="007306F1" w:rsidP="003764C4">
            <w:pPr>
              <w:jc w:val="center"/>
              <w:rPr>
                <w:sz w:val="24"/>
                <w:szCs w:val="24"/>
              </w:rPr>
            </w:pPr>
            <w:r w:rsidRPr="007306F1">
              <w:rPr>
                <w:sz w:val="24"/>
                <w:szCs w:val="24"/>
              </w:rPr>
              <w:t>101</w:t>
            </w:r>
          </w:p>
        </w:tc>
        <w:tc>
          <w:tcPr>
            <w:tcW w:w="1890" w:type="dxa"/>
          </w:tcPr>
          <w:p w:rsidR="003764C4" w:rsidRPr="007306F1" w:rsidRDefault="007306F1" w:rsidP="003764C4">
            <w:pPr>
              <w:jc w:val="center"/>
              <w:rPr>
                <w:sz w:val="24"/>
                <w:szCs w:val="24"/>
              </w:rPr>
            </w:pPr>
            <w:r>
              <w:rPr>
                <w:sz w:val="24"/>
                <w:szCs w:val="24"/>
              </w:rPr>
              <w:t>48</w:t>
            </w:r>
          </w:p>
        </w:tc>
        <w:tc>
          <w:tcPr>
            <w:tcW w:w="1890" w:type="dxa"/>
          </w:tcPr>
          <w:p w:rsidR="003764C4" w:rsidRPr="007306F1" w:rsidRDefault="001B5E5D" w:rsidP="003764C4">
            <w:pPr>
              <w:jc w:val="center"/>
              <w:rPr>
                <w:sz w:val="24"/>
                <w:szCs w:val="24"/>
              </w:rPr>
            </w:pPr>
            <w:r>
              <w:rPr>
                <w:sz w:val="24"/>
                <w:szCs w:val="24"/>
              </w:rPr>
              <w:t>22</w:t>
            </w:r>
          </w:p>
        </w:tc>
        <w:tc>
          <w:tcPr>
            <w:tcW w:w="2088" w:type="dxa"/>
          </w:tcPr>
          <w:p w:rsidR="003764C4" w:rsidRPr="007306F1" w:rsidRDefault="001B5E5D" w:rsidP="003764C4">
            <w:pPr>
              <w:jc w:val="center"/>
              <w:rPr>
                <w:sz w:val="24"/>
                <w:szCs w:val="24"/>
              </w:rPr>
            </w:pPr>
            <w:r>
              <w:rPr>
                <w:sz w:val="24"/>
                <w:szCs w:val="24"/>
              </w:rPr>
              <w:t>24</w:t>
            </w:r>
          </w:p>
        </w:tc>
      </w:tr>
      <w:tr w:rsidR="003764C4" w:rsidTr="003764C4">
        <w:tc>
          <w:tcPr>
            <w:tcW w:w="1915" w:type="dxa"/>
          </w:tcPr>
          <w:p w:rsidR="003764C4" w:rsidRPr="003764C4" w:rsidRDefault="003764C4" w:rsidP="00D952A3">
            <w:pPr>
              <w:rPr>
                <w:sz w:val="24"/>
                <w:szCs w:val="24"/>
              </w:rPr>
            </w:pPr>
            <w:r w:rsidRPr="003764C4">
              <w:rPr>
                <w:sz w:val="24"/>
                <w:szCs w:val="24"/>
              </w:rPr>
              <w:t>Shelter</w:t>
            </w:r>
          </w:p>
        </w:tc>
        <w:tc>
          <w:tcPr>
            <w:tcW w:w="1793" w:type="dxa"/>
          </w:tcPr>
          <w:p w:rsidR="003764C4" w:rsidRPr="007306F1" w:rsidRDefault="007306F1" w:rsidP="003764C4">
            <w:pPr>
              <w:jc w:val="center"/>
              <w:rPr>
                <w:sz w:val="24"/>
                <w:szCs w:val="24"/>
              </w:rPr>
            </w:pPr>
            <w:r w:rsidRPr="007306F1">
              <w:rPr>
                <w:sz w:val="24"/>
                <w:szCs w:val="24"/>
              </w:rPr>
              <w:t>47</w:t>
            </w:r>
          </w:p>
        </w:tc>
        <w:tc>
          <w:tcPr>
            <w:tcW w:w="1890" w:type="dxa"/>
          </w:tcPr>
          <w:p w:rsidR="003764C4" w:rsidRPr="007306F1" w:rsidRDefault="007306F1" w:rsidP="003764C4">
            <w:pPr>
              <w:jc w:val="center"/>
              <w:rPr>
                <w:sz w:val="24"/>
                <w:szCs w:val="24"/>
              </w:rPr>
            </w:pPr>
            <w:r>
              <w:rPr>
                <w:sz w:val="24"/>
                <w:szCs w:val="24"/>
              </w:rPr>
              <w:t>16</w:t>
            </w:r>
          </w:p>
        </w:tc>
        <w:tc>
          <w:tcPr>
            <w:tcW w:w="1890" w:type="dxa"/>
          </w:tcPr>
          <w:p w:rsidR="003764C4" w:rsidRPr="007306F1" w:rsidRDefault="001B5E5D" w:rsidP="003764C4">
            <w:pPr>
              <w:jc w:val="center"/>
              <w:rPr>
                <w:sz w:val="24"/>
                <w:szCs w:val="24"/>
              </w:rPr>
            </w:pPr>
            <w:r>
              <w:rPr>
                <w:sz w:val="24"/>
                <w:szCs w:val="24"/>
              </w:rPr>
              <w:t>12</w:t>
            </w:r>
          </w:p>
        </w:tc>
        <w:tc>
          <w:tcPr>
            <w:tcW w:w="2088" w:type="dxa"/>
          </w:tcPr>
          <w:p w:rsidR="003764C4" w:rsidRPr="007306F1" w:rsidRDefault="001B5E5D" w:rsidP="003764C4">
            <w:pPr>
              <w:jc w:val="center"/>
              <w:rPr>
                <w:sz w:val="24"/>
                <w:szCs w:val="24"/>
              </w:rPr>
            </w:pPr>
            <w:r>
              <w:rPr>
                <w:sz w:val="24"/>
                <w:szCs w:val="24"/>
              </w:rPr>
              <w:t>6</w:t>
            </w:r>
          </w:p>
        </w:tc>
      </w:tr>
      <w:tr w:rsidR="003764C4" w:rsidTr="003764C4">
        <w:tc>
          <w:tcPr>
            <w:tcW w:w="1915" w:type="dxa"/>
          </w:tcPr>
          <w:p w:rsidR="003764C4" w:rsidRPr="003764C4" w:rsidRDefault="003764C4" w:rsidP="00D952A3">
            <w:pPr>
              <w:rPr>
                <w:sz w:val="24"/>
                <w:szCs w:val="24"/>
              </w:rPr>
            </w:pPr>
            <w:r w:rsidRPr="003764C4">
              <w:rPr>
                <w:sz w:val="24"/>
                <w:szCs w:val="24"/>
              </w:rPr>
              <w:t>Trash Can</w:t>
            </w:r>
          </w:p>
        </w:tc>
        <w:tc>
          <w:tcPr>
            <w:tcW w:w="1793" w:type="dxa"/>
          </w:tcPr>
          <w:p w:rsidR="003764C4" w:rsidRPr="007306F1" w:rsidRDefault="007306F1" w:rsidP="003764C4">
            <w:pPr>
              <w:jc w:val="center"/>
              <w:rPr>
                <w:sz w:val="24"/>
                <w:szCs w:val="24"/>
              </w:rPr>
            </w:pPr>
            <w:r w:rsidRPr="007306F1">
              <w:rPr>
                <w:sz w:val="24"/>
                <w:szCs w:val="24"/>
              </w:rPr>
              <w:t>46</w:t>
            </w:r>
          </w:p>
        </w:tc>
        <w:tc>
          <w:tcPr>
            <w:tcW w:w="1890" w:type="dxa"/>
          </w:tcPr>
          <w:p w:rsidR="003764C4" w:rsidRPr="007306F1" w:rsidRDefault="007306F1" w:rsidP="003764C4">
            <w:pPr>
              <w:jc w:val="center"/>
              <w:rPr>
                <w:sz w:val="24"/>
                <w:szCs w:val="24"/>
              </w:rPr>
            </w:pPr>
            <w:r>
              <w:rPr>
                <w:sz w:val="24"/>
                <w:szCs w:val="24"/>
              </w:rPr>
              <w:t>35</w:t>
            </w:r>
          </w:p>
        </w:tc>
        <w:tc>
          <w:tcPr>
            <w:tcW w:w="1890" w:type="dxa"/>
          </w:tcPr>
          <w:p w:rsidR="003764C4" w:rsidRPr="007306F1" w:rsidRDefault="001B5E5D" w:rsidP="003764C4">
            <w:pPr>
              <w:jc w:val="center"/>
              <w:rPr>
                <w:sz w:val="24"/>
                <w:szCs w:val="24"/>
              </w:rPr>
            </w:pPr>
            <w:r>
              <w:rPr>
                <w:sz w:val="24"/>
                <w:szCs w:val="24"/>
              </w:rPr>
              <w:t>11</w:t>
            </w:r>
          </w:p>
        </w:tc>
        <w:tc>
          <w:tcPr>
            <w:tcW w:w="2088" w:type="dxa"/>
          </w:tcPr>
          <w:p w:rsidR="003764C4" w:rsidRPr="007306F1" w:rsidRDefault="001B5E5D" w:rsidP="003764C4">
            <w:pPr>
              <w:jc w:val="center"/>
              <w:rPr>
                <w:sz w:val="24"/>
                <w:szCs w:val="24"/>
              </w:rPr>
            </w:pPr>
            <w:r>
              <w:rPr>
                <w:sz w:val="24"/>
                <w:szCs w:val="24"/>
              </w:rPr>
              <w:t>3</w:t>
            </w:r>
          </w:p>
        </w:tc>
      </w:tr>
      <w:tr w:rsidR="003764C4" w:rsidTr="003764C4">
        <w:tc>
          <w:tcPr>
            <w:tcW w:w="1915" w:type="dxa"/>
          </w:tcPr>
          <w:p w:rsidR="003764C4" w:rsidRPr="003764C4" w:rsidRDefault="003764C4" w:rsidP="00D952A3">
            <w:pPr>
              <w:rPr>
                <w:sz w:val="24"/>
                <w:szCs w:val="24"/>
              </w:rPr>
            </w:pPr>
            <w:r w:rsidRPr="003764C4">
              <w:rPr>
                <w:sz w:val="24"/>
                <w:szCs w:val="24"/>
              </w:rPr>
              <w:t>Light</w:t>
            </w:r>
          </w:p>
        </w:tc>
        <w:tc>
          <w:tcPr>
            <w:tcW w:w="1793" w:type="dxa"/>
          </w:tcPr>
          <w:p w:rsidR="003764C4" w:rsidRPr="007306F1" w:rsidRDefault="007306F1" w:rsidP="003764C4">
            <w:pPr>
              <w:jc w:val="center"/>
              <w:rPr>
                <w:sz w:val="24"/>
                <w:szCs w:val="24"/>
              </w:rPr>
            </w:pPr>
            <w:r w:rsidRPr="007306F1">
              <w:rPr>
                <w:sz w:val="24"/>
                <w:szCs w:val="24"/>
              </w:rPr>
              <w:t>2</w:t>
            </w:r>
          </w:p>
        </w:tc>
        <w:tc>
          <w:tcPr>
            <w:tcW w:w="1890" w:type="dxa"/>
          </w:tcPr>
          <w:p w:rsidR="003764C4" w:rsidRPr="007306F1" w:rsidRDefault="007306F1" w:rsidP="003764C4">
            <w:pPr>
              <w:jc w:val="center"/>
              <w:rPr>
                <w:sz w:val="24"/>
                <w:szCs w:val="24"/>
              </w:rPr>
            </w:pPr>
            <w:r>
              <w:rPr>
                <w:sz w:val="24"/>
                <w:szCs w:val="24"/>
              </w:rPr>
              <w:t>2</w:t>
            </w:r>
          </w:p>
        </w:tc>
        <w:tc>
          <w:tcPr>
            <w:tcW w:w="1890" w:type="dxa"/>
          </w:tcPr>
          <w:p w:rsidR="003764C4" w:rsidRPr="007306F1" w:rsidRDefault="001B5E5D" w:rsidP="003764C4">
            <w:pPr>
              <w:jc w:val="center"/>
              <w:rPr>
                <w:sz w:val="24"/>
                <w:szCs w:val="24"/>
              </w:rPr>
            </w:pPr>
            <w:r>
              <w:rPr>
                <w:sz w:val="24"/>
                <w:szCs w:val="24"/>
              </w:rPr>
              <w:t>3</w:t>
            </w:r>
          </w:p>
        </w:tc>
        <w:tc>
          <w:tcPr>
            <w:tcW w:w="2088" w:type="dxa"/>
          </w:tcPr>
          <w:p w:rsidR="003764C4" w:rsidRPr="007306F1" w:rsidRDefault="001B5E5D" w:rsidP="003764C4">
            <w:pPr>
              <w:jc w:val="center"/>
              <w:rPr>
                <w:sz w:val="24"/>
                <w:szCs w:val="24"/>
              </w:rPr>
            </w:pPr>
            <w:r>
              <w:rPr>
                <w:sz w:val="24"/>
                <w:szCs w:val="24"/>
              </w:rPr>
              <w:t>1</w:t>
            </w:r>
          </w:p>
        </w:tc>
      </w:tr>
      <w:tr w:rsidR="003764C4" w:rsidTr="003764C4">
        <w:tc>
          <w:tcPr>
            <w:tcW w:w="1915" w:type="dxa"/>
          </w:tcPr>
          <w:p w:rsidR="003764C4" w:rsidRPr="003764C4" w:rsidRDefault="00055114" w:rsidP="00D952A3">
            <w:pPr>
              <w:rPr>
                <w:sz w:val="24"/>
                <w:szCs w:val="24"/>
              </w:rPr>
            </w:pPr>
            <w:r>
              <w:rPr>
                <w:sz w:val="24"/>
                <w:szCs w:val="24"/>
              </w:rPr>
              <w:t>Park and Ride</w:t>
            </w:r>
          </w:p>
        </w:tc>
        <w:tc>
          <w:tcPr>
            <w:tcW w:w="1793" w:type="dxa"/>
          </w:tcPr>
          <w:p w:rsidR="003764C4" w:rsidRPr="007306F1" w:rsidRDefault="007306F1" w:rsidP="003764C4">
            <w:pPr>
              <w:jc w:val="center"/>
              <w:rPr>
                <w:sz w:val="24"/>
                <w:szCs w:val="24"/>
              </w:rPr>
            </w:pPr>
            <w:r w:rsidRPr="007306F1">
              <w:rPr>
                <w:sz w:val="24"/>
                <w:szCs w:val="24"/>
              </w:rPr>
              <w:t>1</w:t>
            </w:r>
          </w:p>
        </w:tc>
        <w:tc>
          <w:tcPr>
            <w:tcW w:w="1890" w:type="dxa"/>
          </w:tcPr>
          <w:p w:rsidR="003764C4" w:rsidRPr="007306F1" w:rsidRDefault="007306F1" w:rsidP="003764C4">
            <w:pPr>
              <w:jc w:val="center"/>
              <w:rPr>
                <w:sz w:val="24"/>
                <w:szCs w:val="24"/>
              </w:rPr>
            </w:pPr>
            <w:r>
              <w:rPr>
                <w:sz w:val="24"/>
                <w:szCs w:val="24"/>
              </w:rPr>
              <w:t>1</w:t>
            </w:r>
          </w:p>
        </w:tc>
        <w:tc>
          <w:tcPr>
            <w:tcW w:w="1890" w:type="dxa"/>
          </w:tcPr>
          <w:p w:rsidR="003764C4" w:rsidRPr="007306F1" w:rsidRDefault="001B5E5D" w:rsidP="003764C4">
            <w:pPr>
              <w:jc w:val="center"/>
              <w:rPr>
                <w:sz w:val="24"/>
                <w:szCs w:val="24"/>
              </w:rPr>
            </w:pPr>
            <w:r>
              <w:rPr>
                <w:sz w:val="24"/>
                <w:szCs w:val="24"/>
              </w:rPr>
              <w:t>0</w:t>
            </w:r>
          </w:p>
        </w:tc>
        <w:tc>
          <w:tcPr>
            <w:tcW w:w="2088" w:type="dxa"/>
          </w:tcPr>
          <w:p w:rsidR="003764C4" w:rsidRPr="007306F1" w:rsidRDefault="001B5E5D" w:rsidP="003764C4">
            <w:pPr>
              <w:jc w:val="center"/>
              <w:rPr>
                <w:sz w:val="24"/>
                <w:szCs w:val="24"/>
              </w:rPr>
            </w:pPr>
            <w:r>
              <w:rPr>
                <w:sz w:val="24"/>
                <w:szCs w:val="24"/>
              </w:rPr>
              <w:t>0</w:t>
            </w:r>
          </w:p>
        </w:tc>
      </w:tr>
    </w:tbl>
    <w:p w:rsidR="00933287" w:rsidRPr="00933287" w:rsidRDefault="00933287" w:rsidP="00D952A3">
      <w:pPr>
        <w:rPr>
          <w:sz w:val="28"/>
          <w:szCs w:val="28"/>
        </w:rPr>
      </w:pPr>
    </w:p>
    <w:p w:rsidR="00C60450" w:rsidRDefault="003764C4" w:rsidP="00C60450">
      <w:pPr>
        <w:spacing w:line="360" w:lineRule="auto"/>
        <w:rPr>
          <w:sz w:val="28"/>
          <w:szCs w:val="28"/>
        </w:rPr>
      </w:pPr>
      <w:r w:rsidRPr="007612EC">
        <w:rPr>
          <w:sz w:val="28"/>
          <w:szCs w:val="28"/>
        </w:rPr>
        <w:t>As the results indicate, there were no disparities in the distribution of transit amenities that had an adverse impact on the minority and low-income comm</w:t>
      </w:r>
      <w:r w:rsidR="00C60450">
        <w:rPr>
          <w:sz w:val="28"/>
          <w:szCs w:val="28"/>
        </w:rPr>
        <w:t>unities along the routes toured.</w:t>
      </w:r>
    </w:p>
    <w:p w:rsidR="001332FF" w:rsidRDefault="001332FF">
      <w:pPr>
        <w:rPr>
          <w:sz w:val="28"/>
          <w:szCs w:val="28"/>
        </w:rPr>
      </w:pPr>
      <w:r>
        <w:rPr>
          <w:sz w:val="28"/>
          <w:szCs w:val="28"/>
        </w:rPr>
        <w:br w:type="page"/>
      </w:r>
    </w:p>
    <w:p w:rsidR="00F80A8D" w:rsidRPr="008B2510" w:rsidRDefault="00F80A8D" w:rsidP="008B2510">
      <w:pPr>
        <w:pStyle w:val="BHLevel1"/>
        <w:rPr>
          <w:sz w:val="28"/>
          <w:szCs w:val="28"/>
        </w:rPr>
      </w:pPr>
      <w:bookmarkStart w:id="11" w:name="_Toc312841757"/>
      <w:r w:rsidRPr="008B2510">
        <w:rPr>
          <w:sz w:val="28"/>
          <w:szCs w:val="28"/>
        </w:rPr>
        <w:lastRenderedPageBreak/>
        <w:t>FINDINGS AND RECOMMENDATIONS</w:t>
      </w:r>
      <w:bookmarkEnd w:id="10"/>
      <w:bookmarkEnd w:id="11"/>
    </w:p>
    <w:p w:rsidR="004F0DEB" w:rsidRDefault="004F0DEB" w:rsidP="004F0DEB">
      <w:pPr>
        <w:spacing w:line="360" w:lineRule="auto"/>
        <w:rPr>
          <w:sz w:val="28"/>
          <w:szCs w:val="28"/>
        </w:rPr>
      </w:pPr>
    </w:p>
    <w:p w:rsidR="00210A0B" w:rsidRDefault="00F80A8D" w:rsidP="004F0DEB">
      <w:pPr>
        <w:spacing w:line="360" w:lineRule="auto"/>
        <w:rPr>
          <w:sz w:val="28"/>
          <w:szCs w:val="28"/>
        </w:rPr>
      </w:pPr>
      <w:r w:rsidRPr="004F0DEB">
        <w:rPr>
          <w:sz w:val="28"/>
          <w:szCs w:val="28"/>
        </w:rPr>
        <w:t xml:space="preserve">The Title VI Compliance Review focused on </w:t>
      </w:r>
      <w:r w:rsidR="005468B2">
        <w:rPr>
          <w:sz w:val="28"/>
          <w:szCs w:val="28"/>
        </w:rPr>
        <w:t>METRO</w:t>
      </w:r>
      <w:r w:rsidRPr="004F0DEB">
        <w:rPr>
          <w:sz w:val="28"/>
          <w:szCs w:val="28"/>
        </w:rPr>
        <w:t xml:space="preserve">'s compliance with the General Reporting Requirements </w:t>
      </w:r>
      <w:r w:rsidR="00B14E80" w:rsidRPr="004F0DEB">
        <w:rPr>
          <w:sz w:val="28"/>
          <w:szCs w:val="28"/>
        </w:rPr>
        <w:t>and Guidelines</w:t>
      </w:r>
      <w:r w:rsidR="00224031">
        <w:rPr>
          <w:sz w:val="28"/>
          <w:szCs w:val="28"/>
        </w:rPr>
        <w:t xml:space="preserve">.  </w:t>
      </w:r>
      <w:r w:rsidRPr="004F0DEB">
        <w:rPr>
          <w:sz w:val="28"/>
          <w:szCs w:val="28"/>
        </w:rPr>
        <w:t xml:space="preserve">This section describes the requirements and findings at the time of the Compliance Review site visit.  </w:t>
      </w:r>
      <w:r w:rsidRPr="009F5272">
        <w:rPr>
          <w:sz w:val="28"/>
          <w:szCs w:val="28"/>
        </w:rPr>
        <w:t xml:space="preserve">In summary, </w:t>
      </w:r>
      <w:r w:rsidR="008E06FC" w:rsidRPr="009F5272">
        <w:rPr>
          <w:sz w:val="28"/>
          <w:szCs w:val="28"/>
        </w:rPr>
        <w:t xml:space="preserve">no deficiencies were identified in </w:t>
      </w:r>
      <w:r w:rsidR="004F0DEB" w:rsidRPr="009F5272">
        <w:rPr>
          <w:sz w:val="28"/>
          <w:szCs w:val="28"/>
        </w:rPr>
        <w:t xml:space="preserve">seven </w:t>
      </w:r>
      <w:r w:rsidR="008E06FC" w:rsidRPr="009F5272">
        <w:rPr>
          <w:sz w:val="28"/>
          <w:szCs w:val="28"/>
        </w:rPr>
        <w:t>of the</w:t>
      </w:r>
      <w:r w:rsidR="008C59EE" w:rsidRPr="009F5272">
        <w:rPr>
          <w:sz w:val="28"/>
          <w:szCs w:val="28"/>
        </w:rPr>
        <w:t xml:space="preserve"> </w:t>
      </w:r>
      <w:r w:rsidR="00055114" w:rsidRPr="009F5272">
        <w:rPr>
          <w:sz w:val="28"/>
          <w:szCs w:val="28"/>
        </w:rPr>
        <w:t>eight</w:t>
      </w:r>
      <w:r w:rsidR="00236583" w:rsidRPr="009F5272">
        <w:rPr>
          <w:sz w:val="28"/>
          <w:szCs w:val="28"/>
        </w:rPr>
        <w:t xml:space="preserve"> areas reviewed</w:t>
      </w:r>
      <w:r w:rsidR="005E2DBB" w:rsidRPr="009F5272">
        <w:rPr>
          <w:sz w:val="28"/>
          <w:szCs w:val="28"/>
        </w:rPr>
        <w:t xml:space="preserve">.  </w:t>
      </w:r>
      <w:r w:rsidR="008E06FC" w:rsidRPr="009F5272">
        <w:rPr>
          <w:sz w:val="28"/>
          <w:szCs w:val="28"/>
        </w:rPr>
        <w:t>D</w:t>
      </w:r>
      <w:r w:rsidRPr="009F5272">
        <w:rPr>
          <w:sz w:val="28"/>
          <w:szCs w:val="28"/>
        </w:rPr>
        <w:t xml:space="preserve">eficiencies were identified in </w:t>
      </w:r>
      <w:r w:rsidR="008E06FC" w:rsidRPr="009F5272">
        <w:rPr>
          <w:sz w:val="28"/>
          <w:szCs w:val="28"/>
        </w:rPr>
        <w:t xml:space="preserve">the </w:t>
      </w:r>
      <w:r w:rsidR="009F5272" w:rsidRPr="009F5272">
        <w:rPr>
          <w:sz w:val="28"/>
          <w:szCs w:val="28"/>
        </w:rPr>
        <w:t xml:space="preserve">area of </w:t>
      </w:r>
      <w:r w:rsidR="00FE655D" w:rsidRPr="009F5272">
        <w:rPr>
          <w:i/>
          <w:sz w:val="28"/>
          <w:szCs w:val="28"/>
        </w:rPr>
        <w:t>Language Access to LEP Persons</w:t>
      </w:r>
      <w:r w:rsidR="004F0DEB" w:rsidRPr="009F5272">
        <w:rPr>
          <w:sz w:val="28"/>
          <w:szCs w:val="28"/>
        </w:rPr>
        <w:t>.</w:t>
      </w:r>
      <w:r w:rsidR="009F5272">
        <w:rPr>
          <w:sz w:val="28"/>
          <w:szCs w:val="28"/>
        </w:rPr>
        <w:t xml:space="preserve">  Advisory comments were issued in the areas of </w:t>
      </w:r>
      <w:r w:rsidR="009F5272" w:rsidRPr="009F5272">
        <w:rPr>
          <w:i/>
          <w:sz w:val="28"/>
          <w:szCs w:val="28"/>
        </w:rPr>
        <w:t>Environmental Justice Analysis of Construction Projects</w:t>
      </w:r>
      <w:r w:rsidR="009F5272">
        <w:rPr>
          <w:sz w:val="28"/>
          <w:szCs w:val="28"/>
        </w:rPr>
        <w:t xml:space="preserve"> and </w:t>
      </w:r>
      <w:r w:rsidR="009F5272" w:rsidRPr="009F5272">
        <w:rPr>
          <w:i/>
          <w:sz w:val="28"/>
          <w:szCs w:val="28"/>
        </w:rPr>
        <w:t>Submit Title VI Program</w:t>
      </w:r>
      <w:r w:rsidR="009F5272">
        <w:rPr>
          <w:sz w:val="28"/>
          <w:szCs w:val="28"/>
        </w:rPr>
        <w:t>.</w:t>
      </w:r>
    </w:p>
    <w:p w:rsidR="00791EB5" w:rsidRDefault="00791EB5" w:rsidP="004F0DEB">
      <w:pPr>
        <w:spacing w:line="360" w:lineRule="auto"/>
        <w:rPr>
          <w:sz w:val="28"/>
          <w:szCs w:val="28"/>
        </w:rPr>
      </w:pPr>
    </w:p>
    <w:p w:rsidR="00791EB5" w:rsidRPr="004F0DEB" w:rsidRDefault="00791EB5" w:rsidP="004F0DEB">
      <w:pPr>
        <w:spacing w:line="360" w:lineRule="auto"/>
        <w:rPr>
          <w:sz w:val="28"/>
          <w:szCs w:val="28"/>
        </w:rPr>
      </w:pPr>
      <w:r>
        <w:rPr>
          <w:sz w:val="28"/>
          <w:szCs w:val="28"/>
        </w:rPr>
        <w:t>Following the issuance of the Draft report, METRO submitted documentation that it has initiated efforts to prepare its Language Access Plan.  It expects to complete the Plan by February 24, 2011.</w:t>
      </w:r>
      <w:r w:rsidR="00E955A1">
        <w:rPr>
          <w:sz w:val="28"/>
          <w:szCs w:val="28"/>
        </w:rPr>
        <w:t xml:space="preserve">  METRO also described its plan to address the advisory comment related to the Title VI Program.</w:t>
      </w:r>
    </w:p>
    <w:p w:rsidR="006071F2" w:rsidRDefault="006071F2" w:rsidP="006071F2">
      <w:pPr>
        <w:ind w:left="720"/>
        <w:rPr>
          <w:sz w:val="28"/>
          <w:szCs w:val="28"/>
        </w:rPr>
      </w:pPr>
    </w:p>
    <w:p w:rsidR="00F13B22" w:rsidRDefault="00F13B22">
      <w:pPr>
        <w:rPr>
          <w:b/>
          <w:sz w:val="28"/>
          <w:szCs w:val="28"/>
        </w:rPr>
      </w:pPr>
    </w:p>
    <w:p w:rsidR="00F80A8D" w:rsidRDefault="00F80A8D">
      <w:pPr>
        <w:pStyle w:val="Heading4"/>
        <w:rPr>
          <w:sz w:val="28"/>
          <w:szCs w:val="28"/>
        </w:rPr>
      </w:pPr>
      <w:bookmarkStart w:id="12" w:name="OLE_LINK1"/>
      <w:bookmarkStart w:id="13" w:name="OLE_LINK2"/>
      <w:r>
        <w:rPr>
          <w:sz w:val="28"/>
          <w:szCs w:val="28"/>
        </w:rPr>
        <w:t>FINDINGS OF THE GENERAL REPORTING REQUIREMENTS</w:t>
      </w:r>
      <w:r w:rsidR="003C68B7">
        <w:rPr>
          <w:sz w:val="28"/>
          <w:szCs w:val="28"/>
        </w:rPr>
        <w:t xml:space="preserve"> AND GUIDELINES</w:t>
      </w:r>
    </w:p>
    <w:p w:rsidR="00F80A8D" w:rsidRPr="000065FB" w:rsidRDefault="00F80A8D">
      <w:pPr>
        <w:rPr>
          <w:sz w:val="28"/>
          <w:szCs w:val="28"/>
        </w:rPr>
      </w:pPr>
    </w:p>
    <w:p w:rsidR="00F80A8D" w:rsidRDefault="00F80A8D">
      <w:pPr>
        <w:pStyle w:val="BHLevel2"/>
        <w:rPr>
          <w:sz w:val="28"/>
          <w:szCs w:val="28"/>
        </w:rPr>
      </w:pPr>
      <w:bookmarkStart w:id="14" w:name="_Toc312841758"/>
      <w:r>
        <w:rPr>
          <w:sz w:val="28"/>
          <w:szCs w:val="28"/>
        </w:rPr>
        <w:t>Inclusive Public Participation</w:t>
      </w:r>
      <w:bookmarkEnd w:id="14"/>
    </w:p>
    <w:p w:rsidR="00F80A8D" w:rsidRDefault="00F80A8D" w:rsidP="00E41845">
      <w:pPr>
        <w:pStyle w:val="Outlinea"/>
        <w:tabs>
          <w:tab w:val="clear" w:pos="720"/>
        </w:tabs>
        <w:spacing w:after="0"/>
        <w:ind w:left="0" w:firstLine="0"/>
        <w:rPr>
          <w:i/>
          <w:iCs/>
          <w:sz w:val="28"/>
        </w:rPr>
      </w:pPr>
      <w:r w:rsidRPr="003C6118">
        <w:rPr>
          <w:b/>
          <w:sz w:val="28"/>
          <w:szCs w:val="28"/>
        </w:rPr>
        <w:t>Guidance:</w:t>
      </w:r>
      <w:r w:rsidR="00AF2DAB">
        <w:rPr>
          <w:b/>
          <w:sz w:val="28"/>
          <w:szCs w:val="28"/>
        </w:rPr>
        <w:t xml:space="preserve"> </w:t>
      </w:r>
      <w:r w:rsidR="00E41845">
        <w:rPr>
          <w:b/>
          <w:sz w:val="28"/>
          <w:szCs w:val="28"/>
        </w:rPr>
        <w:t xml:space="preserve"> </w:t>
      </w:r>
      <w:r>
        <w:rPr>
          <w:i/>
          <w:iCs/>
          <w:sz w:val="28"/>
        </w:rPr>
        <w:t>FTA recipients should seek out and consider the viewpoints of minority, low-income, and LEP populations in the course of conducting public outreach and involvement activities</w:t>
      </w:r>
      <w:r w:rsidR="00530051">
        <w:rPr>
          <w:i/>
          <w:iCs/>
          <w:sz w:val="28"/>
        </w:rPr>
        <w:t>.</w:t>
      </w:r>
      <w:r>
        <w:rPr>
          <w:i/>
          <w:iCs/>
          <w:sz w:val="28"/>
        </w:rPr>
        <w:t xml:space="preserve">  An agency’s public participation strategy shall offer early and continuous opportunities for the public to be involved in the identification of social, economic, and environmental impacts of proposed transportation decisions.</w:t>
      </w:r>
    </w:p>
    <w:p w:rsidR="00F80A8D" w:rsidRDefault="00F80A8D" w:rsidP="00E41845">
      <w:pPr>
        <w:spacing w:line="360" w:lineRule="auto"/>
        <w:rPr>
          <w:sz w:val="28"/>
          <w:szCs w:val="28"/>
        </w:rPr>
      </w:pPr>
    </w:p>
    <w:p w:rsidR="006C4CAF" w:rsidRPr="006C4CAF" w:rsidRDefault="001219DB" w:rsidP="006C4CAF">
      <w:pPr>
        <w:spacing w:line="360" w:lineRule="auto"/>
        <w:rPr>
          <w:sz w:val="28"/>
          <w:szCs w:val="28"/>
        </w:rPr>
      </w:pPr>
      <w:r w:rsidRPr="0056439B">
        <w:rPr>
          <w:b/>
          <w:sz w:val="28"/>
          <w:szCs w:val="28"/>
        </w:rPr>
        <w:t>Findings:</w:t>
      </w:r>
      <w:r w:rsidRPr="0056439B">
        <w:rPr>
          <w:sz w:val="28"/>
          <w:szCs w:val="28"/>
        </w:rPr>
        <w:t xml:space="preserve"> </w:t>
      </w:r>
      <w:r w:rsidR="00E41845">
        <w:rPr>
          <w:sz w:val="28"/>
          <w:szCs w:val="28"/>
        </w:rPr>
        <w:t xml:space="preserve"> </w:t>
      </w:r>
      <w:r w:rsidR="006C4CAF" w:rsidRPr="006C4CAF">
        <w:rPr>
          <w:sz w:val="28"/>
          <w:szCs w:val="28"/>
        </w:rPr>
        <w:t xml:space="preserve">During this Title VI Compliance Review of METRO, no deficiencies were found regarding METRO’s compliance with FTA guidance for Inclusive </w:t>
      </w:r>
      <w:r w:rsidR="006C4CAF" w:rsidRPr="006C4CAF">
        <w:rPr>
          <w:sz w:val="28"/>
          <w:szCs w:val="28"/>
        </w:rPr>
        <w:lastRenderedPageBreak/>
        <w:t>Public Participation.  METRO provided documentation confirming early and continuous outreach to minority and low-income communities throughout its service area.  Examples include</w:t>
      </w:r>
      <w:r w:rsidR="00D37B8C">
        <w:rPr>
          <w:sz w:val="28"/>
          <w:szCs w:val="28"/>
        </w:rPr>
        <w:t>d</w:t>
      </w:r>
      <w:r w:rsidR="006C4CAF" w:rsidRPr="006C4CAF">
        <w:rPr>
          <w:sz w:val="28"/>
          <w:szCs w:val="28"/>
        </w:rPr>
        <w:t>:</w:t>
      </w:r>
    </w:p>
    <w:p w:rsidR="006C4CAF" w:rsidRPr="006C4CAF" w:rsidRDefault="006C4CAF" w:rsidP="00150F0E">
      <w:pPr>
        <w:numPr>
          <w:ilvl w:val="0"/>
          <w:numId w:val="17"/>
        </w:numPr>
        <w:spacing w:after="200"/>
        <w:contextualSpacing/>
        <w:rPr>
          <w:rFonts w:ascii="Calibri" w:hAnsi="Calibri"/>
          <w:sz w:val="28"/>
          <w:szCs w:val="28"/>
        </w:rPr>
      </w:pPr>
      <w:r w:rsidRPr="006C4CAF">
        <w:rPr>
          <w:sz w:val="28"/>
          <w:szCs w:val="28"/>
        </w:rPr>
        <w:t>Holding monthly Board meetings open to the public in different locations throughout Santa Cruz County, including minority and low-income areas.</w:t>
      </w:r>
    </w:p>
    <w:p w:rsidR="006C4CAF" w:rsidRPr="006C4CAF" w:rsidRDefault="006C4CAF" w:rsidP="00150F0E">
      <w:pPr>
        <w:numPr>
          <w:ilvl w:val="0"/>
          <w:numId w:val="17"/>
        </w:numPr>
        <w:spacing w:after="200"/>
        <w:contextualSpacing/>
        <w:rPr>
          <w:rFonts w:ascii="Calibri" w:hAnsi="Calibri"/>
          <w:sz w:val="28"/>
          <w:szCs w:val="28"/>
        </w:rPr>
      </w:pPr>
      <w:r w:rsidRPr="006C4CAF">
        <w:rPr>
          <w:sz w:val="28"/>
          <w:szCs w:val="28"/>
        </w:rPr>
        <w:t>Placing bilingual (English/Spanish) meeting announcements in the majority newspaper, Santa Cruz Sentinel.</w:t>
      </w:r>
    </w:p>
    <w:p w:rsidR="00401342" w:rsidRPr="00A303A0" w:rsidRDefault="00401342" w:rsidP="00A303A0">
      <w:pPr>
        <w:spacing w:after="200"/>
        <w:ind w:left="720"/>
        <w:contextualSpacing/>
        <w:rPr>
          <w:sz w:val="28"/>
          <w:szCs w:val="28"/>
        </w:rPr>
      </w:pPr>
    </w:p>
    <w:p w:rsidR="006C4CAF" w:rsidRPr="006C4CAF" w:rsidRDefault="006C4CAF" w:rsidP="00150F0E">
      <w:pPr>
        <w:numPr>
          <w:ilvl w:val="0"/>
          <w:numId w:val="17"/>
        </w:numPr>
        <w:spacing w:after="200"/>
        <w:contextualSpacing/>
        <w:rPr>
          <w:rFonts w:ascii="Calibri" w:hAnsi="Calibri"/>
          <w:sz w:val="28"/>
          <w:szCs w:val="28"/>
        </w:rPr>
      </w:pPr>
      <w:r w:rsidRPr="006C4CAF">
        <w:rPr>
          <w:sz w:val="28"/>
          <w:szCs w:val="28"/>
        </w:rPr>
        <w:t>Placing translated meeting announcements in the minority newspaper, La Ganga.</w:t>
      </w:r>
    </w:p>
    <w:p w:rsidR="00401342" w:rsidRPr="00A303A0" w:rsidRDefault="00401342" w:rsidP="00A303A0">
      <w:pPr>
        <w:spacing w:after="200"/>
        <w:ind w:left="720"/>
        <w:contextualSpacing/>
        <w:rPr>
          <w:sz w:val="28"/>
          <w:szCs w:val="28"/>
        </w:rPr>
      </w:pPr>
    </w:p>
    <w:p w:rsidR="006C4CAF" w:rsidRPr="006C4CAF" w:rsidRDefault="006C4CAF" w:rsidP="00150F0E">
      <w:pPr>
        <w:numPr>
          <w:ilvl w:val="0"/>
          <w:numId w:val="17"/>
        </w:numPr>
        <w:spacing w:after="200"/>
        <w:contextualSpacing/>
        <w:rPr>
          <w:rFonts w:ascii="Calibri" w:hAnsi="Calibri"/>
          <w:sz w:val="28"/>
          <w:szCs w:val="28"/>
        </w:rPr>
      </w:pPr>
      <w:r w:rsidRPr="006C4CAF">
        <w:rPr>
          <w:sz w:val="28"/>
          <w:szCs w:val="28"/>
        </w:rPr>
        <w:t>Engagement of the METRO Advisory Committee (MAC) which include</w:t>
      </w:r>
      <w:r w:rsidR="00D37B8C">
        <w:rPr>
          <w:sz w:val="28"/>
          <w:szCs w:val="28"/>
        </w:rPr>
        <w:t>d</w:t>
      </w:r>
      <w:r w:rsidRPr="006C4CAF">
        <w:rPr>
          <w:sz w:val="28"/>
          <w:szCs w:val="28"/>
        </w:rPr>
        <w:t xml:space="preserve"> bus riders who are members of the minority and low-income communities.  MAC meeting minutes are reviewed by the METRO Board prior to every monthly Board meeting.  There are three minorities on the MAC and two other individuals who reside in and represent Watsonville, METRO’s largest minority community.</w:t>
      </w:r>
    </w:p>
    <w:p w:rsidR="00401342" w:rsidRPr="00A303A0" w:rsidRDefault="00401342" w:rsidP="00A303A0">
      <w:pPr>
        <w:spacing w:after="200"/>
        <w:ind w:left="720"/>
        <w:contextualSpacing/>
        <w:rPr>
          <w:sz w:val="28"/>
          <w:szCs w:val="28"/>
        </w:rPr>
      </w:pPr>
    </w:p>
    <w:p w:rsidR="006C4CAF" w:rsidRPr="006C4CAF" w:rsidRDefault="006C4CAF" w:rsidP="00150F0E">
      <w:pPr>
        <w:numPr>
          <w:ilvl w:val="0"/>
          <w:numId w:val="17"/>
        </w:numPr>
        <w:spacing w:after="200"/>
        <w:contextualSpacing/>
        <w:rPr>
          <w:rFonts w:ascii="Calibri" w:hAnsi="Calibri"/>
          <w:sz w:val="28"/>
          <w:szCs w:val="28"/>
        </w:rPr>
      </w:pPr>
      <w:r w:rsidRPr="006C4CAF">
        <w:rPr>
          <w:sz w:val="28"/>
          <w:szCs w:val="28"/>
        </w:rPr>
        <w:t>Running public information programming on local television stations and on the Internet.</w:t>
      </w:r>
    </w:p>
    <w:p w:rsidR="006C4CAF" w:rsidRPr="006C4CAF" w:rsidRDefault="006C4CAF" w:rsidP="006C4CAF">
      <w:pPr>
        <w:spacing w:after="200" w:line="360" w:lineRule="auto"/>
        <w:contextualSpacing/>
        <w:rPr>
          <w:rFonts w:ascii="Calibri" w:hAnsi="Calibri"/>
          <w:sz w:val="28"/>
          <w:szCs w:val="28"/>
        </w:rPr>
      </w:pPr>
    </w:p>
    <w:p w:rsidR="006C4CAF" w:rsidRPr="006C4CAF" w:rsidRDefault="00BB0BC6" w:rsidP="006C4CAF">
      <w:pPr>
        <w:spacing w:line="360" w:lineRule="auto"/>
        <w:rPr>
          <w:sz w:val="28"/>
          <w:szCs w:val="28"/>
        </w:rPr>
      </w:pPr>
      <w:r>
        <w:rPr>
          <w:sz w:val="28"/>
          <w:szCs w:val="28"/>
        </w:rPr>
        <w:t>At the time of the site visit, t</w:t>
      </w:r>
      <w:r w:rsidR="006C4CAF" w:rsidRPr="006C4CAF">
        <w:rPr>
          <w:sz w:val="28"/>
          <w:szCs w:val="28"/>
        </w:rPr>
        <w:t>he METRO Board include</w:t>
      </w:r>
      <w:r w:rsidR="00D37B8C">
        <w:rPr>
          <w:sz w:val="28"/>
          <w:szCs w:val="28"/>
        </w:rPr>
        <w:t>d</w:t>
      </w:r>
      <w:r w:rsidR="006C4CAF" w:rsidRPr="006C4CAF">
        <w:rPr>
          <w:sz w:val="28"/>
          <w:szCs w:val="28"/>
        </w:rPr>
        <w:t xml:space="preserve"> one minority and four residents of METRO’s largest minority area.  METRO indicate</w:t>
      </w:r>
      <w:r>
        <w:rPr>
          <w:sz w:val="28"/>
          <w:szCs w:val="28"/>
        </w:rPr>
        <w:t>d how rider-focused its Board was and how committed its Board was</w:t>
      </w:r>
      <w:r w:rsidR="006C4CAF" w:rsidRPr="006C4CAF">
        <w:rPr>
          <w:sz w:val="28"/>
          <w:szCs w:val="28"/>
        </w:rPr>
        <w:t xml:space="preserve"> to including the riding public in its decision-making process.  Meeting minutes from several METRO Board meetings confirmed participation and input from the minority and low-income communities. </w:t>
      </w:r>
    </w:p>
    <w:p w:rsidR="006C4CAF" w:rsidRPr="006C4CAF" w:rsidRDefault="006C4CAF" w:rsidP="006C4CAF">
      <w:pPr>
        <w:spacing w:line="360" w:lineRule="auto"/>
        <w:rPr>
          <w:sz w:val="28"/>
          <w:szCs w:val="28"/>
        </w:rPr>
      </w:pPr>
    </w:p>
    <w:p w:rsidR="006C4CAF" w:rsidRPr="006C4CAF" w:rsidRDefault="009F5272" w:rsidP="006C4CAF">
      <w:pPr>
        <w:spacing w:line="360" w:lineRule="auto"/>
        <w:rPr>
          <w:sz w:val="28"/>
          <w:szCs w:val="28"/>
        </w:rPr>
      </w:pPr>
      <w:r w:rsidRPr="009F5272">
        <w:rPr>
          <w:sz w:val="28"/>
          <w:szCs w:val="28"/>
        </w:rPr>
        <w:t xml:space="preserve">Per </w:t>
      </w:r>
      <w:r w:rsidR="00BB0BC6">
        <w:rPr>
          <w:sz w:val="28"/>
          <w:szCs w:val="28"/>
        </w:rPr>
        <w:t xml:space="preserve">a </w:t>
      </w:r>
      <w:r w:rsidRPr="009F5272">
        <w:rPr>
          <w:sz w:val="28"/>
          <w:szCs w:val="28"/>
        </w:rPr>
        <w:t>METRO memorandum dated September 7, 2010 regarding “</w:t>
      </w:r>
      <w:r w:rsidRPr="00BB0694">
        <w:rPr>
          <w:i/>
          <w:sz w:val="28"/>
          <w:szCs w:val="28"/>
        </w:rPr>
        <w:t>The Title VI Evaluation on Impacts and Mitigations Related to Fall 2010 Service Reductions</w:t>
      </w:r>
      <w:r w:rsidRPr="009F5272">
        <w:rPr>
          <w:sz w:val="28"/>
          <w:szCs w:val="28"/>
        </w:rPr>
        <w:t>,”</w:t>
      </w:r>
      <w:r w:rsidR="006C4CAF" w:rsidRPr="006C4CAF">
        <w:rPr>
          <w:sz w:val="28"/>
          <w:szCs w:val="28"/>
        </w:rPr>
        <w:t xml:space="preserve"> METRO conducted the following outreach efforts:</w:t>
      </w:r>
    </w:p>
    <w:p w:rsidR="006C4CAF" w:rsidRPr="00A06C8F" w:rsidRDefault="006C4CAF" w:rsidP="00150F0E">
      <w:pPr>
        <w:numPr>
          <w:ilvl w:val="0"/>
          <w:numId w:val="18"/>
        </w:numPr>
        <w:spacing w:after="200"/>
        <w:ind w:left="720"/>
        <w:contextualSpacing/>
        <w:rPr>
          <w:rFonts w:ascii="Calibri" w:hAnsi="Calibri"/>
          <w:i/>
          <w:sz w:val="28"/>
          <w:szCs w:val="28"/>
        </w:rPr>
      </w:pPr>
      <w:r w:rsidRPr="00A06C8F">
        <w:rPr>
          <w:i/>
          <w:sz w:val="28"/>
          <w:szCs w:val="28"/>
        </w:rPr>
        <w:lastRenderedPageBreak/>
        <w:t>Hosted sixteen (16) public hearings in various locations throughout the County, including low-income and minority neighborhoods.  Also made presentations to the Santa Cruz and Watsonville City Councils.</w:t>
      </w:r>
    </w:p>
    <w:p w:rsidR="00792F89" w:rsidRPr="00A303A0" w:rsidRDefault="00792F89" w:rsidP="00A303A0">
      <w:pPr>
        <w:spacing w:after="200"/>
        <w:ind w:left="720"/>
        <w:contextualSpacing/>
        <w:rPr>
          <w:i/>
          <w:sz w:val="28"/>
          <w:szCs w:val="28"/>
        </w:rPr>
      </w:pPr>
    </w:p>
    <w:p w:rsidR="006C4CAF" w:rsidRPr="00A06C8F" w:rsidRDefault="006C4CAF" w:rsidP="00150F0E">
      <w:pPr>
        <w:numPr>
          <w:ilvl w:val="0"/>
          <w:numId w:val="18"/>
        </w:numPr>
        <w:spacing w:after="200"/>
        <w:ind w:left="720"/>
        <w:contextualSpacing/>
        <w:rPr>
          <w:rFonts w:ascii="Calibri" w:hAnsi="Calibri"/>
          <w:i/>
          <w:sz w:val="28"/>
          <w:szCs w:val="28"/>
        </w:rPr>
      </w:pPr>
      <w:r w:rsidRPr="00A06C8F">
        <w:rPr>
          <w:i/>
          <w:sz w:val="28"/>
          <w:szCs w:val="28"/>
        </w:rPr>
        <w:t>Notices were published in multiple languages in three (3) local newspapers and onboard every fixed route bus.  These notices included contact information so that members of the community could voice their concerns.</w:t>
      </w:r>
    </w:p>
    <w:p w:rsidR="006C4CAF" w:rsidRPr="00A06C8F" w:rsidRDefault="006C4CAF" w:rsidP="00150F0E">
      <w:pPr>
        <w:numPr>
          <w:ilvl w:val="0"/>
          <w:numId w:val="18"/>
        </w:numPr>
        <w:spacing w:after="200"/>
        <w:ind w:left="720"/>
        <w:contextualSpacing/>
        <w:rPr>
          <w:rFonts w:ascii="Calibri" w:hAnsi="Calibri"/>
          <w:i/>
          <w:sz w:val="28"/>
          <w:szCs w:val="28"/>
        </w:rPr>
      </w:pPr>
      <w:r w:rsidRPr="00A06C8F">
        <w:rPr>
          <w:i/>
          <w:sz w:val="28"/>
          <w:szCs w:val="28"/>
        </w:rPr>
        <w:t>Poster displays of the proposed reductions and changes were displayed at the METRO Center Pacific Station in downtown Santa Cruz.</w:t>
      </w:r>
    </w:p>
    <w:p w:rsidR="00792F89" w:rsidRPr="00A303A0" w:rsidRDefault="00792F89" w:rsidP="00A303A0">
      <w:pPr>
        <w:spacing w:after="200"/>
        <w:ind w:left="720"/>
        <w:contextualSpacing/>
        <w:rPr>
          <w:i/>
          <w:sz w:val="28"/>
          <w:szCs w:val="28"/>
        </w:rPr>
      </w:pPr>
    </w:p>
    <w:p w:rsidR="006C4CAF" w:rsidRPr="00A06C8F" w:rsidRDefault="006C4CAF" w:rsidP="00150F0E">
      <w:pPr>
        <w:numPr>
          <w:ilvl w:val="0"/>
          <w:numId w:val="18"/>
        </w:numPr>
        <w:spacing w:after="200"/>
        <w:ind w:left="720"/>
        <w:contextualSpacing/>
        <w:rPr>
          <w:rFonts w:ascii="Calibri" w:hAnsi="Calibri"/>
          <w:i/>
          <w:sz w:val="28"/>
          <w:szCs w:val="28"/>
        </w:rPr>
      </w:pPr>
      <w:r w:rsidRPr="00A06C8F">
        <w:rPr>
          <w:i/>
          <w:sz w:val="28"/>
          <w:szCs w:val="28"/>
        </w:rPr>
        <w:t xml:space="preserve">Staff also recorded a 25 minute Community Television program in multiple languages explaining the proposed changes and reductions along with the times and locations of each public hearing.  This program was aired in cycles for over </w:t>
      </w:r>
      <w:r w:rsidR="00D37B8C" w:rsidRPr="00A06C8F">
        <w:rPr>
          <w:i/>
          <w:sz w:val="28"/>
          <w:szCs w:val="28"/>
        </w:rPr>
        <w:t>6</w:t>
      </w:r>
      <w:r w:rsidRPr="00A06C8F">
        <w:rPr>
          <w:i/>
          <w:sz w:val="28"/>
          <w:szCs w:val="28"/>
        </w:rPr>
        <w:t xml:space="preserve"> weeks on various Community Television channels.</w:t>
      </w:r>
    </w:p>
    <w:p w:rsidR="00792F89" w:rsidRPr="00A303A0" w:rsidRDefault="00792F89" w:rsidP="00A303A0">
      <w:pPr>
        <w:spacing w:after="200"/>
        <w:ind w:left="720"/>
        <w:contextualSpacing/>
        <w:rPr>
          <w:i/>
          <w:sz w:val="28"/>
          <w:szCs w:val="28"/>
        </w:rPr>
      </w:pPr>
    </w:p>
    <w:p w:rsidR="006C4CAF" w:rsidRPr="00A06C8F" w:rsidRDefault="006C4CAF" w:rsidP="00150F0E">
      <w:pPr>
        <w:numPr>
          <w:ilvl w:val="0"/>
          <w:numId w:val="18"/>
        </w:numPr>
        <w:spacing w:after="200"/>
        <w:ind w:left="720"/>
        <w:contextualSpacing/>
        <w:rPr>
          <w:rFonts w:ascii="Calibri" w:hAnsi="Calibri"/>
          <w:i/>
          <w:sz w:val="28"/>
          <w:szCs w:val="28"/>
        </w:rPr>
      </w:pPr>
      <w:r w:rsidRPr="00A06C8F">
        <w:rPr>
          <w:i/>
          <w:sz w:val="28"/>
          <w:szCs w:val="28"/>
        </w:rPr>
        <w:t>Santa Cruz METRO’s website also hosted information on the changes and reductions as well as contact information so that members of the community could voice their concerns.</w:t>
      </w:r>
    </w:p>
    <w:p w:rsidR="00792F89" w:rsidRPr="00A303A0" w:rsidRDefault="00792F89" w:rsidP="00A303A0">
      <w:pPr>
        <w:spacing w:after="200"/>
        <w:ind w:left="720"/>
        <w:contextualSpacing/>
        <w:rPr>
          <w:i/>
          <w:sz w:val="28"/>
          <w:szCs w:val="28"/>
        </w:rPr>
      </w:pPr>
    </w:p>
    <w:p w:rsidR="006C4CAF" w:rsidRPr="00A06C8F" w:rsidRDefault="006C4CAF" w:rsidP="00150F0E">
      <w:pPr>
        <w:numPr>
          <w:ilvl w:val="0"/>
          <w:numId w:val="18"/>
        </w:numPr>
        <w:spacing w:after="200"/>
        <w:ind w:left="720"/>
        <w:contextualSpacing/>
        <w:rPr>
          <w:rFonts w:ascii="Calibri" w:hAnsi="Calibri"/>
          <w:i/>
          <w:sz w:val="28"/>
          <w:szCs w:val="28"/>
        </w:rPr>
      </w:pPr>
      <w:r w:rsidRPr="00A06C8F">
        <w:rPr>
          <w:i/>
          <w:sz w:val="28"/>
          <w:szCs w:val="28"/>
        </w:rPr>
        <w:t xml:space="preserve">Customer Service staff and Bus Operators also distributed flyer handouts with information on the Fall 2010 service reductions as well as information on public hearings and contact information. </w:t>
      </w:r>
    </w:p>
    <w:p w:rsidR="00D37B8C" w:rsidRPr="00A06C8F" w:rsidRDefault="00D37B8C" w:rsidP="007612EC">
      <w:pPr>
        <w:spacing w:after="200"/>
        <w:ind w:left="720"/>
        <w:contextualSpacing/>
        <w:rPr>
          <w:rFonts w:ascii="Calibri" w:hAnsi="Calibri"/>
          <w:i/>
          <w:sz w:val="28"/>
          <w:szCs w:val="28"/>
        </w:rPr>
      </w:pPr>
    </w:p>
    <w:p w:rsidR="006C4CAF" w:rsidRPr="00E84E61" w:rsidRDefault="006C4CAF" w:rsidP="002458F6">
      <w:pPr>
        <w:ind w:left="360"/>
        <w:rPr>
          <w:i/>
          <w:sz w:val="28"/>
          <w:szCs w:val="28"/>
        </w:rPr>
      </w:pPr>
      <w:r w:rsidRPr="00E84E61">
        <w:rPr>
          <w:i/>
          <w:sz w:val="28"/>
          <w:szCs w:val="28"/>
        </w:rPr>
        <w:t xml:space="preserve">Based on public feedback, several modifications were considered for the </w:t>
      </w:r>
      <w:proofErr w:type="gramStart"/>
      <w:r w:rsidRPr="00E84E61">
        <w:rPr>
          <w:i/>
          <w:sz w:val="28"/>
          <w:szCs w:val="28"/>
        </w:rPr>
        <w:t>Fall</w:t>
      </w:r>
      <w:proofErr w:type="gramEnd"/>
      <w:r w:rsidRPr="00E84E61">
        <w:rPr>
          <w:i/>
          <w:sz w:val="28"/>
          <w:szCs w:val="28"/>
        </w:rPr>
        <w:t xml:space="preserve"> 2010 service reduction proposal.  Such feedback guided Santa Cruz METRO staff in anticipating the impacts to low-income and minority populations as consequence of the </w:t>
      </w:r>
      <w:proofErr w:type="gramStart"/>
      <w:r w:rsidRPr="00E84E61">
        <w:rPr>
          <w:i/>
          <w:sz w:val="28"/>
          <w:szCs w:val="28"/>
        </w:rPr>
        <w:t>Fall</w:t>
      </w:r>
      <w:proofErr w:type="gramEnd"/>
      <w:r w:rsidRPr="00E84E61">
        <w:rPr>
          <w:i/>
          <w:sz w:val="28"/>
          <w:szCs w:val="28"/>
        </w:rPr>
        <w:t xml:space="preserve"> 2010 service reduction.</w:t>
      </w:r>
    </w:p>
    <w:p w:rsidR="006C4CAF" w:rsidRPr="006C4CAF" w:rsidRDefault="006C4CAF" w:rsidP="006C4CAF">
      <w:pPr>
        <w:spacing w:line="360" w:lineRule="auto"/>
        <w:rPr>
          <w:sz w:val="28"/>
          <w:szCs w:val="28"/>
        </w:rPr>
      </w:pPr>
    </w:p>
    <w:p w:rsidR="006C4CAF" w:rsidRPr="006C4CAF" w:rsidRDefault="006C4CAF" w:rsidP="006C4CAF">
      <w:pPr>
        <w:spacing w:line="360" w:lineRule="auto"/>
        <w:rPr>
          <w:sz w:val="28"/>
          <w:szCs w:val="28"/>
        </w:rPr>
      </w:pPr>
      <w:r w:rsidRPr="006C4CAF">
        <w:rPr>
          <w:sz w:val="28"/>
          <w:szCs w:val="28"/>
        </w:rPr>
        <w:t>METRO was advised to record</w:t>
      </w:r>
      <w:r w:rsidR="00BB0BC6">
        <w:rPr>
          <w:sz w:val="28"/>
          <w:szCs w:val="28"/>
        </w:rPr>
        <w:t>,</w:t>
      </w:r>
      <w:r w:rsidRPr="006C4CAF">
        <w:rPr>
          <w:sz w:val="28"/>
          <w:szCs w:val="28"/>
        </w:rPr>
        <w:t xml:space="preserve"> in the form of a list or log, its inclusive public participation outreach efforts to minority and low-income communities for Title VI Program Submittal reporting purposes.</w:t>
      </w:r>
    </w:p>
    <w:p w:rsidR="00C24C82" w:rsidRDefault="00C24C82" w:rsidP="006C4CAF">
      <w:pPr>
        <w:spacing w:line="360" w:lineRule="auto"/>
        <w:rPr>
          <w:sz w:val="28"/>
          <w:szCs w:val="28"/>
        </w:rPr>
      </w:pPr>
    </w:p>
    <w:p w:rsidR="00F80A8D" w:rsidRDefault="00972C7C">
      <w:pPr>
        <w:pStyle w:val="BHLevel2"/>
        <w:spacing w:line="360" w:lineRule="auto"/>
        <w:rPr>
          <w:sz w:val="28"/>
          <w:szCs w:val="28"/>
        </w:rPr>
      </w:pPr>
      <w:bookmarkStart w:id="15" w:name="_Toc312841759"/>
      <w:r>
        <w:rPr>
          <w:sz w:val="28"/>
          <w:szCs w:val="28"/>
        </w:rPr>
        <w:lastRenderedPageBreak/>
        <w:t>Langu</w:t>
      </w:r>
      <w:r w:rsidR="00F80A8D">
        <w:rPr>
          <w:sz w:val="28"/>
          <w:szCs w:val="28"/>
        </w:rPr>
        <w:t>age Access to LEP Persons</w:t>
      </w:r>
      <w:bookmarkEnd w:id="15"/>
    </w:p>
    <w:p w:rsidR="00F80A8D" w:rsidRDefault="00F80A8D" w:rsidP="00E41845">
      <w:pPr>
        <w:pStyle w:val="Outline1"/>
        <w:tabs>
          <w:tab w:val="clear" w:pos="360"/>
          <w:tab w:val="num" w:pos="720"/>
        </w:tabs>
        <w:spacing w:after="0"/>
        <w:ind w:left="0" w:firstLine="0"/>
        <w:rPr>
          <w:i/>
          <w:iCs/>
          <w:sz w:val="28"/>
        </w:rPr>
      </w:pPr>
      <w:r>
        <w:rPr>
          <w:b/>
          <w:sz w:val="28"/>
          <w:szCs w:val="28"/>
        </w:rPr>
        <w:t xml:space="preserve">Requirement: </w:t>
      </w:r>
      <w:r w:rsidR="00E41845">
        <w:rPr>
          <w:b/>
          <w:sz w:val="28"/>
          <w:szCs w:val="28"/>
        </w:rPr>
        <w:t xml:space="preserve">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80A8D" w:rsidRPr="00E41845" w:rsidRDefault="00F80A8D" w:rsidP="00E41845">
      <w:pPr>
        <w:spacing w:line="360" w:lineRule="auto"/>
        <w:rPr>
          <w:sz w:val="28"/>
          <w:szCs w:val="28"/>
        </w:rPr>
      </w:pPr>
    </w:p>
    <w:p w:rsidR="002458F6" w:rsidRPr="002458F6" w:rsidRDefault="00F80A8D" w:rsidP="002458F6">
      <w:pPr>
        <w:tabs>
          <w:tab w:val="left" w:pos="360"/>
        </w:tabs>
        <w:spacing w:line="360" w:lineRule="auto"/>
        <w:rPr>
          <w:sz w:val="28"/>
          <w:szCs w:val="28"/>
        </w:rPr>
      </w:pPr>
      <w:r>
        <w:rPr>
          <w:b/>
          <w:sz w:val="28"/>
          <w:szCs w:val="28"/>
        </w:rPr>
        <w:t>Findings:</w:t>
      </w:r>
      <w:r w:rsidR="00AF2DAB">
        <w:rPr>
          <w:b/>
          <w:sz w:val="28"/>
          <w:szCs w:val="28"/>
        </w:rPr>
        <w:t xml:space="preserve"> </w:t>
      </w:r>
      <w:r w:rsidR="00E41845">
        <w:rPr>
          <w:b/>
          <w:sz w:val="28"/>
          <w:szCs w:val="28"/>
        </w:rPr>
        <w:t xml:space="preserve"> </w:t>
      </w:r>
      <w:bookmarkEnd w:id="12"/>
      <w:bookmarkEnd w:id="13"/>
      <w:r w:rsidR="002458F6" w:rsidRPr="002458F6">
        <w:rPr>
          <w:sz w:val="28"/>
          <w:szCs w:val="28"/>
        </w:rPr>
        <w:t xml:space="preserve">During this Title VI Compliance Review of METRO, deficiencies were found regarding METRO’s compliance with FTA requirements for Language Access to LEP persons.  METRO did not complete a four-factor analysis or develop a Language Assistance Plan (LAP), as required by FTA Circular 4702.1A and DOT LEP Guidance.  It was noted that, although METRO did not conduct a four-factor analysis, it had implemented measures to assist Spanish speaking LEP persons.  For example, the Review team confirmed the availability of translated information, including </w:t>
      </w:r>
      <w:r w:rsidR="00AC47AE">
        <w:rPr>
          <w:sz w:val="28"/>
          <w:szCs w:val="28"/>
        </w:rPr>
        <w:t>METRO’s</w:t>
      </w:r>
      <w:r w:rsidR="00AC47AE" w:rsidRPr="002458F6">
        <w:rPr>
          <w:sz w:val="28"/>
          <w:szCs w:val="28"/>
        </w:rPr>
        <w:t xml:space="preserve"> </w:t>
      </w:r>
      <w:r w:rsidR="002458F6" w:rsidRPr="002458F6">
        <w:rPr>
          <w:sz w:val="28"/>
          <w:szCs w:val="28"/>
        </w:rPr>
        <w:t xml:space="preserve">Title VI Notice, complaint procedures, complaint form, </w:t>
      </w:r>
      <w:r w:rsidR="002458F6" w:rsidRPr="002458F6">
        <w:rPr>
          <w:i/>
          <w:sz w:val="28"/>
          <w:szCs w:val="28"/>
        </w:rPr>
        <w:t>Bus Rider’s Guide</w:t>
      </w:r>
      <w:r w:rsidR="002458F6" w:rsidRPr="002458F6">
        <w:rPr>
          <w:sz w:val="28"/>
          <w:szCs w:val="28"/>
        </w:rPr>
        <w:t xml:space="preserve"> information, and some website information.  </w:t>
      </w:r>
    </w:p>
    <w:p w:rsidR="002458F6" w:rsidRPr="002458F6" w:rsidRDefault="002458F6" w:rsidP="002458F6">
      <w:pPr>
        <w:tabs>
          <w:tab w:val="left" w:pos="360"/>
        </w:tabs>
        <w:spacing w:line="360" w:lineRule="auto"/>
        <w:rPr>
          <w:sz w:val="28"/>
          <w:szCs w:val="28"/>
        </w:rPr>
      </w:pPr>
    </w:p>
    <w:p w:rsidR="002458F6" w:rsidRPr="002458F6" w:rsidRDefault="002458F6" w:rsidP="002458F6">
      <w:pPr>
        <w:spacing w:line="360" w:lineRule="auto"/>
        <w:rPr>
          <w:sz w:val="28"/>
          <w:szCs w:val="28"/>
        </w:rPr>
      </w:pPr>
      <w:r w:rsidRPr="002458F6">
        <w:rPr>
          <w:sz w:val="28"/>
          <w:szCs w:val="28"/>
        </w:rPr>
        <w:t>The Review team provided technical assistance to METRO on FTA LEP requirements, including recommendations on how to conduct a four-factor analysis and develop a LAP for its transit service.  Specifically, the Review team explained the four-factor analysis and Language Assistance Plan development requirements in the table below:</w:t>
      </w:r>
    </w:p>
    <w:p w:rsidR="000E748D" w:rsidRDefault="000E748D">
      <w:pPr>
        <w:rPr>
          <w:sz w:val="28"/>
          <w:szCs w:val="28"/>
        </w:rPr>
      </w:pPr>
      <w:r>
        <w:rPr>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78"/>
      </w:tblGrid>
      <w:tr w:rsidR="002458F6" w:rsidRPr="002458F6" w:rsidTr="003B2BD2">
        <w:trPr>
          <w:cantSplit/>
          <w:trHeight w:val="561"/>
          <w:tblHeader/>
        </w:trPr>
        <w:tc>
          <w:tcPr>
            <w:tcW w:w="9378" w:type="dxa"/>
            <w:tcBorders>
              <w:bottom w:val="single" w:sz="4" w:space="0" w:color="000000"/>
            </w:tcBorders>
          </w:tcPr>
          <w:p w:rsidR="002458F6" w:rsidRPr="002458F6" w:rsidRDefault="002458F6" w:rsidP="002458F6">
            <w:pPr>
              <w:jc w:val="center"/>
              <w:rPr>
                <w:b/>
                <w:bCs/>
                <w:sz w:val="24"/>
                <w:szCs w:val="28"/>
              </w:rPr>
            </w:pPr>
            <w:r w:rsidRPr="002458F6">
              <w:rPr>
                <w:b/>
                <w:bCs/>
                <w:sz w:val="24"/>
                <w:szCs w:val="28"/>
              </w:rPr>
              <w:lastRenderedPageBreak/>
              <w:t xml:space="preserve">Elements Required for LEP Analysis and Language Access Plan </w:t>
            </w:r>
          </w:p>
          <w:p w:rsidR="002458F6" w:rsidRPr="002458F6" w:rsidRDefault="002458F6" w:rsidP="002458F6">
            <w:pPr>
              <w:jc w:val="center"/>
              <w:rPr>
                <w:b/>
                <w:bCs/>
                <w:sz w:val="24"/>
                <w:szCs w:val="28"/>
              </w:rPr>
            </w:pPr>
            <w:r w:rsidRPr="002458F6">
              <w:rPr>
                <w:b/>
                <w:bCs/>
                <w:sz w:val="24"/>
                <w:szCs w:val="28"/>
              </w:rPr>
              <w:t>(Per FTA C. 4702.1A, IV, 4. a. and DOT Policy Guidance)</w:t>
            </w:r>
          </w:p>
        </w:tc>
      </w:tr>
      <w:tr w:rsidR="002458F6" w:rsidRPr="002458F6" w:rsidTr="003B2BD2">
        <w:trPr>
          <w:cantSplit/>
        </w:trPr>
        <w:tc>
          <w:tcPr>
            <w:tcW w:w="9378" w:type="dxa"/>
          </w:tcPr>
          <w:p w:rsidR="002458F6" w:rsidRPr="002458F6" w:rsidRDefault="002458F6" w:rsidP="002458F6">
            <w:pPr>
              <w:jc w:val="center"/>
              <w:rPr>
                <w:b/>
                <w:sz w:val="22"/>
                <w:szCs w:val="28"/>
              </w:rPr>
            </w:pPr>
            <w:r w:rsidRPr="002458F6">
              <w:rPr>
                <w:b/>
                <w:sz w:val="22"/>
                <w:szCs w:val="28"/>
              </w:rPr>
              <w:t>Part A – Four-Factor Assessment</w:t>
            </w:r>
          </w:p>
        </w:tc>
      </w:tr>
      <w:tr w:rsidR="002458F6" w:rsidRPr="002458F6" w:rsidTr="003B2BD2">
        <w:trPr>
          <w:cantSplit/>
        </w:trPr>
        <w:tc>
          <w:tcPr>
            <w:tcW w:w="9378" w:type="dxa"/>
          </w:tcPr>
          <w:p w:rsidR="002458F6" w:rsidRPr="002458F6" w:rsidRDefault="002458F6" w:rsidP="00150F0E">
            <w:pPr>
              <w:numPr>
                <w:ilvl w:val="0"/>
                <w:numId w:val="7"/>
              </w:numPr>
              <w:ind w:right="-108"/>
              <w:rPr>
                <w:sz w:val="22"/>
                <w:szCs w:val="28"/>
              </w:rPr>
            </w:pPr>
            <w:r w:rsidRPr="002458F6">
              <w:rPr>
                <w:sz w:val="22"/>
                <w:szCs w:val="28"/>
              </w:rPr>
              <w:t>Demography –The number or proportion of LEP persons eligible to be served or likely to be encountered</w:t>
            </w:r>
          </w:p>
        </w:tc>
      </w:tr>
      <w:tr w:rsidR="002458F6" w:rsidRPr="002458F6" w:rsidTr="003B2BD2">
        <w:trPr>
          <w:cantSplit/>
        </w:trPr>
        <w:tc>
          <w:tcPr>
            <w:tcW w:w="9378" w:type="dxa"/>
          </w:tcPr>
          <w:p w:rsidR="002458F6" w:rsidRPr="002458F6" w:rsidRDefault="002458F6" w:rsidP="00150F0E">
            <w:pPr>
              <w:numPr>
                <w:ilvl w:val="0"/>
                <w:numId w:val="7"/>
              </w:numPr>
              <w:rPr>
                <w:sz w:val="22"/>
                <w:szCs w:val="28"/>
              </w:rPr>
            </w:pPr>
            <w:r w:rsidRPr="002458F6">
              <w:rPr>
                <w:sz w:val="22"/>
                <w:szCs w:val="28"/>
              </w:rPr>
              <w:t xml:space="preserve">Frequency of Contact  - </w:t>
            </w:r>
            <w:r w:rsidRPr="002458F6">
              <w:rPr>
                <w:sz w:val="22"/>
              </w:rPr>
              <w:t>the frequency with which LEP individuals come in contact with the program and/or activities</w:t>
            </w:r>
          </w:p>
        </w:tc>
      </w:tr>
      <w:tr w:rsidR="002458F6" w:rsidRPr="002458F6" w:rsidTr="003B2BD2">
        <w:trPr>
          <w:cantSplit/>
        </w:trPr>
        <w:tc>
          <w:tcPr>
            <w:tcW w:w="9378" w:type="dxa"/>
          </w:tcPr>
          <w:p w:rsidR="002458F6" w:rsidRPr="002458F6" w:rsidRDefault="002458F6" w:rsidP="00150F0E">
            <w:pPr>
              <w:numPr>
                <w:ilvl w:val="0"/>
                <w:numId w:val="7"/>
              </w:numPr>
              <w:rPr>
                <w:sz w:val="22"/>
                <w:szCs w:val="28"/>
              </w:rPr>
            </w:pPr>
            <w:r w:rsidRPr="002458F6">
              <w:rPr>
                <w:sz w:val="22"/>
              </w:rPr>
              <w:t>Importance - the nature and importance of the program, activity, or service to people's lives;</w:t>
            </w:r>
          </w:p>
        </w:tc>
      </w:tr>
      <w:tr w:rsidR="002458F6" w:rsidRPr="002458F6" w:rsidTr="003B2BD2">
        <w:trPr>
          <w:cantSplit/>
        </w:trPr>
        <w:tc>
          <w:tcPr>
            <w:tcW w:w="9378" w:type="dxa"/>
          </w:tcPr>
          <w:p w:rsidR="002458F6" w:rsidRPr="002458F6" w:rsidRDefault="002458F6" w:rsidP="00150F0E">
            <w:pPr>
              <w:numPr>
                <w:ilvl w:val="0"/>
                <w:numId w:val="7"/>
              </w:numPr>
              <w:rPr>
                <w:sz w:val="22"/>
                <w:szCs w:val="28"/>
              </w:rPr>
            </w:pPr>
            <w:r w:rsidRPr="002458F6">
              <w:rPr>
                <w:sz w:val="22"/>
              </w:rPr>
              <w:t>Resources - the resources available and costs</w:t>
            </w:r>
          </w:p>
        </w:tc>
      </w:tr>
      <w:tr w:rsidR="002458F6" w:rsidRPr="002458F6" w:rsidTr="003B2BD2">
        <w:trPr>
          <w:cantSplit/>
        </w:trPr>
        <w:tc>
          <w:tcPr>
            <w:tcW w:w="9378" w:type="dxa"/>
          </w:tcPr>
          <w:p w:rsidR="002458F6" w:rsidRPr="002458F6" w:rsidRDefault="002458F6" w:rsidP="002458F6">
            <w:pPr>
              <w:jc w:val="center"/>
              <w:rPr>
                <w:b/>
                <w:sz w:val="22"/>
                <w:szCs w:val="28"/>
              </w:rPr>
            </w:pPr>
            <w:r w:rsidRPr="002458F6">
              <w:rPr>
                <w:b/>
                <w:sz w:val="22"/>
                <w:szCs w:val="28"/>
              </w:rPr>
              <w:t>Part B - Develop Language Assistance Plan</w:t>
            </w:r>
          </w:p>
        </w:tc>
      </w:tr>
      <w:tr w:rsidR="002458F6" w:rsidRPr="002458F6" w:rsidTr="003B2BD2">
        <w:trPr>
          <w:cantSplit/>
        </w:trPr>
        <w:tc>
          <w:tcPr>
            <w:tcW w:w="9378" w:type="dxa"/>
          </w:tcPr>
          <w:p w:rsidR="002458F6" w:rsidRPr="002458F6" w:rsidRDefault="002458F6" w:rsidP="00150F0E">
            <w:pPr>
              <w:numPr>
                <w:ilvl w:val="0"/>
                <w:numId w:val="8"/>
              </w:numPr>
              <w:rPr>
                <w:sz w:val="22"/>
                <w:szCs w:val="28"/>
              </w:rPr>
            </w:pPr>
            <w:r w:rsidRPr="002458F6">
              <w:rPr>
                <w:sz w:val="22"/>
                <w:szCs w:val="28"/>
              </w:rPr>
              <w:t>Identification of LEP Persons</w:t>
            </w:r>
          </w:p>
        </w:tc>
      </w:tr>
      <w:tr w:rsidR="002458F6" w:rsidRPr="002458F6" w:rsidTr="003B2BD2">
        <w:trPr>
          <w:cantSplit/>
        </w:trPr>
        <w:tc>
          <w:tcPr>
            <w:tcW w:w="9378" w:type="dxa"/>
          </w:tcPr>
          <w:p w:rsidR="002458F6" w:rsidRPr="002458F6" w:rsidRDefault="002458F6" w:rsidP="00150F0E">
            <w:pPr>
              <w:numPr>
                <w:ilvl w:val="0"/>
                <w:numId w:val="8"/>
              </w:numPr>
              <w:rPr>
                <w:sz w:val="22"/>
                <w:szCs w:val="28"/>
              </w:rPr>
            </w:pPr>
            <w:r w:rsidRPr="002458F6">
              <w:rPr>
                <w:sz w:val="22"/>
                <w:szCs w:val="28"/>
              </w:rPr>
              <w:t>Language Assistance Measures</w:t>
            </w:r>
          </w:p>
        </w:tc>
      </w:tr>
      <w:tr w:rsidR="002458F6" w:rsidRPr="002458F6" w:rsidTr="003B2BD2">
        <w:trPr>
          <w:cantSplit/>
        </w:trPr>
        <w:tc>
          <w:tcPr>
            <w:tcW w:w="9378" w:type="dxa"/>
          </w:tcPr>
          <w:p w:rsidR="002458F6" w:rsidRPr="002458F6" w:rsidRDefault="002458F6" w:rsidP="00150F0E">
            <w:pPr>
              <w:numPr>
                <w:ilvl w:val="0"/>
                <w:numId w:val="8"/>
              </w:numPr>
              <w:rPr>
                <w:sz w:val="22"/>
                <w:szCs w:val="28"/>
              </w:rPr>
            </w:pPr>
            <w:r w:rsidRPr="002458F6">
              <w:rPr>
                <w:sz w:val="22"/>
                <w:szCs w:val="28"/>
              </w:rPr>
              <w:t>Training of Staff</w:t>
            </w:r>
          </w:p>
        </w:tc>
      </w:tr>
      <w:tr w:rsidR="002458F6" w:rsidRPr="002458F6" w:rsidTr="003B2BD2">
        <w:trPr>
          <w:cantSplit/>
        </w:trPr>
        <w:tc>
          <w:tcPr>
            <w:tcW w:w="9378" w:type="dxa"/>
          </w:tcPr>
          <w:p w:rsidR="002458F6" w:rsidRPr="002458F6" w:rsidRDefault="002458F6" w:rsidP="00150F0E">
            <w:pPr>
              <w:numPr>
                <w:ilvl w:val="0"/>
                <w:numId w:val="8"/>
              </w:numPr>
              <w:rPr>
                <w:sz w:val="22"/>
                <w:szCs w:val="28"/>
              </w:rPr>
            </w:pPr>
            <w:r w:rsidRPr="002458F6">
              <w:rPr>
                <w:sz w:val="22"/>
                <w:szCs w:val="28"/>
              </w:rPr>
              <w:t>Provide Notice to LEP Persons</w:t>
            </w:r>
          </w:p>
        </w:tc>
      </w:tr>
      <w:tr w:rsidR="002458F6" w:rsidRPr="002458F6" w:rsidTr="003B2BD2">
        <w:trPr>
          <w:cantSplit/>
        </w:trPr>
        <w:tc>
          <w:tcPr>
            <w:tcW w:w="9378" w:type="dxa"/>
          </w:tcPr>
          <w:p w:rsidR="002458F6" w:rsidRPr="002458F6" w:rsidRDefault="002458F6" w:rsidP="00150F0E">
            <w:pPr>
              <w:numPr>
                <w:ilvl w:val="0"/>
                <w:numId w:val="8"/>
              </w:numPr>
              <w:rPr>
                <w:sz w:val="22"/>
                <w:szCs w:val="28"/>
              </w:rPr>
            </w:pPr>
            <w:r w:rsidRPr="002458F6">
              <w:rPr>
                <w:sz w:val="22"/>
                <w:szCs w:val="28"/>
              </w:rPr>
              <w:t>Monitor and Update the LAP</w:t>
            </w:r>
          </w:p>
        </w:tc>
      </w:tr>
    </w:tbl>
    <w:p w:rsidR="002458F6" w:rsidRDefault="002458F6" w:rsidP="002458F6">
      <w:pPr>
        <w:tabs>
          <w:tab w:val="left" w:pos="360"/>
        </w:tabs>
        <w:spacing w:line="360" w:lineRule="auto"/>
        <w:rPr>
          <w:sz w:val="28"/>
          <w:szCs w:val="28"/>
        </w:rPr>
      </w:pPr>
      <w:r w:rsidRPr="002458F6">
        <w:rPr>
          <w:sz w:val="28"/>
          <w:szCs w:val="28"/>
        </w:rPr>
        <w:t xml:space="preserve">  </w:t>
      </w:r>
    </w:p>
    <w:p w:rsidR="00636BE6" w:rsidRDefault="00636BE6" w:rsidP="00636BE6">
      <w:pPr>
        <w:tabs>
          <w:tab w:val="left" w:pos="360"/>
        </w:tabs>
        <w:spacing w:line="360" w:lineRule="auto"/>
        <w:rPr>
          <w:sz w:val="28"/>
          <w:szCs w:val="28"/>
        </w:rPr>
      </w:pPr>
      <w:r>
        <w:rPr>
          <w:sz w:val="28"/>
          <w:szCs w:val="28"/>
        </w:rPr>
        <w:t xml:space="preserve">After the issuance of the Draft Report on December 9, 2011, </w:t>
      </w:r>
      <w:r w:rsidR="00AE0D11">
        <w:rPr>
          <w:sz w:val="28"/>
          <w:szCs w:val="28"/>
        </w:rPr>
        <w:t>METRO</w:t>
      </w:r>
      <w:r>
        <w:rPr>
          <w:sz w:val="28"/>
          <w:szCs w:val="28"/>
        </w:rPr>
        <w:t xml:space="preserve"> submitted a draft of its completed LEP four-factor analysis.  </w:t>
      </w:r>
      <w:r w:rsidR="00AE0D11">
        <w:rPr>
          <w:sz w:val="28"/>
          <w:szCs w:val="28"/>
        </w:rPr>
        <w:t>METRO</w:t>
      </w:r>
      <w:r>
        <w:rPr>
          <w:sz w:val="28"/>
          <w:szCs w:val="28"/>
        </w:rPr>
        <w:t>’s LEP four-factor analysis was conducted in a manner consistent with FTA Circular 4702.1A and DOT LEP Guidance, as described in the following table:</w:t>
      </w:r>
    </w:p>
    <w:p w:rsidR="00636BE6" w:rsidRDefault="00636BE6" w:rsidP="00636BE6">
      <w:pPr>
        <w:tabs>
          <w:tab w:val="left" w:pos="360"/>
        </w:tabs>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38"/>
        <w:gridCol w:w="1530"/>
        <w:gridCol w:w="3438"/>
      </w:tblGrid>
      <w:tr w:rsidR="00636BE6" w:rsidRPr="00DD4E72" w:rsidTr="00AE0D11">
        <w:trPr>
          <w:cantSplit/>
          <w:trHeight w:val="561"/>
          <w:tblHeader/>
        </w:trPr>
        <w:tc>
          <w:tcPr>
            <w:tcW w:w="9306" w:type="dxa"/>
            <w:gridSpan w:val="3"/>
            <w:tcBorders>
              <w:bottom w:val="single" w:sz="4" w:space="0" w:color="000000"/>
            </w:tcBorders>
          </w:tcPr>
          <w:p w:rsidR="00636BE6" w:rsidRPr="00DD4E72" w:rsidRDefault="00636BE6" w:rsidP="00AE0D11">
            <w:pPr>
              <w:jc w:val="center"/>
              <w:rPr>
                <w:b/>
                <w:bCs/>
                <w:szCs w:val="28"/>
              </w:rPr>
            </w:pPr>
            <w:r w:rsidRPr="00DD4E72">
              <w:rPr>
                <w:b/>
                <w:bCs/>
                <w:szCs w:val="28"/>
              </w:rPr>
              <w:t xml:space="preserve">Elements Required for LEP </w:t>
            </w:r>
            <w:r>
              <w:rPr>
                <w:b/>
                <w:bCs/>
                <w:szCs w:val="28"/>
              </w:rPr>
              <w:t>Four-Factor Analysis</w:t>
            </w:r>
            <w:r w:rsidRPr="00DD4E72">
              <w:rPr>
                <w:b/>
                <w:bCs/>
                <w:szCs w:val="28"/>
              </w:rPr>
              <w:t xml:space="preserve"> </w:t>
            </w:r>
          </w:p>
          <w:p w:rsidR="00636BE6" w:rsidRPr="00DD4E72" w:rsidRDefault="00636BE6" w:rsidP="00AE0D11">
            <w:pPr>
              <w:jc w:val="center"/>
              <w:rPr>
                <w:b/>
                <w:bCs/>
                <w:szCs w:val="28"/>
              </w:rPr>
            </w:pPr>
            <w:r w:rsidRPr="00DD4E72">
              <w:rPr>
                <w:b/>
                <w:bCs/>
                <w:szCs w:val="28"/>
              </w:rPr>
              <w:t>(Per FTA C. 4702.1A, IV, 4. a. and DOT Policy Guidance)</w:t>
            </w:r>
          </w:p>
        </w:tc>
      </w:tr>
      <w:tr w:rsidR="00636BE6" w:rsidRPr="00DD4E72" w:rsidTr="00AE0D11">
        <w:trPr>
          <w:cantSplit/>
          <w:trHeight w:val="561"/>
        </w:trPr>
        <w:tc>
          <w:tcPr>
            <w:tcW w:w="4338" w:type="dxa"/>
            <w:tcBorders>
              <w:bottom w:val="single" w:sz="4" w:space="0" w:color="000000"/>
            </w:tcBorders>
          </w:tcPr>
          <w:p w:rsidR="00636BE6" w:rsidRPr="00DD4E72" w:rsidRDefault="00636BE6" w:rsidP="00AE0D11">
            <w:pPr>
              <w:rPr>
                <w:b/>
                <w:bCs/>
                <w:szCs w:val="28"/>
              </w:rPr>
            </w:pPr>
          </w:p>
        </w:tc>
        <w:tc>
          <w:tcPr>
            <w:tcW w:w="1530" w:type="dxa"/>
            <w:tcBorders>
              <w:bottom w:val="single" w:sz="4" w:space="0" w:color="000000"/>
            </w:tcBorders>
          </w:tcPr>
          <w:p w:rsidR="00636BE6" w:rsidRPr="00DD4E72" w:rsidRDefault="00636BE6" w:rsidP="00AE0D11">
            <w:pPr>
              <w:jc w:val="center"/>
              <w:rPr>
                <w:b/>
                <w:bCs/>
                <w:szCs w:val="28"/>
              </w:rPr>
            </w:pPr>
            <w:r>
              <w:rPr>
                <w:b/>
                <w:bCs/>
                <w:szCs w:val="28"/>
              </w:rPr>
              <w:t xml:space="preserve">Included in </w:t>
            </w:r>
            <w:r w:rsidR="00AE0D11">
              <w:rPr>
                <w:b/>
                <w:bCs/>
                <w:szCs w:val="28"/>
              </w:rPr>
              <w:t>METRO</w:t>
            </w:r>
            <w:r>
              <w:rPr>
                <w:b/>
                <w:bCs/>
                <w:szCs w:val="28"/>
              </w:rPr>
              <w:t>’s</w:t>
            </w:r>
          </w:p>
          <w:p w:rsidR="00636BE6" w:rsidRPr="00DD4E72" w:rsidRDefault="00636BE6" w:rsidP="00AE0D11">
            <w:pPr>
              <w:jc w:val="center"/>
              <w:rPr>
                <w:b/>
                <w:bCs/>
                <w:szCs w:val="28"/>
              </w:rPr>
            </w:pPr>
            <w:r w:rsidRPr="00DD4E72">
              <w:rPr>
                <w:b/>
                <w:bCs/>
                <w:szCs w:val="28"/>
              </w:rPr>
              <w:t xml:space="preserve">Plan </w:t>
            </w:r>
          </w:p>
        </w:tc>
        <w:tc>
          <w:tcPr>
            <w:tcW w:w="3438" w:type="dxa"/>
            <w:tcBorders>
              <w:bottom w:val="single" w:sz="4" w:space="0" w:color="000000"/>
            </w:tcBorders>
          </w:tcPr>
          <w:p w:rsidR="00636BE6" w:rsidRPr="00DD4E72" w:rsidRDefault="00636BE6" w:rsidP="00AE0D11">
            <w:pPr>
              <w:jc w:val="center"/>
              <w:rPr>
                <w:b/>
                <w:bCs/>
                <w:szCs w:val="28"/>
              </w:rPr>
            </w:pPr>
            <w:r w:rsidRPr="00DD4E72">
              <w:rPr>
                <w:b/>
                <w:bCs/>
                <w:szCs w:val="28"/>
              </w:rPr>
              <w:t>Notes/Comments</w:t>
            </w:r>
          </w:p>
        </w:tc>
      </w:tr>
      <w:tr w:rsidR="00636BE6" w:rsidRPr="00DD4E72" w:rsidTr="00AE0D11">
        <w:trPr>
          <w:cantSplit/>
        </w:trPr>
        <w:tc>
          <w:tcPr>
            <w:tcW w:w="9306" w:type="dxa"/>
            <w:gridSpan w:val="3"/>
          </w:tcPr>
          <w:p w:rsidR="00636BE6" w:rsidRPr="00DD4E72" w:rsidRDefault="00636BE6" w:rsidP="00AE0D11">
            <w:pPr>
              <w:jc w:val="center"/>
              <w:rPr>
                <w:b/>
                <w:sz w:val="22"/>
                <w:szCs w:val="28"/>
              </w:rPr>
            </w:pPr>
            <w:r w:rsidRPr="00DD4E72">
              <w:rPr>
                <w:b/>
                <w:sz w:val="22"/>
                <w:szCs w:val="28"/>
              </w:rPr>
              <w:t>Part A – Four-Factor Assessment</w:t>
            </w:r>
          </w:p>
        </w:tc>
      </w:tr>
      <w:tr w:rsidR="00636BE6" w:rsidRPr="00DD4E72" w:rsidTr="00AE0D11">
        <w:tc>
          <w:tcPr>
            <w:tcW w:w="4338" w:type="dxa"/>
          </w:tcPr>
          <w:p w:rsidR="00636BE6" w:rsidRPr="00DD4E72" w:rsidRDefault="00636BE6" w:rsidP="00150F0E">
            <w:pPr>
              <w:numPr>
                <w:ilvl w:val="0"/>
                <w:numId w:val="24"/>
              </w:numPr>
              <w:rPr>
                <w:sz w:val="22"/>
                <w:szCs w:val="28"/>
              </w:rPr>
            </w:pPr>
            <w:r w:rsidRPr="00DD4E72">
              <w:rPr>
                <w:sz w:val="22"/>
                <w:szCs w:val="28"/>
              </w:rPr>
              <w:t>Demography –The number or proportion of LEP persons eligible to be served or likely to be encountered</w:t>
            </w:r>
          </w:p>
        </w:tc>
        <w:tc>
          <w:tcPr>
            <w:tcW w:w="1530" w:type="dxa"/>
          </w:tcPr>
          <w:p w:rsidR="00636BE6" w:rsidRPr="00DD4E72" w:rsidRDefault="00636BE6" w:rsidP="00AE0D11">
            <w:pPr>
              <w:jc w:val="center"/>
              <w:rPr>
                <w:sz w:val="22"/>
                <w:szCs w:val="28"/>
              </w:rPr>
            </w:pPr>
            <w:r>
              <w:rPr>
                <w:sz w:val="22"/>
                <w:szCs w:val="28"/>
              </w:rPr>
              <w:t>Yes</w:t>
            </w:r>
          </w:p>
        </w:tc>
        <w:tc>
          <w:tcPr>
            <w:tcW w:w="3438" w:type="dxa"/>
          </w:tcPr>
          <w:p w:rsidR="00636BE6" w:rsidRPr="009D79F7" w:rsidRDefault="00AE0D11" w:rsidP="00AE0D11">
            <w:pPr>
              <w:rPr>
                <w:sz w:val="22"/>
                <w:szCs w:val="22"/>
              </w:rPr>
            </w:pPr>
            <w:r>
              <w:rPr>
                <w:sz w:val="22"/>
                <w:szCs w:val="22"/>
              </w:rPr>
              <w:t>METRO</w:t>
            </w:r>
            <w:r w:rsidR="00636BE6">
              <w:rPr>
                <w:sz w:val="22"/>
                <w:szCs w:val="22"/>
              </w:rPr>
              <w:t xml:space="preserve"> used 2000 and 2010 U.S. Census data, American Community Survey data, California Department of Education data, customer service and transit operator surveys, and surveys conducted in conjunction with community organizations serving LEP populations to determine the number and proportion of LEP persons it is likely to serve.  </w:t>
            </w:r>
            <w:r>
              <w:rPr>
                <w:sz w:val="22"/>
                <w:szCs w:val="22"/>
              </w:rPr>
              <w:t>METRO</w:t>
            </w:r>
            <w:r w:rsidR="00636BE6">
              <w:rPr>
                <w:sz w:val="22"/>
                <w:szCs w:val="22"/>
              </w:rPr>
              <w:t xml:space="preserve">’s largest LEP community is Spanish speaking, followed by Chinese speaking people.  Spanish and Chinese speaking LEP persons represent approximately 90 percent </w:t>
            </w:r>
            <w:r w:rsidR="00636BE6">
              <w:rPr>
                <w:sz w:val="22"/>
                <w:szCs w:val="22"/>
              </w:rPr>
              <w:lastRenderedPageBreak/>
              <w:t xml:space="preserve">and 2 percent of </w:t>
            </w:r>
            <w:r>
              <w:rPr>
                <w:sz w:val="22"/>
                <w:szCs w:val="22"/>
              </w:rPr>
              <w:t>METRO</w:t>
            </w:r>
            <w:r w:rsidR="00636BE6">
              <w:rPr>
                <w:sz w:val="22"/>
                <w:szCs w:val="22"/>
              </w:rPr>
              <w:t xml:space="preserve">’s LEP population, respectively.  </w:t>
            </w:r>
            <w:r>
              <w:rPr>
                <w:sz w:val="22"/>
                <w:szCs w:val="22"/>
              </w:rPr>
              <w:t>METRO</w:t>
            </w:r>
            <w:r w:rsidR="00636BE6">
              <w:rPr>
                <w:sz w:val="22"/>
                <w:szCs w:val="22"/>
              </w:rPr>
              <w:t xml:space="preserve">’s largest Spanish speaking LEP community is located in the City of Watsonville. </w:t>
            </w:r>
          </w:p>
        </w:tc>
      </w:tr>
      <w:tr w:rsidR="00636BE6" w:rsidRPr="00DD4E72" w:rsidTr="00AE0D11">
        <w:tc>
          <w:tcPr>
            <w:tcW w:w="4338" w:type="dxa"/>
          </w:tcPr>
          <w:p w:rsidR="00636BE6" w:rsidRPr="00DD4E72" w:rsidRDefault="00636BE6" w:rsidP="00150F0E">
            <w:pPr>
              <w:numPr>
                <w:ilvl w:val="0"/>
                <w:numId w:val="25"/>
              </w:numPr>
              <w:rPr>
                <w:sz w:val="22"/>
                <w:szCs w:val="28"/>
              </w:rPr>
            </w:pPr>
            <w:r w:rsidRPr="00DD4E72">
              <w:rPr>
                <w:sz w:val="22"/>
                <w:szCs w:val="28"/>
              </w:rPr>
              <w:lastRenderedPageBreak/>
              <w:t xml:space="preserve">Frequency of Contact  - </w:t>
            </w:r>
            <w:r w:rsidRPr="00DD4E72">
              <w:rPr>
                <w:sz w:val="22"/>
              </w:rPr>
              <w:t>the frequency with which LEP individuals come in contact with the program and/or activities</w:t>
            </w:r>
          </w:p>
        </w:tc>
        <w:tc>
          <w:tcPr>
            <w:tcW w:w="1530" w:type="dxa"/>
          </w:tcPr>
          <w:p w:rsidR="00636BE6" w:rsidRPr="00DD4E72" w:rsidRDefault="00636BE6" w:rsidP="00AE0D11">
            <w:pPr>
              <w:jc w:val="center"/>
              <w:rPr>
                <w:sz w:val="22"/>
                <w:szCs w:val="28"/>
              </w:rPr>
            </w:pPr>
            <w:r>
              <w:rPr>
                <w:sz w:val="22"/>
                <w:szCs w:val="28"/>
              </w:rPr>
              <w:t>Yes</w:t>
            </w:r>
          </w:p>
        </w:tc>
        <w:tc>
          <w:tcPr>
            <w:tcW w:w="3438" w:type="dxa"/>
          </w:tcPr>
          <w:p w:rsidR="00636BE6" w:rsidRPr="00DD4E72" w:rsidRDefault="00AE0D11" w:rsidP="00AE0D11">
            <w:pPr>
              <w:rPr>
                <w:sz w:val="22"/>
                <w:szCs w:val="28"/>
              </w:rPr>
            </w:pPr>
            <w:r>
              <w:rPr>
                <w:sz w:val="22"/>
                <w:szCs w:val="28"/>
              </w:rPr>
              <w:t>METRO</w:t>
            </w:r>
            <w:r w:rsidR="00636BE6">
              <w:rPr>
                <w:sz w:val="22"/>
                <w:szCs w:val="28"/>
              </w:rPr>
              <w:t xml:space="preserve"> used customer service data, transit operator surveys, outreach to community </w:t>
            </w:r>
            <w:proofErr w:type="gramStart"/>
            <w:r w:rsidR="00636BE6">
              <w:rPr>
                <w:sz w:val="22"/>
                <w:szCs w:val="28"/>
              </w:rPr>
              <w:t>organizations,</w:t>
            </w:r>
            <w:proofErr w:type="gramEnd"/>
            <w:r w:rsidR="00636BE6">
              <w:rPr>
                <w:sz w:val="22"/>
                <w:szCs w:val="28"/>
              </w:rPr>
              <w:t xml:space="preserve"> and focus groups with individuals from the LEP community to determine the frequency with which it comes into contact with LEP persons.  Collectively, these efforts revealed that </w:t>
            </w:r>
            <w:r>
              <w:rPr>
                <w:sz w:val="22"/>
                <w:szCs w:val="28"/>
              </w:rPr>
              <w:t>METRO</w:t>
            </w:r>
            <w:r w:rsidR="00636BE6">
              <w:rPr>
                <w:sz w:val="22"/>
                <w:szCs w:val="28"/>
              </w:rPr>
              <w:t>’s LEP community frequently uses its services.</w:t>
            </w:r>
          </w:p>
        </w:tc>
      </w:tr>
      <w:tr w:rsidR="00636BE6" w:rsidRPr="00DD4E72" w:rsidTr="00AE0D11">
        <w:trPr>
          <w:cantSplit/>
        </w:trPr>
        <w:tc>
          <w:tcPr>
            <w:tcW w:w="4338" w:type="dxa"/>
          </w:tcPr>
          <w:p w:rsidR="00636BE6" w:rsidRPr="00DD4E72" w:rsidRDefault="00636BE6" w:rsidP="00150F0E">
            <w:pPr>
              <w:numPr>
                <w:ilvl w:val="0"/>
                <w:numId w:val="26"/>
              </w:numPr>
              <w:rPr>
                <w:sz w:val="22"/>
                <w:szCs w:val="28"/>
              </w:rPr>
            </w:pPr>
            <w:r w:rsidRPr="00DD4E72">
              <w:rPr>
                <w:sz w:val="22"/>
              </w:rPr>
              <w:t>Importance - the nature and importance of the program, activity,</w:t>
            </w:r>
            <w:r>
              <w:rPr>
                <w:sz w:val="22"/>
              </w:rPr>
              <w:t xml:space="preserve"> or service to people's lives</w:t>
            </w:r>
          </w:p>
        </w:tc>
        <w:tc>
          <w:tcPr>
            <w:tcW w:w="1530" w:type="dxa"/>
          </w:tcPr>
          <w:p w:rsidR="00636BE6" w:rsidRPr="00DD4E72" w:rsidRDefault="00636BE6" w:rsidP="00AE0D11">
            <w:pPr>
              <w:jc w:val="center"/>
              <w:rPr>
                <w:sz w:val="22"/>
                <w:szCs w:val="28"/>
              </w:rPr>
            </w:pPr>
            <w:r>
              <w:rPr>
                <w:sz w:val="22"/>
                <w:szCs w:val="28"/>
              </w:rPr>
              <w:t>Yes</w:t>
            </w:r>
          </w:p>
        </w:tc>
        <w:tc>
          <w:tcPr>
            <w:tcW w:w="3438" w:type="dxa"/>
          </w:tcPr>
          <w:p w:rsidR="00636BE6" w:rsidRPr="009D79F7" w:rsidRDefault="00636BE6" w:rsidP="00F84E06">
            <w:pPr>
              <w:rPr>
                <w:sz w:val="22"/>
                <w:szCs w:val="22"/>
              </w:rPr>
            </w:pPr>
            <w:r>
              <w:rPr>
                <w:sz w:val="22"/>
                <w:szCs w:val="22"/>
              </w:rPr>
              <w:t>Through outre</w:t>
            </w:r>
            <w:r w:rsidR="00F84E06">
              <w:rPr>
                <w:sz w:val="22"/>
                <w:szCs w:val="22"/>
              </w:rPr>
              <w:t xml:space="preserve">ach to community organizations </w:t>
            </w:r>
            <w:r>
              <w:rPr>
                <w:sz w:val="22"/>
                <w:szCs w:val="22"/>
              </w:rPr>
              <w:t xml:space="preserve">and surveys </w:t>
            </w:r>
            <w:r w:rsidR="00AE0D11">
              <w:rPr>
                <w:sz w:val="22"/>
                <w:szCs w:val="22"/>
              </w:rPr>
              <w:t>METRO</w:t>
            </w:r>
            <w:r>
              <w:rPr>
                <w:sz w:val="22"/>
                <w:szCs w:val="22"/>
              </w:rPr>
              <w:t xml:space="preserve"> identified the reasons members of its LEP community relied on its service</w:t>
            </w:r>
            <w:r w:rsidR="00F84E06">
              <w:rPr>
                <w:sz w:val="22"/>
                <w:szCs w:val="22"/>
              </w:rPr>
              <w:t>, and also identified service routes frequently used by LEP individuals</w:t>
            </w:r>
            <w:r>
              <w:rPr>
                <w:sz w:val="22"/>
                <w:szCs w:val="22"/>
              </w:rPr>
              <w:t xml:space="preserve">.  </w:t>
            </w:r>
            <w:r w:rsidR="00AE0D11">
              <w:rPr>
                <w:sz w:val="22"/>
                <w:szCs w:val="22"/>
              </w:rPr>
              <w:t>METRO</w:t>
            </w:r>
            <w:r w:rsidR="00F84E06">
              <w:rPr>
                <w:sz w:val="22"/>
                <w:szCs w:val="22"/>
              </w:rPr>
              <w:t>’s LEP community identified</w:t>
            </w:r>
            <w:r>
              <w:rPr>
                <w:sz w:val="22"/>
                <w:szCs w:val="22"/>
              </w:rPr>
              <w:t xml:space="preserve"> healthcare, education, and employment as important reasons for using </w:t>
            </w:r>
            <w:r w:rsidR="00AE0D11">
              <w:rPr>
                <w:sz w:val="22"/>
                <w:szCs w:val="22"/>
              </w:rPr>
              <w:t>METRO</w:t>
            </w:r>
            <w:r>
              <w:rPr>
                <w:sz w:val="22"/>
                <w:szCs w:val="22"/>
              </w:rPr>
              <w:t xml:space="preserve">’s service. </w:t>
            </w:r>
          </w:p>
        </w:tc>
      </w:tr>
      <w:tr w:rsidR="00636BE6" w:rsidRPr="00DD4E72" w:rsidTr="00AE0D11">
        <w:trPr>
          <w:cantSplit/>
        </w:trPr>
        <w:tc>
          <w:tcPr>
            <w:tcW w:w="4338" w:type="dxa"/>
          </w:tcPr>
          <w:p w:rsidR="00636BE6" w:rsidRPr="00DD4E72" w:rsidRDefault="00636BE6" w:rsidP="00150F0E">
            <w:pPr>
              <w:numPr>
                <w:ilvl w:val="0"/>
                <w:numId w:val="27"/>
              </w:numPr>
              <w:rPr>
                <w:sz w:val="22"/>
                <w:szCs w:val="28"/>
              </w:rPr>
            </w:pPr>
            <w:r w:rsidRPr="00DD4E72">
              <w:rPr>
                <w:sz w:val="22"/>
              </w:rPr>
              <w:t>Resources - the resources available and costs</w:t>
            </w:r>
          </w:p>
        </w:tc>
        <w:tc>
          <w:tcPr>
            <w:tcW w:w="1530" w:type="dxa"/>
          </w:tcPr>
          <w:p w:rsidR="00636BE6" w:rsidRPr="00DD4E72" w:rsidRDefault="00636BE6" w:rsidP="00AE0D11">
            <w:pPr>
              <w:jc w:val="center"/>
              <w:rPr>
                <w:sz w:val="22"/>
                <w:szCs w:val="28"/>
              </w:rPr>
            </w:pPr>
            <w:r>
              <w:rPr>
                <w:sz w:val="22"/>
                <w:szCs w:val="28"/>
              </w:rPr>
              <w:t>Yes</w:t>
            </w:r>
          </w:p>
        </w:tc>
        <w:tc>
          <w:tcPr>
            <w:tcW w:w="3438" w:type="dxa"/>
          </w:tcPr>
          <w:p w:rsidR="00636BE6" w:rsidRPr="00DD4E72" w:rsidRDefault="00AE0D11" w:rsidP="00AE0D11">
            <w:pPr>
              <w:rPr>
                <w:sz w:val="22"/>
                <w:szCs w:val="28"/>
              </w:rPr>
            </w:pPr>
            <w:r>
              <w:rPr>
                <w:sz w:val="22"/>
                <w:szCs w:val="28"/>
              </w:rPr>
              <w:t>METRO</w:t>
            </w:r>
            <w:r w:rsidR="00636BE6">
              <w:rPr>
                <w:sz w:val="22"/>
                <w:szCs w:val="28"/>
              </w:rPr>
              <w:t xml:space="preserve">’s LEP resources are as follows: bilingual staff, interpreters, translated notices and system information in print and on the Internet, bilingual ticket vending machines, bilingual security officers and station managers.  As result of its four-factor analysis, </w:t>
            </w:r>
            <w:r>
              <w:rPr>
                <w:sz w:val="22"/>
                <w:szCs w:val="28"/>
              </w:rPr>
              <w:t>METRO</w:t>
            </w:r>
            <w:r w:rsidR="00636BE6">
              <w:rPr>
                <w:sz w:val="22"/>
                <w:szCs w:val="28"/>
              </w:rPr>
              <w:t xml:space="preserve"> identified additional resources it plans to develop, including: translation of critical website information, translation of safety and security related </w:t>
            </w:r>
            <w:proofErr w:type="gramStart"/>
            <w:r w:rsidR="00636BE6">
              <w:rPr>
                <w:sz w:val="22"/>
                <w:szCs w:val="28"/>
              </w:rPr>
              <w:t>announcements,</w:t>
            </w:r>
            <w:proofErr w:type="gramEnd"/>
            <w:r w:rsidR="00636BE6">
              <w:rPr>
                <w:sz w:val="22"/>
                <w:szCs w:val="28"/>
              </w:rPr>
              <w:t xml:space="preserve"> and “I Speak” cards for transit operators. </w:t>
            </w:r>
          </w:p>
        </w:tc>
      </w:tr>
    </w:tbl>
    <w:p w:rsidR="00636BE6" w:rsidRDefault="00636BE6" w:rsidP="00636BE6">
      <w:pPr>
        <w:tabs>
          <w:tab w:val="left" w:pos="360"/>
        </w:tabs>
        <w:spacing w:line="360" w:lineRule="auto"/>
        <w:rPr>
          <w:sz w:val="28"/>
          <w:szCs w:val="28"/>
        </w:rPr>
      </w:pPr>
    </w:p>
    <w:p w:rsidR="000E748D" w:rsidRDefault="000E748D">
      <w:pPr>
        <w:rPr>
          <w:sz w:val="28"/>
          <w:szCs w:val="28"/>
        </w:rPr>
      </w:pPr>
      <w:r>
        <w:rPr>
          <w:sz w:val="28"/>
          <w:szCs w:val="28"/>
        </w:rPr>
        <w:br w:type="page"/>
      </w:r>
    </w:p>
    <w:p w:rsidR="00636BE6" w:rsidRDefault="00636BE6" w:rsidP="00636BE6">
      <w:pPr>
        <w:tabs>
          <w:tab w:val="left" w:pos="360"/>
        </w:tabs>
        <w:spacing w:line="360" w:lineRule="auto"/>
        <w:rPr>
          <w:sz w:val="28"/>
          <w:szCs w:val="28"/>
        </w:rPr>
      </w:pPr>
      <w:r>
        <w:rPr>
          <w:sz w:val="28"/>
          <w:szCs w:val="28"/>
        </w:rPr>
        <w:lastRenderedPageBreak/>
        <w:t>In its response to the Draft report in a letter dated December 21, 2011, METRO indicated that it is working on completing it</w:t>
      </w:r>
      <w:r w:rsidR="00F84E06">
        <w:rPr>
          <w:sz w:val="28"/>
          <w:szCs w:val="28"/>
        </w:rPr>
        <w:t>s</w:t>
      </w:r>
      <w:r>
        <w:rPr>
          <w:sz w:val="28"/>
          <w:szCs w:val="28"/>
        </w:rPr>
        <w:t xml:space="preserve"> Language Assistance Plan.  According to METRO, the LAP should be completed and approved by its Board of Directors at the Board’s February 24, 2012 meeting.</w:t>
      </w:r>
    </w:p>
    <w:p w:rsidR="00F84E06" w:rsidRDefault="00F84E06">
      <w:pPr>
        <w:rPr>
          <w:b/>
          <w:bCs/>
          <w:sz w:val="28"/>
          <w:szCs w:val="28"/>
        </w:rPr>
      </w:pPr>
    </w:p>
    <w:p w:rsidR="002458F6" w:rsidRPr="002458F6" w:rsidRDefault="002458F6" w:rsidP="002458F6">
      <w:pPr>
        <w:spacing w:line="360" w:lineRule="auto"/>
        <w:rPr>
          <w:sz w:val="28"/>
          <w:szCs w:val="28"/>
        </w:rPr>
      </w:pPr>
      <w:r w:rsidRPr="002458F6">
        <w:rPr>
          <w:b/>
          <w:bCs/>
          <w:sz w:val="28"/>
          <w:szCs w:val="28"/>
        </w:rPr>
        <w:t xml:space="preserve">Corrective Actions and Schedules: </w:t>
      </w:r>
      <w:r>
        <w:rPr>
          <w:b/>
          <w:bCs/>
          <w:sz w:val="28"/>
          <w:szCs w:val="28"/>
        </w:rPr>
        <w:t xml:space="preserve"> </w:t>
      </w:r>
      <w:r w:rsidRPr="002458F6">
        <w:rPr>
          <w:sz w:val="28"/>
          <w:szCs w:val="28"/>
        </w:rPr>
        <w:t>Within 120 days, METRO must submit to the FTA Equal Opportunity Specialist in the FTA Headquarters Office of Civil Rights a completed Language Assistance Plan that meets the requirements to provide meaningful access to Limited English Proficient (LEP) persons, as described in FTA Circular 4702.1A</w:t>
      </w:r>
      <w:r w:rsidRPr="002458F6">
        <w:rPr>
          <w:sz w:val="24"/>
          <w:szCs w:val="24"/>
        </w:rPr>
        <w:t xml:space="preserve"> </w:t>
      </w:r>
      <w:r w:rsidRPr="002458F6">
        <w:rPr>
          <w:sz w:val="28"/>
          <w:szCs w:val="28"/>
        </w:rPr>
        <w:t xml:space="preserve">and </w:t>
      </w:r>
      <w:r w:rsidRPr="002458F6">
        <w:rPr>
          <w:i/>
          <w:sz w:val="28"/>
          <w:szCs w:val="28"/>
        </w:rPr>
        <w:t>DOT LEP Guidance Concerning Recipients’ Responsibilities to Limited English Proficient Persons</w:t>
      </w:r>
      <w:r w:rsidRPr="002458F6">
        <w:rPr>
          <w:sz w:val="28"/>
          <w:szCs w:val="28"/>
        </w:rPr>
        <w:t>.</w:t>
      </w:r>
    </w:p>
    <w:p w:rsidR="00EC6DF1" w:rsidRDefault="00EC6DF1" w:rsidP="002458F6">
      <w:pPr>
        <w:spacing w:line="360" w:lineRule="auto"/>
        <w:rPr>
          <w:sz w:val="28"/>
          <w:szCs w:val="28"/>
        </w:rPr>
      </w:pPr>
    </w:p>
    <w:p w:rsidR="00F80A8D" w:rsidRDefault="00F80A8D">
      <w:pPr>
        <w:pStyle w:val="BHLevel2"/>
        <w:spacing w:line="360" w:lineRule="auto"/>
        <w:rPr>
          <w:sz w:val="28"/>
          <w:szCs w:val="28"/>
        </w:rPr>
      </w:pPr>
      <w:bookmarkStart w:id="16" w:name="_Toc312841760"/>
      <w:r>
        <w:rPr>
          <w:sz w:val="28"/>
          <w:szCs w:val="28"/>
        </w:rPr>
        <w:t>Title VI Complaint Procedures</w:t>
      </w:r>
      <w:bookmarkEnd w:id="16"/>
    </w:p>
    <w:p w:rsidR="00F80A8D" w:rsidRDefault="00F80A8D">
      <w:pPr>
        <w:rPr>
          <w:sz w:val="28"/>
          <w:szCs w:val="28"/>
        </w:rPr>
      </w:pPr>
      <w:r>
        <w:rPr>
          <w:b/>
          <w:sz w:val="28"/>
          <w:szCs w:val="28"/>
        </w:rPr>
        <w:t xml:space="preserve">Requirement: </w:t>
      </w:r>
      <w:r w:rsidR="00EC6DF1">
        <w:rPr>
          <w:b/>
          <w:sz w:val="28"/>
          <w:szCs w:val="28"/>
        </w:rPr>
        <w:t xml:space="preserve"> </w:t>
      </w:r>
      <w:r>
        <w:rPr>
          <w:i/>
          <w:iCs/>
          <w:sz w:val="28"/>
        </w:rPr>
        <w:t>FTA recipients shall develop procedures for investigating and tracking Title VI complaints filed against them and make their procedures for filing a complaint available to members of the public upon request.</w:t>
      </w:r>
    </w:p>
    <w:p w:rsidR="00F80A8D" w:rsidRDefault="00F80A8D">
      <w:pPr>
        <w:spacing w:line="360" w:lineRule="auto"/>
        <w:rPr>
          <w:b/>
          <w:sz w:val="28"/>
          <w:szCs w:val="28"/>
        </w:rPr>
      </w:pPr>
    </w:p>
    <w:p w:rsidR="002458F6" w:rsidRPr="002458F6" w:rsidRDefault="00F80A8D" w:rsidP="002458F6">
      <w:pPr>
        <w:spacing w:line="360" w:lineRule="auto"/>
        <w:rPr>
          <w:sz w:val="28"/>
          <w:szCs w:val="28"/>
        </w:rPr>
      </w:pPr>
      <w:r>
        <w:rPr>
          <w:b/>
          <w:sz w:val="28"/>
          <w:szCs w:val="28"/>
        </w:rPr>
        <w:t>Findings</w:t>
      </w:r>
      <w:r w:rsidRPr="0038078B">
        <w:rPr>
          <w:b/>
          <w:sz w:val="28"/>
          <w:szCs w:val="28"/>
        </w:rPr>
        <w:t>:</w:t>
      </w:r>
      <w:r w:rsidRPr="0038078B">
        <w:rPr>
          <w:sz w:val="28"/>
          <w:szCs w:val="28"/>
        </w:rPr>
        <w:t xml:space="preserve"> </w:t>
      </w:r>
      <w:r w:rsidR="00EC6DF1">
        <w:rPr>
          <w:sz w:val="28"/>
          <w:szCs w:val="28"/>
        </w:rPr>
        <w:t xml:space="preserve"> </w:t>
      </w:r>
      <w:r w:rsidR="002458F6" w:rsidRPr="002458F6">
        <w:rPr>
          <w:sz w:val="28"/>
          <w:szCs w:val="28"/>
        </w:rPr>
        <w:t>During this Title VI Compliance Review of METRO, no deficiencies were found regarding METRO’s compliance with FTA requirements for Title VI Complaint Procedures.  METRO’s complaint procedures included reasonable steps to receive</w:t>
      </w:r>
      <w:r w:rsidR="00BB0BC6">
        <w:rPr>
          <w:sz w:val="28"/>
          <w:szCs w:val="28"/>
        </w:rPr>
        <w:t xml:space="preserve"> and </w:t>
      </w:r>
      <w:r w:rsidR="002458F6" w:rsidRPr="002458F6">
        <w:rPr>
          <w:sz w:val="28"/>
          <w:szCs w:val="28"/>
        </w:rPr>
        <w:t>investigate</w:t>
      </w:r>
      <w:r w:rsidR="00BB0BC6">
        <w:rPr>
          <w:sz w:val="28"/>
          <w:szCs w:val="28"/>
        </w:rPr>
        <w:t xml:space="preserve"> complaints</w:t>
      </w:r>
      <w:r w:rsidR="002458F6" w:rsidRPr="002458F6">
        <w:rPr>
          <w:sz w:val="28"/>
          <w:szCs w:val="28"/>
        </w:rPr>
        <w:t xml:space="preserve">, and </w:t>
      </w:r>
      <w:r w:rsidR="00BB0BC6">
        <w:rPr>
          <w:sz w:val="28"/>
          <w:szCs w:val="28"/>
        </w:rPr>
        <w:t xml:space="preserve">adjudicate </w:t>
      </w:r>
      <w:r w:rsidR="002458F6" w:rsidRPr="002458F6">
        <w:rPr>
          <w:sz w:val="28"/>
          <w:szCs w:val="28"/>
        </w:rPr>
        <w:t>appeals.</w:t>
      </w:r>
    </w:p>
    <w:p w:rsidR="002458F6" w:rsidRPr="002458F6" w:rsidRDefault="002458F6" w:rsidP="002458F6">
      <w:pPr>
        <w:spacing w:line="360" w:lineRule="auto"/>
        <w:rPr>
          <w:sz w:val="28"/>
          <w:szCs w:val="28"/>
        </w:rPr>
      </w:pPr>
    </w:p>
    <w:p w:rsidR="002458F6" w:rsidRPr="002458F6" w:rsidRDefault="002458F6" w:rsidP="002458F6">
      <w:pPr>
        <w:spacing w:line="360" w:lineRule="auto"/>
        <w:rPr>
          <w:sz w:val="28"/>
          <w:szCs w:val="28"/>
        </w:rPr>
      </w:pPr>
      <w:r w:rsidRPr="002458F6">
        <w:rPr>
          <w:sz w:val="28"/>
          <w:szCs w:val="28"/>
        </w:rPr>
        <w:t xml:space="preserve">All Title VI complaints were recorded on a complaint form and immediately routed to METRO’s General Manager (GM).  METRO’s GM assigned an investigator who interviewed all parties and collected relevant facts.  The investigator submitted a report of findings to the GM who determined the merits of the complaint and associated actions to be taken.  The GM also notified the </w:t>
      </w:r>
      <w:r w:rsidRPr="002458F6">
        <w:rPr>
          <w:sz w:val="28"/>
          <w:szCs w:val="28"/>
        </w:rPr>
        <w:lastRenderedPageBreak/>
        <w:t xml:space="preserve">complainant of METRO’s determination.  If the complainant disagreed with METRO’s determination, </w:t>
      </w:r>
      <w:r w:rsidR="00C8069B">
        <w:rPr>
          <w:sz w:val="28"/>
          <w:szCs w:val="28"/>
        </w:rPr>
        <w:t xml:space="preserve">the complainant </w:t>
      </w:r>
      <w:r w:rsidRPr="002458F6">
        <w:rPr>
          <w:sz w:val="28"/>
          <w:szCs w:val="28"/>
        </w:rPr>
        <w:t>w</w:t>
      </w:r>
      <w:r w:rsidR="00AC47AE">
        <w:rPr>
          <w:sz w:val="28"/>
          <w:szCs w:val="28"/>
        </w:rPr>
        <w:t>as</w:t>
      </w:r>
      <w:r w:rsidRPr="002458F6">
        <w:rPr>
          <w:sz w:val="28"/>
          <w:szCs w:val="28"/>
        </w:rPr>
        <w:t xml:space="preserve"> informed that an appeal could be filed with the METRO Board of Directors.</w:t>
      </w:r>
    </w:p>
    <w:p w:rsidR="002458F6" w:rsidRPr="002458F6" w:rsidRDefault="002458F6" w:rsidP="002458F6">
      <w:pPr>
        <w:spacing w:line="360" w:lineRule="auto"/>
        <w:rPr>
          <w:sz w:val="28"/>
          <w:szCs w:val="28"/>
        </w:rPr>
      </w:pPr>
    </w:p>
    <w:p w:rsidR="00F80A8D" w:rsidRDefault="00F80A8D">
      <w:pPr>
        <w:pStyle w:val="BHLevel2"/>
        <w:spacing w:line="360" w:lineRule="auto"/>
        <w:rPr>
          <w:sz w:val="28"/>
          <w:szCs w:val="28"/>
        </w:rPr>
      </w:pPr>
      <w:bookmarkStart w:id="17" w:name="_Toc312841761"/>
      <w:r>
        <w:rPr>
          <w:sz w:val="28"/>
          <w:szCs w:val="28"/>
        </w:rPr>
        <w:t>Record of Title VI Investigations, Complaints, and Lawsuits</w:t>
      </w:r>
      <w:bookmarkEnd w:id="17"/>
    </w:p>
    <w:p w:rsidR="00F80A8D" w:rsidRDefault="00F80A8D">
      <w:pPr>
        <w:rPr>
          <w:i/>
          <w:iCs/>
          <w:kern w:val="32"/>
          <w:sz w:val="28"/>
        </w:rPr>
      </w:pPr>
      <w:r>
        <w:rPr>
          <w:b/>
          <w:sz w:val="28"/>
          <w:szCs w:val="28"/>
        </w:rPr>
        <w:t xml:space="preserve">Requirement: </w:t>
      </w:r>
      <w:r w:rsidR="00EC6DF1">
        <w:rPr>
          <w:b/>
          <w:sz w:val="28"/>
          <w:szCs w:val="28"/>
        </w:rPr>
        <w:t xml:space="preserve">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F80A8D" w:rsidRDefault="00F80A8D">
      <w:pPr>
        <w:pStyle w:val="ReferenceLine"/>
        <w:spacing w:line="360" w:lineRule="auto"/>
        <w:rPr>
          <w:sz w:val="28"/>
          <w:szCs w:val="28"/>
        </w:rPr>
      </w:pPr>
    </w:p>
    <w:p w:rsidR="002458F6" w:rsidRPr="002458F6" w:rsidRDefault="00F80A8D" w:rsidP="002458F6">
      <w:pPr>
        <w:spacing w:line="360" w:lineRule="auto"/>
        <w:rPr>
          <w:sz w:val="28"/>
          <w:szCs w:val="28"/>
        </w:rPr>
      </w:pPr>
      <w:r>
        <w:rPr>
          <w:b/>
          <w:sz w:val="28"/>
          <w:szCs w:val="28"/>
        </w:rPr>
        <w:t xml:space="preserve">Findings: </w:t>
      </w:r>
      <w:r w:rsidR="00EC6DF1">
        <w:rPr>
          <w:b/>
          <w:sz w:val="28"/>
          <w:szCs w:val="28"/>
        </w:rPr>
        <w:t xml:space="preserve"> </w:t>
      </w:r>
      <w:r w:rsidR="002458F6" w:rsidRPr="002458F6">
        <w:rPr>
          <w:sz w:val="28"/>
          <w:szCs w:val="28"/>
        </w:rPr>
        <w:t xml:space="preserve">During this Title VI Compliance Review of METRO, no deficiencies were found regarding METRO’s compliance with FTA requirements for Record of Title VI Investigations, Complaints, and Lawsuits.  METRO submitted a narrative summary of the one Title VI complaint it received </w:t>
      </w:r>
      <w:r w:rsidR="00A303A0">
        <w:rPr>
          <w:sz w:val="28"/>
          <w:szCs w:val="28"/>
        </w:rPr>
        <w:t>in the</w:t>
      </w:r>
      <w:r w:rsidR="002458F6" w:rsidRPr="002458F6">
        <w:rPr>
          <w:sz w:val="28"/>
          <w:szCs w:val="28"/>
        </w:rPr>
        <w:t xml:space="preserve"> </w:t>
      </w:r>
      <w:r w:rsidR="00A303A0">
        <w:rPr>
          <w:sz w:val="28"/>
          <w:szCs w:val="28"/>
        </w:rPr>
        <w:t>p</w:t>
      </w:r>
      <w:r w:rsidR="002458F6" w:rsidRPr="002458F6">
        <w:rPr>
          <w:sz w:val="28"/>
          <w:szCs w:val="28"/>
        </w:rPr>
        <w:t>ast three years.  While the complaint was submitted in narrative form, it did include all elements required by FTA Circular 4702.1A, IV, 3 as follows:</w:t>
      </w:r>
    </w:p>
    <w:p w:rsidR="002458F6" w:rsidRPr="002458F6" w:rsidRDefault="002458F6" w:rsidP="00150F0E">
      <w:pPr>
        <w:numPr>
          <w:ilvl w:val="0"/>
          <w:numId w:val="19"/>
        </w:numPr>
        <w:rPr>
          <w:sz w:val="28"/>
          <w:szCs w:val="28"/>
        </w:rPr>
      </w:pPr>
      <w:r w:rsidRPr="002458F6">
        <w:rPr>
          <w:kern w:val="32"/>
          <w:sz w:val="28"/>
          <w:szCs w:val="28"/>
        </w:rPr>
        <w:t>The date the investigation, lawsuit, or complaint was filed</w:t>
      </w:r>
    </w:p>
    <w:p w:rsidR="002458F6" w:rsidRPr="002458F6" w:rsidRDefault="002458F6" w:rsidP="00150F0E">
      <w:pPr>
        <w:numPr>
          <w:ilvl w:val="0"/>
          <w:numId w:val="19"/>
        </w:numPr>
        <w:rPr>
          <w:sz w:val="28"/>
          <w:szCs w:val="28"/>
        </w:rPr>
      </w:pPr>
      <w:r w:rsidRPr="002458F6">
        <w:rPr>
          <w:kern w:val="32"/>
          <w:sz w:val="28"/>
          <w:szCs w:val="28"/>
        </w:rPr>
        <w:t>A summary of the allegation(s)</w:t>
      </w:r>
    </w:p>
    <w:p w:rsidR="002458F6" w:rsidRPr="002458F6" w:rsidRDefault="002458F6" w:rsidP="00150F0E">
      <w:pPr>
        <w:numPr>
          <w:ilvl w:val="0"/>
          <w:numId w:val="19"/>
        </w:numPr>
        <w:rPr>
          <w:sz w:val="28"/>
          <w:szCs w:val="28"/>
        </w:rPr>
      </w:pPr>
      <w:r w:rsidRPr="002458F6">
        <w:rPr>
          <w:kern w:val="32"/>
          <w:sz w:val="28"/>
          <w:szCs w:val="28"/>
        </w:rPr>
        <w:t>The status of the investigation, lawsuit, or complaint</w:t>
      </w:r>
    </w:p>
    <w:p w:rsidR="002458F6" w:rsidRPr="002458F6" w:rsidRDefault="002458F6" w:rsidP="00150F0E">
      <w:pPr>
        <w:numPr>
          <w:ilvl w:val="0"/>
          <w:numId w:val="19"/>
        </w:numPr>
        <w:rPr>
          <w:sz w:val="28"/>
          <w:szCs w:val="28"/>
        </w:rPr>
      </w:pPr>
      <w:r w:rsidRPr="002458F6">
        <w:rPr>
          <w:kern w:val="32"/>
          <w:sz w:val="28"/>
          <w:szCs w:val="28"/>
        </w:rPr>
        <w:t>Actions taken by the recipient or in response to the investigation, lawsuit, or complaint.</w:t>
      </w:r>
    </w:p>
    <w:p w:rsidR="002458F6" w:rsidRPr="00C8069B" w:rsidRDefault="002458F6" w:rsidP="00C8069B">
      <w:pPr>
        <w:spacing w:line="360" w:lineRule="auto"/>
        <w:rPr>
          <w:sz w:val="28"/>
          <w:szCs w:val="28"/>
        </w:rPr>
      </w:pPr>
    </w:p>
    <w:p w:rsidR="002458F6" w:rsidRPr="002458F6" w:rsidRDefault="002458F6" w:rsidP="002458F6">
      <w:pPr>
        <w:spacing w:line="360" w:lineRule="auto"/>
        <w:rPr>
          <w:sz w:val="28"/>
          <w:szCs w:val="28"/>
        </w:rPr>
      </w:pPr>
      <w:r w:rsidRPr="002458F6">
        <w:rPr>
          <w:sz w:val="28"/>
          <w:szCs w:val="28"/>
        </w:rPr>
        <w:t xml:space="preserve">The Review team recommended that METRO track its Title VI complaints in </w:t>
      </w:r>
      <w:r w:rsidR="00AC47AE">
        <w:rPr>
          <w:sz w:val="28"/>
          <w:szCs w:val="28"/>
        </w:rPr>
        <w:t xml:space="preserve">a </w:t>
      </w:r>
      <w:r w:rsidRPr="002458F6">
        <w:rPr>
          <w:sz w:val="28"/>
          <w:szCs w:val="28"/>
        </w:rPr>
        <w:t>log format for future reporting purposes.</w:t>
      </w:r>
    </w:p>
    <w:p w:rsidR="00F80A8D" w:rsidRDefault="00F80A8D" w:rsidP="00AE0D11">
      <w:pPr>
        <w:rPr>
          <w:bCs/>
          <w:sz w:val="28"/>
          <w:szCs w:val="28"/>
        </w:rPr>
      </w:pPr>
    </w:p>
    <w:p w:rsidR="00F80A8D" w:rsidRDefault="00F80A8D">
      <w:pPr>
        <w:pStyle w:val="BHLevel2"/>
        <w:spacing w:line="360" w:lineRule="auto"/>
        <w:rPr>
          <w:sz w:val="28"/>
          <w:szCs w:val="28"/>
        </w:rPr>
      </w:pPr>
      <w:bookmarkStart w:id="18" w:name="_Toc312841762"/>
      <w:r>
        <w:rPr>
          <w:sz w:val="28"/>
          <w:szCs w:val="28"/>
        </w:rPr>
        <w:lastRenderedPageBreak/>
        <w:t>Notice to Beneficiaries of Protection Under Title VI</w:t>
      </w:r>
      <w:bookmarkEnd w:id="18"/>
    </w:p>
    <w:p w:rsidR="00F80A8D" w:rsidRDefault="00F80A8D">
      <w:pPr>
        <w:rPr>
          <w:sz w:val="28"/>
        </w:rPr>
      </w:pPr>
      <w:r>
        <w:rPr>
          <w:b/>
          <w:sz w:val="28"/>
          <w:szCs w:val="28"/>
        </w:rPr>
        <w:t xml:space="preserve">Requirement: </w:t>
      </w:r>
      <w:r w:rsidR="00EC6DF1">
        <w:rPr>
          <w:b/>
          <w:sz w:val="28"/>
          <w:szCs w:val="28"/>
        </w:rPr>
        <w:t xml:space="preserve">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F80A8D" w:rsidRDefault="00F80A8D">
      <w:pPr>
        <w:spacing w:line="360" w:lineRule="auto"/>
        <w:rPr>
          <w:sz w:val="28"/>
          <w:szCs w:val="28"/>
        </w:rPr>
      </w:pPr>
    </w:p>
    <w:p w:rsidR="00AE0D11" w:rsidRDefault="00F0500E" w:rsidP="002458F6">
      <w:pPr>
        <w:spacing w:line="360" w:lineRule="auto"/>
        <w:rPr>
          <w:sz w:val="28"/>
          <w:szCs w:val="28"/>
        </w:rPr>
      </w:pPr>
      <w:r>
        <w:rPr>
          <w:b/>
          <w:sz w:val="28"/>
          <w:szCs w:val="28"/>
        </w:rPr>
        <w:t xml:space="preserve">Findings: </w:t>
      </w:r>
      <w:r w:rsidR="00EC6DF1">
        <w:rPr>
          <w:b/>
          <w:sz w:val="28"/>
          <w:szCs w:val="28"/>
        </w:rPr>
        <w:t xml:space="preserve"> </w:t>
      </w:r>
      <w:r w:rsidR="002458F6" w:rsidRPr="002458F6">
        <w:rPr>
          <w:sz w:val="28"/>
          <w:szCs w:val="28"/>
        </w:rPr>
        <w:t xml:space="preserve">During this Title VI Compliance Review of METRO, no deficiencies were found regarding METRO’s compliance with FTA requirements for Notice to Beneficiaries of Protection under Title VI.  METRO’s Title VI Notice contained all of the elements required by FTA Circular 4702.1A, IV, </w:t>
      </w:r>
      <w:proofErr w:type="gramStart"/>
      <w:r w:rsidR="002458F6" w:rsidRPr="002458F6">
        <w:rPr>
          <w:sz w:val="28"/>
          <w:szCs w:val="28"/>
        </w:rPr>
        <w:t>5.a</w:t>
      </w:r>
      <w:proofErr w:type="gramEnd"/>
      <w:r w:rsidR="002458F6" w:rsidRPr="002458F6">
        <w:rPr>
          <w:sz w:val="28"/>
          <w:szCs w:val="28"/>
        </w:rPr>
        <w:t>, as illustrated in the following table:</w:t>
      </w:r>
    </w:p>
    <w:p w:rsidR="00AE0D11" w:rsidRDefault="00AE0D11">
      <w:pPr>
        <w:rPr>
          <w:sz w:val="28"/>
          <w:szCs w:val="28"/>
        </w:rPr>
      </w:pPr>
      <w:r>
        <w:rPr>
          <w:sz w:val="28"/>
          <w:szCs w:val="28"/>
        </w:rPr>
        <w:br w:type="page"/>
      </w:r>
    </w:p>
    <w:p w:rsidR="002458F6" w:rsidRPr="002458F6" w:rsidRDefault="002458F6" w:rsidP="002458F6">
      <w:pPr>
        <w:spacing w:line="360" w:lineRule="auto"/>
      </w:pPr>
    </w:p>
    <w:p w:rsidR="002458F6" w:rsidRPr="002458F6" w:rsidRDefault="002458F6" w:rsidP="002458F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98"/>
        <w:gridCol w:w="2808"/>
      </w:tblGrid>
      <w:tr w:rsidR="002458F6" w:rsidRPr="002458F6" w:rsidTr="003B2BD2">
        <w:trPr>
          <w:tblHeader/>
        </w:trPr>
        <w:tc>
          <w:tcPr>
            <w:tcW w:w="6498" w:type="dxa"/>
          </w:tcPr>
          <w:p w:rsidR="002458F6" w:rsidRPr="002458F6" w:rsidRDefault="002458F6" w:rsidP="002458F6">
            <w:pPr>
              <w:rPr>
                <w:b/>
                <w:bCs/>
                <w:sz w:val="24"/>
                <w:szCs w:val="28"/>
              </w:rPr>
            </w:pPr>
            <w:r w:rsidRPr="002458F6">
              <w:rPr>
                <w:b/>
                <w:bCs/>
                <w:sz w:val="28"/>
                <w:szCs w:val="28"/>
              </w:rPr>
              <w:br w:type="page"/>
            </w:r>
            <w:r w:rsidRPr="002458F6">
              <w:rPr>
                <w:b/>
                <w:bCs/>
                <w:sz w:val="24"/>
                <w:szCs w:val="28"/>
              </w:rPr>
              <w:t>Elements Required in Title VI Notice to Beneficiaries</w:t>
            </w:r>
          </w:p>
          <w:p w:rsidR="002458F6" w:rsidRPr="002458F6" w:rsidRDefault="002458F6" w:rsidP="002458F6">
            <w:pPr>
              <w:rPr>
                <w:b/>
                <w:bCs/>
                <w:sz w:val="22"/>
                <w:szCs w:val="28"/>
              </w:rPr>
            </w:pPr>
            <w:r w:rsidRPr="002458F6">
              <w:rPr>
                <w:b/>
                <w:bCs/>
                <w:sz w:val="22"/>
                <w:szCs w:val="28"/>
              </w:rPr>
              <w:t>(Per FTA Circular 4702.1A Chapter IV Section 5.a)</w:t>
            </w:r>
          </w:p>
        </w:tc>
        <w:tc>
          <w:tcPr>
            <w:tcW w:w="2808" w:type="dxa"/>
          </w:tcPr>
          <w:p w:rsidR="002458F6" w:rsidRPr="002458F6" w:rsidRDefault="002458F6" w:rsidP="002458F6">
            <w:pPr>
              <w:jc w:val="center"/>
              <w:rPr>
                <w:b/>
                <w:bCs/>
                <w:sz w:val="24"/>
                <w:szCs w:val="28"/>
              </w:rPr>
            </w:pPr>
            <w:r w:rsidRPr="002458F6">
              <w:rPr>
                <w:b/>
                <w:bCs/>
                <w:sz w:val="24"/>
                <w:szCs w:val="28"/>
              </w:rPr>
              <w:t>Included in METRO’s Notice?</w:t>
            </w:r>
          </w:p>
        </w:tc>
      </w:tr>
      <w:tr w:rsidR="002458F6" w:rsidRPr="002458F6" w:rsidTr="003B2BD2">
        <w:tc>
          <w:tcPr>
            <w:tcW w:w="6498" w:type="dxa"/>
          </w:tcPr>
          <w:p w:rsidR="002458F6" w:rsidRPr="002458F6" w:rsidRDefault="002458F6" w:rsidP="002458F6">
            <w:pPr>
              <w:rPr>
                <w:sz w:val="22"/>
                <w:szCs w:val="28"/>
              </w:rPr>
            </w:pPr>
            <w:r w:rsidRPr="002458F6">
              <w:rPr>
                <w:sz w:val="22"/>
                <w:szCs w:val="28"/>
              </w:rPr>
              <w:t>A statement that the agency operates programs without regard to race, color, and national origin</w:t>
            </w:r>
          </w:p>
        </w:tc>
        <w:tc>
          <w:tcPr>
            <w:tcW w:w="2808" w:type="dxa"/>
            <w:tcBorders>
              <w:bottom w:val="single" w:sz="4" w:space="0" w:color="000000"/>
            </w:tcBorders>
          </w:tcPr>
          <w:p w:rsidR="002458F6" w:rsidRPr="002458F6" w:rsidRDefault="002458F6" w:rsidP="002458F6">
            <w:pPr>
              <w:jc w:val="center"/>
              <w:rPr>
                <w:sz w:val="22"/>
                <w:szCs w:val="28"/>
              </w:rPr>
            </w:pPr>
            <w:r w:rsidRPr="002458F6">
              <w:rPr>
                <w:sz w:val="22"/>
                <w:szCs w:val="28"/>
              </w:rPr>
              <w:t>Yes</w:t>
            </w:r>
          </w:p>
        </w:tc>
      </w:tr>
      <w:tr w:rsidR="002458F6" w:rsidRPr="002458F6" w:rsidTr="003B2BD2">
        <w:tc>
          <w:tcPr>
            <w:tcW w:w="6498" w:type="dxa"/>
          </w:tcPr>
          <w:p w:rsidR="002458F6" w:rsidRPr="002458F6" w:rsidRDefault="002458F6" w:rsidP="002458F6">
            <w:pPr>
              <w:rPr>
                <w:sz w:val="22"/>
                <w:szCs w:val="28"/>
              </w:rPr>
            </w:pPr>
            <w:r w:rsidRPr="002458F6">
              <w:rPr>
                <w:sz w:val="22"/>
                <w:szCs w:val="28"/>
              </w:rPr>
              <w:t>A description of the procedures that members of the public should follow in order to request additional information on the recipient’s nondiscrimination obligations</w:t>
            </w:r>
          </w:p>
        </w:tc>
        <w:tc>
          <w:tcPr>
            <w:tcW w:w="2808" w:type="dxa"/>
          </w:tcPr>
          <w:p w:rsidR="002458F6" w:rsidRPr="002458F6" w:rsidRDefault="002458F6" w:rsidP="002458F6">
            <w:pPr>
              <w:jc w:val="center"/>
              <w:rPr>
                <w:sz w:val="22"/>
                <w:szCs w:val="28"/>
              </w:rPr>
            </w:pPr>
            <w:r w:rsidRPr="002458F6">
              <w:rPr>
                <w:sz w:val="22"/>
                <w:szCs w:val="28"/>
              </w:rPr>
              <w:t>Yes</w:t>
            </w:r>
          </w:p>
        </w:tc>
      </w:tr>
      <w:tr w:rsidR="002458F6" w:rsidRPr="002458F6" w:rsidTr="003B2BD2">
        <w:tc>
          <w:tcPr>
            <w:tcW w:w="6498" w:type="dxa"/>
          </w:tcPr>
          <w:p w:rsidR="002458F6" w:rsidRPr="002458F6" w:rsidRDefault="002458F6" w:rsidP="002458F6">
            <w:pPr>
              <w:rPr>
                <w:sz w:val="22"/>
                <w:szCs w:val="28"/>
              </w:rPr>
            </w:pPr>
            <w:r w:rsidRPr="002458F6">
              <w:rPr>
                <w:sz w:val="22"/>
                <w:szCs w:val="28"/>
              </w:rPr>
              <w:t>A description of the procedures that members of the public should follow in order to file a discrimination complaint against the recipient.</w:t>
            </w:r>
          </w:p>
        </w:tc>
        <w:tc>
          <w:tcPr>
            <w:tcW w:w="2808" w:type="dxa"/>
          </w:tcPr>
          <w:p w:rsidR="002458F6" w:rsidRPr="002458F6" w:rsidRDefault="002458F6" w:rsidP="002458F6">
            <w:pPr>
              <w:jc w:val="center"/>
              <w:rPr>
                <w:sz w:val="22"/>
                <w:szCs w:val="28"/>
              </w:rPr>
            </w:pPr>
            <w:r w:rsidRPr="002458F6">
              <w:rPr>
                <w:sz w:val="22"/>
                <w:szCs w:val="28"/>
              </w:rPr>
              <w:t>Yes</w:t>
            </w:r>
          </w:p>
        </w:tc>
      </w:tr>
    </w:tbl>
    <w:p w:rsidR="002458F6" w:rsidRPr="002458F6" w:rsidRDefault="002458F6" w:rsidP="002458F6">
      <w:pPr>
        <w:rPr>
          <w:sz w:val="28"/>
          <w:szCs w:val="28"/>
        </w:rPr>
      </w:pPr>
    </w:p>
    <w:p w:rsidR="002458F6" w:rsidRPr="002458F6" w:rsidRDefault="002458F6" w:rsidP="002458F6">
      <w:pPr>
        <w:spacing w:line="360" w:lineRule="auto"/>
        <w:rPr>
          <w:sz w:val="28"/>
          <w:szCs w:val="28"/>
        </w:rPr>
      </w:pPr>
      <w:r w:rsidRPr="002458F6">
        <w:rPr>
          <w:sz w:val="28"/>
          <w:szCs w:val="28"/>
        </w:rPr>
        <w:t xml:space="preserve">METRO disseminated its Notice on its website, at transit centers, on its buses, and in its </w:t>
      </w:r>
      <w:r w:rsidRPr="002458F6">
        <w:rPr>
          <w:i/>
          <w:sz w:val="28"/>
          <w:szCs w:val="28"/>
        </w:rPr>
        <w:t>Bus Riders Guide</w:t>
      </w:r>
      <w:r w:rsidRPr="002458F6">
        <w:rPr>
          <w:sz w:val="28"/>
          <w:szCs w:val="28"/>
        </w:rPr>
        <w:t>.</w:t>
      </w:r>
      <w:r w:rsidR="00C8069B">
        <w:rPr>
          <w:sz w:val="28"/>
          <w:szCs w:val="28"/>
        </w:rPr>
        <w:t xml:space="preserve">  METRO posted its entire </w:t>
      </w:r>
      <w:r w:rsidR="00C8069B" w:rsidRPr="00893A43">
        <w:rPr>
          <w:i/>
          <w:sz w:val="28"/>
          <w:szCs w:val="28"/>
        </w:rPr>
        <w:t>Title VI Program Regulation &amp; Complaint Procedure</w:t>
      </w:r>
      <w:r w:rsidR="00C8069B">
        <w:rPr>
          <w:sz w:val="28"/>
          <w:szCs w:val="28"/>
        </w:rPr>
        <w:t xml:space="preserve"> on its website.  This was a 13-page document that included METRO’s Title VI complaint procedures.  METRO’s actual Title VI Notice was included a</w:t>
      </w:r>
      <w:r w:rsidR="00893A43">
        <w:rPr>
          <w:sz w:val="28"/>
          <w:szCs w:val="28"/>
        </w:rPr>
        <w:t>s Attachment A on page 12 of this</w:t>
      </w:r>
      <w:r w:rsidR="00C8069B">
        <w:rPr>
          <w:sz w:val="28"/>
          <w:szCs w:val="28"/>
        </w:rPr>
        <w:t xml:space="preserve"> document.  It was recommended that METRO only post </w:t>
      </w:r>
      <w:proofErr w:type="gramStart"/>
      <w:r w:rsidR="00893A43">
        <w:rPr>
          <w:sz w:val="28"/>
          <w:szCs w:val="28"/>
        </w:rPr>
        <w:t>its</w:t>
      </w:r>
      <w:proofErr w:type="gramEnd"/>
      <w:r w:rsidR="00C8069B">
        <w:rPr>
          <w:sz w:val="28"/>
          <w:szCs w:val="28"/>
        </w:rPr>
        <w:t xml:space="preserve"> actual Title VI Notice on its website and provide a link to its </w:t>
      </w:r>
      <w:r w:rsidR="00893A43" w:rsidRPr="00893A43">
        <w:rPr>
          <w:i/>
          <w:sz w:val="28"/>
          <w:szCs w:val="28"/>
        </w:rPr>
        <w:t>Title VI Program Regulation &amp; Complaint Procedure</w:t>
      </w:r>
      <w:r w:rsidR="00893A43">
        <w:rPr>
          <w:sz w:val="28"/>
          <w:szCs w:val="28"/>
        </w:rPr>
        <w:t>.</w:t>
      </w:r>
    </w:p>
    <w:p w:rsidR="001F6025" w:rsidRDefault="001F6025" w:rsidP="002458F6">
      <w:pPr>
        <w:spacing w:line="360" w:lineRule="auto"/>
        <w:rPr>
          <w:b/>
          <w:bCs/>
          <w:sz w:val="28"/>
          <w:szCs w:val="28"/>
        </w:rPr>
      </w:pPr>
    </w:p>
    <w:p w:rsidR="00F80A8D" w:rsidRDefault="00F80A8D">
      <w:pPr>
        <w:pStyle w:val="BHLevel2"/>
        <w:spacing w:line="360" w:lineRule="auto"/>
        <w:rPr>
          <w:sz w:val="28"/>
          <w:szCs w:val="28"/>
        </w:rPr>
      </w:pPr>
      <w:bookmarkStart w:id="19" w:name="_Toc312841763"/>
      <w:r>
        <w:rPr>
          <w:sz w:val="28"/>
          <w:szCs w:val="28"/>
        </w:rPr>
        <w:t>Annual Title VI Certification and Assurance</w:t>
      </w:r>
      <w:bookmarkEnd w:id="19"/>
    </w:p>
    <w:p w:rsidR="00F80A8D" w:rsidRDefault="00F80A8D">
      <w:pPr>
        <w:rPr>
          <w:i/>
          <w:iCs/>
          <w:sz w:val="28"/>
        </w:rPr>
      </w:pPr>
      <w:r>
        <w:rPr>
          <w:b/>
          <w:sz w:val="28"/>
          <w:szCs w:val="28"/>
        </w:rPr>
        <w:t xml:space="preserve">Requirement: </w:t>
      </w:r>
      <w:r w:rsidR="00551518">
        <w:rPr>
          <w:b/>
          <w:sz w:val="28"/>
          <w:szCs w:val="28"/>
        </w:rPr>
        <w:t xml:space="preserve">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w:t>
      </w:r>
      <w:r w:rsidR="00551518">
        <w:rPr>
          <w:sz w:val="28"/>
          <w:szCs w:val="28"/>
        </w:rPr>
        <w:t xml:space="preserve"> </w:t>
      </w:r>
      <w:r w:rsidR="002458F6" w:rsidRPr="002458F6">
        <w:rPr>
          <w:sz w:val="28"/>
          <w:szCs w:val="28"/>
        </w:rPr>
        <w:t xml:space="preserve">During this Title VI Compliance Review of METRO, no deficiencies were found regarding METRO’s compliance with FTA requirements for Annual Title VI Certification and Assurance.  The FTA Civil Rights Assurance is incorporated in the Annual Certifications and Assurances submitted annually to FTA through the Transportation Electronic Award and Management (TEAM) system.  METRO executed its FY 2011 Annual Certifications and Assurances in </w:t>
      </w:r>
      <w:r w:rsidR="002458F6" w:rsidRPr="002458F6">
        <w:rPr>
          <w:sz w:val="28"/>
          <w:szCs w:val="28"/>
        </w:rPr>
        <w:lastRenderedPageBreak/>
        <w:t>TEAM on December 1, 2010.  METRO checked as applicable,</w:t>
      </w:r>
      <w:r w:rsidR="002458F6" w:rsidRPr="002458F6">
        <w:rPr>
          <w:b/>
          <w:sz w:val="28"/>
          <w:szCs w:val="28"/>
        </w:rPr>
        <w:t xml:space="preserve"> </w:t>
      </w:r>
      <w:r w:rsidR="002458F6" w:rsidRPr="002458F6">
        <w:rPr>
          <w:i/>
          <w:sz w:val="28"/>
          <w:szCs w:val="28"/>
        </w:rPr>
        <w:t>01. Certifications and Assurances required of all applicants</w:t>
      </w:r>
      <w:r w:rsidR="002458F6" w:rsidRPr="002458F6">
        <w:rPr>
          <w:sz w:val="28"/>
          <w:szCs w:val="28"/>
        </w:rPr>
        <w:t xml:space="preserve">.  This is the category where the nondiscrimination assurance is located.  </w:t>
      </w:r>
    </w:p>
    <w:p w:rsidR="006C2D53" w:rsidRDefault="006C2D53" w:rsidP="003353D0">
      <w:pPr>
        <w:spacing w:line="360" w:lineRule="auto"/>
        <w:rPr>
          <w:sz w:val="28"/>
          <w:szCs w:val="28"/>
        </w:rPr>
      </w:pPr>
    </w:p>
    <w:p w:rsidR="00F80A8D" w:rsidRDefault="00F80A8D" w:rsidP="00F045AF">
      <w:pPr>
        <w:pStyle w:val="BHLevel2"/>
        <w:spacing w:line="360" w:lineRule="auto"/>
        <w:rPr>
          <w:sz w:val="28"/>
          <w:szCs w:val="28"/>
        </w:rPr>
      </w:pPr>
      <w:bookmarkStart w:id="20" w:name="_Toc312841764"/>
      <w:r>
        <w:rPr>
          <w:sz w:val="28"/>
          <w:szCs w:val="28"/>
        </w:rPr>
        <w:t>Environmental Justice Analysis of Construction Projects</w:t>
      </w:r>
      <w:bookmarkEnd w:id="20"/>
    </w:p>
    <w:p w:rsidR="00F80A8D" w:rsidRDefault="00F80A8D">
      <w:pPr>
        <w:rPr>
          <w:i/>
          <w:iCs/>
          <w:sz w:val="28"/>
        </w:rPr>
      </w:pPr>
      <w:r>
        <w:rPr>
          <w:b/>
          <w:sz w:val="28"/>
          <w:szCs w:val="28"/>
        </w:rPr>
        <w:t xml:space="preserve">Guidance: </w:t>
      </w:r>
      <w:r w:rsidR="00551518">
        <w:rPr>
          <w:b/>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F80A8D" w:rsidRDefault="00F80A8D">
      <w:pPr>
        <w:spacing w:line="360" w:lineRule="auto"/>
        <w:rPr>
          <w:sz w:val="28"/>
          <w:szCs w:val="28"/>
        </w:rPr>
      </w:pPr>
    </w:p>
    <w:p w:rsidR="002458F6" w:rsidRPr="002458F6" w:rsidRDefault="00F80A8D" w:rsidP="002458F6">
      <w:pPr>
        <w:spacing w:line="360" w:lineRule="auto"/>
        <w:rPr>
          <w:sz w:val="28"/>
          <w:szCs w:val="28"/>
        </w:rPr>
      </w:pPr>
      <w:r>
        <w:rPr>
          <w:b/>
          <w:sz w:val="28"/>
          <w:szCs w:val="28"/>
        </w:rPr>
        <w:t>Findings:</w:t>
      </w:r>
      <w:r>
        <w:rPr>
          <w:sz w:val="28"/>
          <w:szCs w:val="28"/>
        </w:rPr>
        <w:t xml:space="preserve"> </w:t>
      </w:r>
      <w:r w:rsidR="00551518">
        <w:rPr>
          <w:sz w:val="28"/>
          <w:szCs w:val="28"/>
        </w:rPr>
        <w:t xml:space="preserve"> </w:t>
      </w:r>
      <w:r w:rsidR="002458F6" w:rsidRPr="002458F6">
        <w:rPr>
          <w:sz w:val="28"/>
          <w:szCs w:val="28"/>
        </w:rPr>
        <w:t>During this Title VI Compliance Review of METRO, an advisory comment was issued regarding METRO’s compliance with FTA guidance for Environmental Justice (EJ) Analyses of Construction Projects.  METRO did not have any construction projects</w:t>
      </w:r>
      <w:r w:rsidR="00A9313C">
        <w:rPr>
          <w:sz w:val="28"/>
          <w:szCs w:val="28"/>
        </w:rPr>
        <w:t xml:space="preserve"> in the past</w:t>
      </w:r>
      <w:r w:rsidR="003E78A5">
        <w:rPr>
          <w:sz w:val="28"/>
          <w:szCs w:val="28"/>
        </w:rPr>
        <w:t xml:space="preserve"> three years</w:t>
      </w:r>
      <w:r w:rsidR="002458F6" w:rsidRPr="002458F6">
        <w:rPr>
          <w:sz w:val="28"/>
          <w:szCs w:val="28"/>
        </w:rPr>
        <w:t xml:space="preserve">.  For METRO’s most recent construction project, </w:t>
      </w:r>
      <w:proofErr w:type="spellStart"/>
      <w:r w:rsidR="002458F6" w:rsidRPr="002458F6">
        <w:rPr>
          <w:i/>
          <w:sz w:val="28"/>
          <w:szCs w:val="28"/>
        </w:rPr>
        <w:t>MetroBase</w:t>
      </w:r>
      <w:proofErr w:type="spellEnd"/>
      <w:r w:rsidR="002458F6" w:rsidRPr="002458F6">
        <w:rPr>
          <w:i/>
          <w:sz w:val="28"/>
          <w:szCs w:val="28"/>
        </w:rPr>
        <w:t xml:space="preserve"> Project</w:t>
      </w:r>
      <w:r w:rsidR="00485289">
        <w:rPr>
          <w:i/>
          <w:sz w:val="28"/>
          <w:szCs w:val="28"/>
        </w:rPr>
        <w:t xml:space="preserve"> </w:t>
      </w:r>
      <w:r w:rsidR="00485289" w:rsidRPr="00DD5942">
        <w:rPr>
          <w:sz w:val="28"/>
          <w:szCs w:val="28"/>
        </w:rPr>
        <w:t>(2002)</w:t>
      </w:r>
      <w:r w:rsidR="002458F6" w:rsidRPr="002458F6">
        <w:rPr>
          <w:sz w:val="28"/>
          <w:szCs w:val="28"/>
        </w:rPr>
        <w:t>, FTA approved a Categorical Exclusion (CE), however</w:t>
      </w:r>
      <w:r w:rsidR="00485289">
        <w:rPr>
          <w:sz w:val="28"/>
          <w:szCs w:val="28"/>
        </w:rPr>
        <w:t>,</w:t>
      </w:r>
      <w:r w:rsidR="002458F6" w:rsidRPr="002458F6">
        <w:rPr>
          <w:sz w:val="28"/>
          <w:szCs w:val="28"/>
        </w:rPr>
        <w:t xml:space="preserve"> METRO was unaware of the need to, and did not, complete a FTA CE Checklist.  While the </w:t>
      </w:r>
      <w:proofErr w:type="spellStart"/>
      <w:r w:rsidR="002458F6" w:rsidRPr="002458F6">
        <w:rPr>
          <w:i/>
          <w:sz w:val="28"/>
          <w:szCs w:val="28"/>
        </w:rPr>
        <w:t>MetroBase</w:t>
      </w:r>
      <w:proofErr w:type="spellEnd"/>
      <w:r w:rsidR="002458F6" w:rsidRPr="002458F6">
        <w:rPr>
          <w:i/>
          <w:sz w:val="28"/>
          <w:szCs w:val="28"/>
        </w:rPr>
        <w:t xml:space="preserve"> Project</w:t>
      </w:r>
      <w:r w:rsidR="00A9313C">
        <w:rPr>
          <w:sz w:val="28"/>
          <w:szCs w:val="28"/>
        </w:rPr>
        <w:t xml:space="preserve"> qualified for a CE by </w:t>
      </w:r>
      <w:r w:rsidR="002458F6" w:rsidRPr="002458F6">
        <w:rPr>
          <w:sz w:val="28"/>
          <w:szCs w:val="28"/>
        </w:rPr>
        <w:t xml:space="preserve">FTA, METRO decided, in response to community </w:t>
      </w:r>
      <w:r w:rsidR="00792F89">
        <w:rPr>
          <w:sz w:val="28"/>
          <w:szCs w:val="28"/>
        </w:rPr>
        <w:t>feedback</w:t>
      </w:r>
      <w:r w:rsidR="002458F6" w:rsidRPr="002458F6">
        <w:rPr>
          <w:sz w:val="28"/>
          <w:szCs w:val="28"/>
        </w:rPr>
        <w:t xml:space="preserve">, to conduct an Environmental Impact Report (EIR) titled, </w:t>
      </w:r>
      <w:r w:rsidR="002458F6" w:rsidRPr="002458F6">
        <w:rPr>
          <w:i/>
          <w:sz w:val="28"/>
          <w:szCs w:val="28"/>
        </w:rPr>
        <w:t xml:space="preserve">Environmental Impact Report for the </w:t>
      </w:r>
      <w:proofErr w:type="spellStart"/>
      <w:r w:rsidR="002458F6" w:rsidRPr="002458F6">
        <w:rPr>
          <w:i/>
          <w:sz w:val="28"/>
          <w:szCs w:val="28"/>
        </w:rPr>
        <w:t>MetroBase</w:t>
      </w:r>
      <w:proofErr w:type="spellEnd"/>
      <w:r w:rsidR="002458F6" w:rsidRPr="002458F6">
        <w:rPr>
          <w:i/>
          <w:sz w:val="28"/>
          <w:szCs w:val="28"/>
        </w:rPr>
        <w:t xml:space="preserve"> Project SCH #2001042003</w:t>
      </w:r>
      <w:r w:rsidR="002458F6" w:rsidRPr="002458F6">
        <w:rPr>
          <w:sz w:val="28"/>
          <w:szCs w:val="28"/>
        </w:rPr>
        <w:t xml:space="preserve">, dated February 7, 2003.  This EIR did not contain a discussion of the project’s impacts on minority and low-income communities, as required by FTA Circular 4702.1A, IV, 8.  These requirements are </w:t>
      </w:r>
      <w:r w:rsidR="00DD5942">
        <w:rPr>
          <w:sz w:val="28"/>
          <w:szCs w:val="28"/>
        </w:rPr>
        <w:t>as follows</w:t>
      </w:r>
      <w:r w:rsidR="002458F6" w:rsidRPr="002458F6">
        <w:rPr>
          <w:sz w:val="28"/>
          <w:szCs w:val="28"/>
        </w:rPr>
        <w:t xml:space="preserve">: </w:t>
      </w:r>
    </w:p>
    <w:p w:rsidR="002458F6" w:rsidRPr="002458F6" w:rsidRDefault="002458F6" w:rsidP="002458F6">
      <w:pPr>
        <w:spacing w:line="360" w:lineRule="auto"/>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8"/>
      </w:tblGrid>
      <w:tr w:rsidR="002458F6" w:rsidRPr="002458F6" w:rsidTr="003B2BD2">
        <w:trPr>
          <w:tblHeader/>
          <w:jc w:val="center"/>
        </w:trPr>
        <w:tc>
          <w:tcPr>
            <w:tcW w:w="8478" w:type="dxa"/>
          </w:tcPr>
          <w:p w:rsidR="002458F6" w:rsidRPr="002458F6" w:rsidRDefault="002458F6" w:rsidP="002458F6">
            <w:pPr>
              <w:rPr>
                <w:b/>
                <w:bCs/>
                <w:sz w:val="24"/>
                <w:szCs w:val="28"/>
              </w:rPr>
            </w:pPr>
            <w:r w:rsidRPr="002458F6">
              <w:rPr>
                <w:b/>
                <w:bCs/>
                <w:sz w:val="28"/>
                <w:szCs w:val="28"/>
              </w:rPr>
              <w:lastRenderedPageBreak/>
              <w:br w:type="page"/>
            </w:r>
            <w:r w:rsidRPr="002458F6">
              <w:rPr>
                <w:b/>
                <w:bCs/>
                <w:sz w:val="24"/>
                <w:szCs w:val="28"/>
              </w:rPr>
              <w:t>Elements Required in Environmental Justice Analysis of Construction Projects</w:t>
            </w:r>
          </w:p>
          <w:p w:rsidR="002458F6" w:rsidRPr="002458F6" w:rsidRDefault="002458F6" w:rsidP="002458F6">
            <w:pPr>
              <w:rPr>
                <w:b/>
                <w:bCs/>
                <w:sz w:val="22"/>
                <w:szCs w:val="28"/>
              </w:rPr>
            </w:pPr>
            <w:r w:rsidRPr="002458F6">
              <w:rPr>
                <w:b/>
                <w:bCs/>
                <w:sz w:val="22"/>
                <w:szCs w:val="28"/>
              </w:rPr>
              <w:t>(Per FTA Circular 4702.1A Chapter IV, 8a-f)</w:t>
            </w:r>
          </w:p>
        </w:tc>
      </w:tr>
      <w:tr w:rsidR="002458F6" w:rsidRPr="002458F6" w:rsidTr="003B2BD2">
        <w:trPr>
          <w:jc w:val="center"/>
        </w:trPr>
        <w:tc>
          <w:tcPr>
            <w:tcW w:w="8478" w:type="dxa"/>
          </w:tcPr>
          <w:p w:rsidR="002458F6" w:rsidRPr="002458F6" w:rsidRDefault="002458F6" w:rsidP="00150F0E">
            <w:pPr>
              <w:numPr>
                <w:ilvl w:val="0"/>
                <w:numId w:val="9"/>
              </w:numPr>
              <w:rPr>
                <w:sz w:val="22"/>
                <w:szCs w:val="22"/>
              </w:rPr>
            </w:pPr>
            <w:r w:rsidRPr="002458F6">
              <w:rPr>
                <w:sz w:val="22"/>
                <w:szCs w:val="22"/>
              </w:rPr>
              <w:t>A description of the low-income and minority population within the study area affected by the project, and a discussion of the method used to identify this population</w:t>
            </w:r>
          </w:p>
        </w:tc>
      </w:tr>
      <w:tr w:rsidR="002458F6" w:rsidRPr="002458F6" w:rsidTr="003B2BD2">
        <w:trPr>
          <w:trHeight w:val="845"/>
          <w:jc w:val="center"/>
        </w:trPr>
        <w:tc>
          <w:tcPr>
            <w:tcW w:w="8478" w:type="dxa"/>
          </w:tcPr>
          <w:p w:rsidR="002458F6" w:rsidRPr="002458F6" w:rsidRDefault="002458F6" w:rsidP="00150F0E">
            <w:pPr>
              <w:numPr>
                <w:ilvl w:val="0"/>
                <w:numId w:val="9"/>
              </w:numPr>
              <w:rPr>
                <w:sz w:val="22"/>
                <w:szCs w:val="28"/>
              </w:rPr>
            </w:pPr>
            <w:r w:rsidRPr="002458F6">
              <w:rPr>
                <w:sz w:val="24"/>
              </w:rPr>
              <w:t>A discussion of all adverse effects of the project both during and after construction that would affect the identified minority and low-income population.</w:t>
            </w:r>
          </w:p>
        </w:tc>
      </w:tr>
      <w:tr w:rsidR="002458F6" w:rsidRPr="002458F6" w:rsidTr="003B2BD2">
        <w:trPr>
          <w:jc w:val="center"/>
        </w:trPr>
        <w:tc>
          <w:tcPr>
            <w:tcW w:w="8478" w:type="dxa"/>
          </w:tcPr>
          <w:p w:rsidR="002458F6" w:rsidRPr="002458F6" w:rsidRDefault="002458F6" w:rsidP="00150F0E">
            <w:pPr>
              <w:numPr>
                <w:ilvl w:val="0"/>
                <w:numId w:val="9"/>
              </w:numPr>
              <w:rPr>
                <w:sz w:val="22"/>
                <w:szCs w:val="22"/>
              </w:rPr>
            </w:pPr>
            <w:r w:rsidRPr="002458F6">
              <w:rPr>
                <w:sz w:val="22"/>
                <w:szCs w:val="22"/>
              </w:rPr>
              <w:t>A discussion of all positive effects that would affect the identified minority and low-income population, such as an improvement in transit service, mobility, or accessibility.</w:t>
            </w:r>
          </w:p>
        </w:tc>
      </w:tr>
      <w:tr w:rsidR="002458F6" w:rsidRPr="002458F6" w:rsidTr="003B2BD2">
        <w:trPr>
          <w:jc w:val="center"/>
        </w:trPr>
        <w:tc>
          <w:tcPr>
            <w:tcW w:w="8478" w:type="dxa"/>
          </w:tcPr>
          <w:p w:rsidR="002458F6" w:rsidRPr="002458F6" w:rsidRDefault="002458F6" w:rsidP="00150F0E">
            <w:pPr>
              <w:numPr>
                <w:ilvl w:val="0"/>
                <w:numId w:val="9"/>
              </w:numPr>
              <w:rPr>
                <w:sz w:val="22"/>
                <w:szCs w:val="22"/>
              </w:rPr>
            </w:pPr>
            <w:r w:rsidRPr="002458F6">
              <w:rPr>
                <w:sz w:val="22"/>
                <w:szCs w:val="22"/>
              </w:rPr>
              <w:t>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w:t>
            </w:r>
          </w:p>
        </w:tc>
      </w:tr>
      <w:tr w:rsidR="002458F6" w:rsidRPr="002458F6" w:rsidTr="003B2BD2">
        <w:trPr>
          <w:jc w:val="center"/>
        </w:trPr>
        <w:tc>
          <w:tcPr>
            <w:tcW w:w="8478" w:type="dxa"/>
          </w:tcPr>
          <w:p w:rsidR="002458F6" w:rsidRPr="002458F6" w:rsidRDefault="002458F6" w:rsidP="00150F0E">
            <w:pPr>
              <w:numPr>
                <w:ilvl w:val="0"/>
                <w:numId w:val="9"/>
              </w:numPr>
              <w:rPr>
                <w:sz w:val="22"/>
                <w:szCs w:val="22"/>
              </w:rPr>
            </w:pPr>
            <w:r w:rsidRPr="002458F6">
              <w:rPr>
                <w:sz w:val="22"/>
                <w:szCs w:val="22"/>
              </w:rPr>
              <w:t>A discussion of the remaining effects, if any, and why further mitigation is not proposed.</w:t>
            </w:r>
          </w:p>
        </w:tc>
      </w:tr>
      <w:tr w:rsidR="002458F6" w:rsidRPr="002458F6" w:rsidTr="003B2BD2">
        <w:trPr>
          <w:jc w:val="center"/>
        </w:trPr>
        <w:tc>
          <w:tcPr>
            <w:tcW w:w="8478" w:type="dxa"/>
          </w:tcPr>
          <w:p w:rsidR="002458F6" w:rsidRPr="002458F6" w:rsidRDefault="002458F6" w:rsidP="00150F0E">
            <w:pPr>
              <w:numPr>
                <w:ilvl w:val="0"/>
                <w:numId w:val="9"/>
              </w:numPr>
              <w:rPr>
                <w:sz w:val="22"/>
                <w:szCs w:val="22"/>
              </w:rPr>
            </w:pPr>
            <w:r w:rsidRPr="002458F6">
              <w:rPr>
                <w:sz w:val="22"/>
                <w:szCs w:val="22"/>
              </w:rPr>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r>
    </w:tbl>
    <w:p w:rsidR="002458F6" w:rsidRPr="002458F6" w:rsidRDefault="002458F6" w:rsidP="002458F6">
      <w:pPr>
        <w:spacing w:line="360" w:lineRule="auto"/>
        <w:rPr>
          <w:sz w:val="28"/>
          <w:szCs w:val="28"/>
        </w:rPr>
      </w:pPr>
    </w:p>
    <w:p w:rsidR="002458F6" w:rsidRPr="002458F6" w:rsidRDefault="002458F6" w:rsidP="002458F6">
      <w:pPr>
        <w:spacing w:line="360" w:lineRule="auto"/>
        <w:rPr>
          <w:sz w:val="28"/>
          <w:szCs w:val="28"/>
        </w:rPr>
      </w:pPr>
      <w:r w:rsidRPr="002458F6">
        <w:rPr>
          <w:sz w:val="28"/>
          <w:szCs w:val="28"/>
        </w:rPr>
        <w:t xml:space="preserve">For all future construction projects, METRO was advised to complete a CE </w:t>
      </w:r>
      <w:r w:rsidR="00485289">
        <w:rPr>
          <w:sz w:val="28"/>
          <w:szCs w:val="28"/>
        </w:rPr>
        <w:t>c</w:t>
      </w:r>
      <w:r w:rsidRPr="002458F6">
        <w:rPr>
          <w:sz w:val="28"/>
          <w:szCs w:val="28"/>
        </w:rPr>
        <w:t>hecklist or include all elements listed in the table above in its Environmental Assessments and</w:t>
      </w:r>
      <w:r w:rsidR="003E78A5">
        <w:rPr>
          <w:sz w:val="28"/>
          <w:szCs w:val="28"/>
        </w:rPr>
        <w:t>/</w:t>
      </w:r>
      <w:r w:rsidR="003E78A5" w:rsidRPr="003E78A5">
        <w:rPr>
          <w:sz w:val="28"/>
          <w:szCs w:val="28"/>
        </w:rPr>
        <w:t>or Environmental Impact Statement</w:t>
      </w:r>
      <w:r w:rsidR="003E78A5">
        <w:rPr>
          <w:sz w:val="28"/>
          <w:szCs w:val="28"/>
        </w:rPr>
        <w:t>s</w:t>
      </w:r>
      <w:r w:rsidR="003E78A5" w:rsidRPr="003E78A5">
        <w:rPr>
          <w:sz w:val="28"/>
          <w:szCs w:val="28"/>
        </w:rPr>
        <w:t>/Report</w:t>
      </w:r>
      <w:r w:rsidRPr="002458F6">
        <w:rPr>
          <w:sz w:val="28"/>
          <w:szCs w:val="28"/>
        </w:rPr>
        <w:t>s, as required by the Circular.</w:t>
      </w:r>
    </w:p>
    <w:p w:rsidR="00F80A8D" w:rsidRDefault="00F80A8D" w:rsidP="002458F6">
      <w:pPr>
        <w:spacing w:line="360" w:lineRule="auto"/>
        <w:rPr>
          <w:sz w:val="28"/>
          <w:szCs w:val="28"/>
        </w:rPr>
      </w:pPr>
    </w:p>
    <w:p w:rsidR="00F80A8D" w:rsidRDefault="00F80A8D" w:rsidP="00F045AF">
      <w:pPr>
        <w:pStyle w:val="BHLevel2"/>
        <w:spacing w:line="360" w:lineRule="auto"/>
        <w:rPr>
          <w:sz w:val="28"/>
          <w:szCs w:val="28"/>
        </w:rPr>
      </w:pPr>
      <w:bookmarkStart w:id="21" w:name="_Toc312841765"/>
      <w:r>
        <w:rPr>
          <w:sz w:val="28"/>
          <w:szCs w:val="28"/>
        </w:rPr>
        <w:t>Submit Title VI Program</w:t>
      </w:r>
      <w:bookmarkEnd w:id="21"/>
    </w:p>
    <w:p w:rsidR="00F80A8D" w:rsidRDefault="00F80A8D">
      <w:pPr>
        <w:rPr>
          <w:i/>
          <w:iCs/>
          <w:sz w:val="28"/>
          <w:szCs w:val="28"/>
        </w:rPr>
      </w:pPr>
      <w:r>
        <w:rPr>
          <w:b/>
          <w:sz w:val="28"/>
          <w:szCs w:val="28"/>
        </w:rPr>
        <w:t xml:space="preserve">Requirement: </w:t>
      </w:r>
      <w:r w:rsidR="00551518">
        <w:rPr>
          <w:b/>
          <w:sz w:val="28"/>
          <w:szCs w:val="28"/>
        </w:rPr>
        <w:t xml:space="preserve"> </w:t>
      </w:r>
      <w:r>
        <w:rPr>
          <w:i/>
          <w:iCs/>
          <w:sz w:val="28"/>
          <w:szCs w:val="28"/>
        </w:rPr>
        <w:t xml:space="preserve">FTA recipients </w:t>
      </w:r>
      <w:r w:rsidR="002C4E6D">
        <w:rPr>
          <w:i/>
          <w:iCs/>
          <w:sz w:val="28"/>
          <w:szCs w:val="28"/>
        </w:rPr>
        <w:t xml:space="preserve">that are State Departments of Transportation or Other Administrating Agency </w:t>
      </w:r>
      <w:r>
        <w:rPr>
          <w:i/>
          <w:iCs/>
          <w:sz w:val="28"/>
          <w:szCs w:val="28"/>
        </w:rPr>
        <w:t>are required to document their compliance with the general reporting requirements by submitting a Title VI Program to FTA’s Regional Civil Rights Officer once every three years.</w:t>
      </w:r>
    </w:p>
    <w:p w:rsidR="00F80A8D" w:rsidRDefault="00F80A8D">
      <w:pPr>
        <w:spacing w:line="360" w:lineRule="auto"/>
        <w:rPr>
          <w:sz w:val="28"/>
          <w:szCs w:val="28"/>
        </w:rPr>
      </w:pPr>
    </w:p>
    <w:p w:rsidR="005163DF" w:rsidRPr="005163DF" w:rsidRDefault="00F80A8D" w:rsidP="005163DF">
      <w:pPr>
        <w:spacing w:line="360" w:lineRule="auto"/>
        <w:rPr>
          <w:sz w:val="28"/>
          <w:szCs w:val="28"/>
          <w:highlight w:val="yellow"/>
        </w:rPr>
      </w:pPr>
      <w:r>
        <w:rPr>
          <w:b/>
          <w:sz w:val="28"/>
          <w:szCs w:val="28"/>
        </w:rPr>
        <w:t>Findings:</w:t>
      </w:r>
      <w:r>
        <w:rPr>
          <w:sz w:val="28"/>
          <w:szCs w:val="28"/>
        </w:rPr>
        <w:t xml:space="preserve"> </w:t>
      </w:r>
      <w:r w:rsidR="002C51A5">
        <w:rPr>
          <w:sz w:val="28"/>
          <w:szCs w:val="28"/>
        </w:rPr>
        <w:t xml:space="preserve"> </w:t>
      </w:r>
      <w:r w:rsidR="005163DF" w:rsidRPr="005163DF">
        <w:rPr>
          <w:sz w:val="28"/>
          <w:szCs w:val="28"/>
        </w:rPr>
        <w:t xml:space="preserve">During this Title VI Compliance Review of METRO, an advisory comment was issued regarding METRO’s compliance with FTA requirements to </w:t>
      </w:r>
      <w:r w:rsidR="005163DF" w:rsidRPr="005163DF">
        <w:rPr>
          <w:sz w:val="28"/>
          <w:szCs w:val="28"/>
        </w:rPr>
        <w:lastRenderedPageBreak/>
        <w:t xml:space="preserve">Submit Title VI Program.  Prior to the site visit, METRO’s most recent </w:t>
      </w:r>
      <w:r w:rsidR="005163DF" w:rsidRPr="005163DF">
        <w:rPr>
          <w:i/>
          <w:sz w:val="28"/>
          <w:szCs w:val="28"/>
        </w:rPr>
        <w:t>Title VI Compliance Update 2010</w:t>
      </w:r>
      <w:r w:rsidR="005163DF" w:rsidRPr="005163DF">
        <w:rPr>
          <w:sz w:val="28"/>
          <w:szCs w:val="28"/>
        </w:rPr>
        <w:t xml:space="preserve"> included three of the five elements required by FTA Circular 4702.1A, IV, 7, as described in the following table:</w:t>
      </w:r>
    </w:p>
    <w:p w:rsidR="005163DF" w:rsidRPr="005163DF" w:rsidRDefault="005163DF" w:rsidP="005163DF">
      <w:pPr>
        <w:spacing w:line="360" w:lineRule="auto"/>
        <w:rPr>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88"/>
        <w:gridCol w:w="1818"/>
      </w:tblGrid>
      <w:tr w:rsidR="005163DF" w:rsidRPr="005163DF" w:rsidTr="003B2BD2">
        <w:trPr>
          <w:cantSplit/>
          <w:tblHeader/>
        </w:trPr>
        <w:tc>
          <w:tcPr>
            <w:tcW w:w="9306" w:type="dxa"/>
            <w:gridSpan w:val="2"/>
          </w:tcPr>
          <w:p w:rsidR="005163DF" w:rsidRPr="005163DF" w:rsidRDefault="005163DF" w:rsidP="005163DF">
            <w:pPr>
              <w:jc w:val="center"/>
              <w:rPr>
                <w:b/>
                <w:sz w:val="22"/>
                <w:szCs w:val="28"/>
              </w:rPr>
            </w:pPr>
            <w:r w:rsidRPr="005163DF">
              <w:rPr>
                <w:b/>
                <w:sz w:val="24"/>
                <w:szCs w:val="28"/>
              </w:rPr>
              <w:t>ELEMENTS REQUIRED FOR TITLE VI PROGRAM</w:t>
            </w:r>
          </w:p>
        </w:tc>
      </w:tr>
      <w:tr w:rsidR="005163DF" w:rsidRPr="005163DF" w:rsidTr="003B2BD2">
        <w:trPr>
          <w:cantSplit/>
          <w:tblHeader/>
        </w:trPr>
        <w:tc>
          <w:tcPr>
            <w:tcW w:w="7488" w:type="dxa"/>
          </w:tcPr>
          <w:p w:rsidR="005163DF" w:rsidRPr="005163DF" w:rsidRDefault="005163DF" w:rsidP="00D27416">
            <w:r w:rsidRPr="005163DF">
              <w:rPr>
                <w:b/>
                <w:iCs/>
                <w:caps/>
                <w:sz w:val="24"/>
                <w:szCs w:val="24"/>
              </w:rPr>
              <w:t xml:space="preserve">GENERAL REQUIREMENTS </w:t>
            </w:r>
            <w:r w:rsidRPr="005163DF">
              <w:rPr>
                <w:b/>
                <w:bCs/>
                <w:sz w:val="24"/>
                <w:szCs w:val="28"/>
              </w:rPr>
              <w:t>(Per FTA C. 4702.1A, IV, 7. a. (1) – (5))</w:t>
            </w:r>
          </w:p>
        </w:tc>
        <w:tc>
          <w:tcPr>
            <w:tcW w:w="1818" w:type="dxa"/>
          </w:tcPr>
          <w:p w:rsidR="005163DF" w:rsidRPr="005163DF" w:rsidRDefault="005163DF" w:rsidP="005163DF">
            <w:pPr>
              <w:jc w:val="center"/>
              <w:rPr>
                <w:b/>
                <w:sz w:val="22"/>
                <w:szCs w:val="28"/>
              </w:rPr>
            </w:pPr>
            <w:r w:rsidRPr="005163DF">
              <w:rPr>
                <w:b/>
                <w:sz w:val="22"/>
                <w:szCs w:val="28"/>
              </w:rPr>
              <w:t>In METRO’s Title VI Program Submittal?</w:t>
            </w:r>
          </w:p>
        </w:tc>
      </w:tr>
      <w:tr w:rsidR="005163DF" w:rsidRPr="005163DF" w:rsidTr="003B2BD2">
        <w:trPr>
          <w:cantSplit/>
        </w:trPr>
        <w:tc>
          <w:tcPr>
            <w:tcW w:w="7488" w:type="dxa"/>
          </w:tcPr>
          <w:p w:rsidR="005163DF" w:rsidRPr="005163DF" w:rsidRDefault="005163DF" w:rsidP="00150F0E">
            <w:pPr>
              <w:numPr>
                <w:ilvl w:val="0"/>
                <w:numId w:val="20"/>
              </w:numPr>
              <w:rPr>
                <w:sz w:val="22"/>
                <w:szCs w:val="22"/>
              </w:rPr>
            </w:pPr>
            <w:r w:rsidRPr="005163DF">
              <w:rPr>
                <w:sz w:val="22"/>
                <w:szCs w:val="22"/>
              </w:rP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5163DF" w:rsidRPr="005163DF" w:rsidRDefault="005163DF" w:rsidP="005163DF">
            <w:pPr>
              <w:jc w:val="center"/>
              <w:rPr>
                <w:sz w:val="22"/>
                <w:szCs w:val="28"/>
              </w:rPr>
            </w:pPr>
            <w:r w:rsidRPr="005163DF">
              <w:rPr>
                <w:sz w:val="22"/>
                <w:szCs w:val="28"/>
              </w:rPr>
              <w:t>No</w:t>
            </w:r>
          </w:p>
        </w:tc>
      </w:tr>
      <w:tr w:rsidR="005163DF" w:rsidRPr="005163DF" w:rsidTr="003B2BD2">
        <w:trPr>
          <w:cantSplit/>
        </w:trPr>
        <w:tc>
          <w:tcPr>
            <w:tcW w:w="7488" w:type="dxa"/>
          </w:tcPr>
          <w:p w:rsidR="005163DF" w:rsidRPr="005163DF" w:rsidRDefault="005163DF" w:rsidP="00150F0E">
            <w:pPr>
              <w:numPr>
                <w:ilvl w:val="0"/>
                <w:numId w:val="20"/>
              </w:numPr>
              <w:rPr>
                <w:sz w:val="22"/>
                <w:szCs w:val="22"/>
              </w:rPr>
            </w:pPr>
            <w:r w:rsidRPr="005163DF">
              <w:rPr>
                <w:sz w:val="22"/>
                <w:szCs w:val="22"/>
              </w:rP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5163DF" w:rsidRPr="005163DF" w:rsidRDefault="005163DF" w:rsidP="005163DF">
            <w:pPr>
              <w:jc w:val="center"/>
              <w:rPr>
                <w:sz w:val="22"/>
                <w:szCs w:val="28"/>
              </w:rPr>
            </w:pPr>
            <w:r w:rsidRPr="005163DF">
              <w:rPr>
                <w:sz w:val="22"/>
                <w:szCs w:val="28"/>
              </w:rPr>
              <w:t>No</w:t>
            </w:r>
          </w:p>
        </w:tc>
      </w:tr>
      <w:tr w:rsidR="005163DF" w:rsidRPr="005163DF" w:rsidTr="003B2BD2">
        <w:trPr>
          <w:cantSplit/>
        </w:trPr>
        <w:tc>
          <w:tcPr>
            <w:tcW w:w="7488" w:type="dxa"/>
          </w:tcPr>
          <w:p w:rsidR="005163DF" w:rsidRPr="005163DF" w:rsidRDefault="005163DF" w:rsidP="00150F0E">
            <w:pPr>
              <w:numPr>
                <w:ilvl w:val="0"/>
                <w:numId w:val="20"/>
              </w:numPr>
              <w:rPr>
                <w:sz w:val="22"/>
                <w:szCs w:val="22"/>
              </w:rPr>
            </w:pPr>
            <w:r w:rsidRPr="005163DF">
              <w:rPr>
                <w:sz w:val="22"/>
                <w:szCs w:val="22"/>
              </w:rPr>
              <w:t>A copy of the agency procedures for tracking and investigating Title VI complaints.</w:t>
            </w:r>
          </w:p>
        </w:tc>
        <w:tc>
          <w:tcPr>
            <w:tcW w:w="1818" w:type="dxa"/>
            <w:vAlign w:val="center"/>
          </w:tcPr>
          <w:p w:rsidR="005163DF" w:rsidRPr="005163DF" w:rsidRDefault="005163DF" w:rsidP="005163DF">
            <w:pPr>
              <w:jc w:val="center"/>
              <w:rPr>
                <w:sz w:val="22"/>
                <w:szCs w:val="28"/>
              </w:rPr>
            </w:pPr>
            <w:r w:rsidRPr="005163DF">
              <w:rPr>
                <w:sz w:val="22"/>
                <w:szCs w:val="28"/>
              </w:rPr>
              <w:t>Yes</w:t>
            </w:r>
          </w:p>
        </w:tc>
      </w:tr>
      <w:tr w:rsidR="005163DF" w:rsidRPr="005163DF" w:rsidTr="003B2BD2">
        <w:trPr>
          <w:cantSplit/>
        </w:trPr>
        <w:tc>
          <w:tcPr>
            <w:tcW w:w="7488" w:type="dxa"/>
          </w:tcPr>
          <w:p w:rsidR="005163DF" w:rsidRPr="005163DF" w:rsidRDefault="005163DF" w:rsidP="00150F0E">
            <w:pPr>
              <w:numPr>
                <w:ilvl w:val="0"/>
                <w:numId w:val="20"/>
              </w:numPr>
              <w:rPr>
                <w:sz w:val="22"/>
                <w:szCs w:val="22"/>
              </w:rPr>
            </w:pPr>
            <w:r w:rsidRPr="005163DF">
              <w:rPr>
                <w:sz w:val="22"/>
                <w:szCs w:val="22"/>
              </w:rP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5163DF" w:rsidRPr="005163DF" w:rsidRDefault="005163DF" w:rsidP="005163DF">
            <w:pPr>
              <w:jc w:val="center"/>
              <w:rPr>
                <w:sz w:val="22"/>
                <w:szCs w:val="28"/>
              </w:rPr>
            </w:pPr>
            <w:r w:rsidRPr="005163DF">
              <w:rPr>
                <w:sz w:val="22"/>
                <w:szCs w:val="28"/>
              </w:rPr>
              <w:t>Yes</w:t>
            </w:r>
          </w:p>
        </w:tc>
      </w:tr>
      <w:tr w:rsidR="005163DF" w:rsidRPr="005163DF" w:rsidTr="003B2BD2">
        <w:trPr>
          <w:cantSplit/>
        </w:trPr>
        <w:tc>
          <w:tcPr>
            <w:tcW w:w="7488" w:type="dxa"/>
          </w:tcPr>
          <w:p w:rsidR="005163DF" w:rsidRPr="005163DF" w:rsidRDefault="005163DF" w:rsidP="00150F0E">
            <w:pPr>
              <w:numPr>
                <w:ilvl w:val="0"/>
                <w:numId w:val="20"/>
              </w:numPr>
              <w:rPr>
                <w:sz w:val="22"/>
                <w:szCs w:val="22"/>
              </w:rPr>
            </w:pPr>
            <w:r w:rsidRPr="005163DF">
              <w:rPr>
                <w:sz w:val="22"/>
                <w:szCs w:val="22"/>
              </w:rPr>
              <w:t>A copy of the agency’s notice to the public that it complies with Title VI and instructions to the public on how to file a discrimination complaint.</w:t>
            </w:r>
          </w:p>
        </w:tc>
        <w:tc>
          <w:tcPr>
            <w:tcW w:w="1818" w:type="dxa"/>
            <w:vAlign w:val="center"/>
          </w:tcPr>
          <w:p w:rsidR="005163DF" w:rsidRPr="005163DF" w:rsidRDefault="005163DF" w:rsidP="005163DF">
            <w:pPr>
              <w:jc w:val="center"/>
              <w:rPr>
                <w:sz w:val="22"/>
                <w:szCs w:val="28"/>
              </w:rPr>
            </w:pPr>
            <w:r w:rsidRPr="005163DF">
              <w:rPr>
                <w:sz w:val="22"/>
                <w:szCs w:val="28"/>
              </w:rPr>
              <w:t>Yes</w:t>
            </w:r>
          </w:p>
        </w:tc>
      </w:tr>
    </w:tbl>
    <w:p w:rsidR="005163DF" w:rsidRPr="005163DF" w:rsidRDefault="005163DF" w:rsidP="005163DF">
      <w:pPr>
        <w:spacing w:line="360" w:lineRule="auto"/>
        <w:rPr>
          <w:sz w:val="28"/>
          <w:szCs w:val="28"/>
        </w:rPr>
      </w:pPr>
    </w:p>
    <w:p w:rsidR="005163DF" w:rsidRPr="005163DF" w:rsidRDefault="005163DF" w:rsidP="005163DF">
      <w:pPr>
        <w:spacing w:line="360" w:lineRule="auto"/>
        <w:rPr>
          <w:sz w:val="28"/>
          <w:szCs w:val="28"/>
        </w:rPr>
      </w:pPr>
      <w:r w:rsidRPr="005163DF">
        <w:rPr>
          <w:sz w:val="28"/>
          <w:szCs w:val="28"/>
        </w:rPr>
        <w:t xml:space="preserve">METRO did have a section in its </w:t>
      </w:r>
      <w:r w:rsidRPr="005163DF">
        <w:rPr>
          <w:i/>
          <w:sz w:val="28"/>
          <w:szCs w:val="28"/>
        </w:rPr>
        <w:t>Title VI Compliance Update 2010</w:t>
      </w:r>
      <w:r w:rsidRPr="005163DF">
        <w:rPr>
          <w:sz w:val="28"/>
          <w:szCs w:val="28"/>
        </w:rPr>
        <w:t xml:space="preserve"> for LEP, which consisted of an acknowledgement of what is required in a four-factor analysis, but did not include its </w:t>
      </w:r>
      <w:r w:rsidR="00B76830">
        <w:rPr>
          <w:sz w:val="28"/>
          <w:szCs w:val="28"/>
        </w:rPr>
        <w:t xml:space="preserve">completed </w:t>
      </w:r>
      <w:r w:rsidR="00816E4D">
        <w:rPr>
          <w:sz w:val="28"/>
          <w:szCs w:val="28"/>
        </w:rPr>
        <w:t>four-factor analysis or</w:t>
      </w:r>
      <w:r w:rsidRPr="005163DF">
        <w:rPr>
          <w:sz w:val="28"/>
          <w:szCs w:val="28"/>
        </w:rPr>
        <w:t xml:space="preserve"> LAP</w:t>
      </w:r>
      <w:r w:rsidR="00B76830">
        <w:rPr>
          <w:sz w:val="28"/>
          <w:szCs w:val="28"/>
        </w:rPr>
        <w:t>.</w:t>
      </w:r>
    </w:p>
    <w:p w:rsidR="005163DF" w:rsidRPr="005163DF" w:rsidRDefault="005163DF" w:rsidP="005163DF">
      <w:pPr>
        <w:spacing w:line="360" w:lineRule="auto"/>
        <w:rPr>
          <w:sz w:val="28"/>
          <w:szCs w:val="28"/>
        </w:rPr>
      </w:pPr>
    </w:p>
    <w:p w:rsidR="005163DF" w:rsidRDefault="005163DF" w:rsidP="005163DF">
      <w:pPr>
        <w:spacing w:line="360" w:lineRule="auto"/>
        <w:rPr>
          <w:sz w:val="28"/>
          <w:szCs w:val="28"/>
        </w:rPr>
      </w:pPr>
      <w:r w:rsidRPr="005163DF">
        <w:rPr>
          <w:sz w:val="28"/>
          <w:szCs w:val="28"/>
        </w:rPr>
        <w:t xml:space="preserve">METRO’s </w:t>
      </w:r>
      <w:r w:rsidRPr="005163DF">
        <w:rPr>
          <w:i/>
          <w:sz w:val="28"/>
          <w:szCs w:val="28"/>
        </w:rPr>
        <w:t xml:space="preserve">Title VI Compliance Update 2010 </w:t>
      </w:r>
      <w:r w:rsidRPr="005163DF">
        <w:rPr>
          <w:sz w:val="28"/>
          <w:szCs w:val="28"/>
        </w:rPr>
        <w:t>did not include a summary of public outreach and involvement activities</w:t>
      </w:r>
      <w:r w:rsidR="003E78A5">
        <w:rPr>
          <w:sz w:val="28"/>
          <w:szCs w:val="28"/>
        </w:rPr>
        <w:t>;</w:t>
      </w:r>
      <w:r w:rsidRPr="005163DF">
        <w:rPr>
          <w:sz w:val="28"/>
          <w:szCs w:val="28"/>
        </w:rPr>
        <w:t xml:space="preserve"> however, prior to the site visit, METRO provided documentation confirming outreach to minority and low-income communities per FTA Circular 4702.1A, IV, 9.  In addition, METRO’s </w:t>
      </w:r>
      <w:r w:rsidRPr="005163DF">
        <w:rPr>
          <w:i/>
          <w:sz w:val="28"/>
          <w:szCs w:val="28"/>
        </w:rPr>
        <w:t>Title VI Compliance Update 2010</w:t>
      </w:r>
      <w:r w:rsidRPr="005163DF">
        <w:rPr>
          <w:sz w:val="28"/>
          <w:szCs w:val="28"/>
        </w:rPr>
        <w:t xml:space="preserve"> included information required in the previous FTA Circular, 4702.1 that is no longer required in the current Circular, 4702.1A.  </w:t>
      </w:r>
      <w:r w:rsidRPr="005163DF">
        <w:rPr>
          <w:sz w:val="28"/>
          <w:szCs w:val="28"/>
        </w:rPr>
        <w:lastRenderedPageBreak/>
        <w:t>METRO was advised to develop its next Title VI Submittal per FTA Circular 4702.1A, which includes providing documentation confirming outreach to minority and low-income communities.</w:t>
      </w:r>
    </w:p>
    <w:p w:rsidR="00044C33" w:rsidRDefault="00044C33" w:rsidP="005163DF">
      <w:pPr>
        <w:spacing w:line="360" w:lineRule="auto"/>
        <w:rPr>
          <w:sz w:val="28"/>
          <w:szCs w:val="28"/>
        </w:rPr>
      </w:pPr>
    </w:p>
    <w:p w:rsidR="00AE0D11" w:rsidRDefault="00044C33" w:rsidP="005163DF">
      <w:pPr>
        <w:spacing w:line="360" w:lineRule="auto"/>
        <w:rPr>
          <w:sz w:val="28"/>
          <w:szCs w:val="28"/>
        </w:rPr>
      </w:pPr>
      <w:r>
        <w:rPr>
          <w:sz w:val="28"/>
          <w:szCs w:val="28"/>
        </w:rPr>
        <w:t xml:space="preserve">In its response to the Draft report in a letter dated December 21, 2011, METRO indicated that it is compiling a summary of all public outreach efforts since it’s February 2010 Title VI Program Submittal.  </w:t>
      </w:r>
      <w:r w:rsidR="00CF14F9">
        <w:rPr>
          <w:sz w:val="28"/>
          <w:szCs w:val="28"/>
        </w:rPr>
        <w:t xml:space="preserve">Once this summary is completed METRO will submit it to the </w:t>
      </w:r>
      <w:r w:rsidR="00CF14F9" w:rsidRPr="00CF14F9">
        <w:rPr>
          <w:sz w:val="28"/>
          <w:szCs w:val="28"/>
        </w:rPr>
        <w:t>FTA Region IX Civil Rights Officer as an update to its February 2010 Title VI Program Submittal</w:t>
      </w:r>
      <w:r w:rsidR="00CF14F9">
        <w:rPr>
          <w:sz w:val="28"/>
          <w:szCs w:val="28"/>
        </w:rPr>
        <w:t>.</w:t>
      </w:r>
    </w:p>
    <w:p w:rsidR="00AE0D11" w:rsidRDefault="00AE0D11">
      <w:pPr>
        <w:rPr>
          <w:sz w:val="28"/>
          <w:szCs w:val="28"/>
        </w:rPr>
      </w:pPr>
      <w:r>
        <w:rPr>
          <w:sz w:val="28"/>
          <w:szCs w:val="28"/>
        </w:rPr>
        <w:br w:type="page"/>
      </w:r>
    </w:p>
    <w:p w:rsidR="002C51A5" w:rsidRDefault="00CA6D99" w:rsidP="002C51A5">
      <w:pPr>
        <w:spacing w:line="360" w:lineRule="auto"/>
        <w:rPr>
          <w:b/>
          <w:sz w:val="28"/>
          <w:szCs w:val="28"/>
        </w:rPr>
      </w:pPr>
      <w:r w:rsidRPr="00CA6D99">
        <w:rPr>
          <w:b/>
          <w:sz w:val="28"/>
          <w:szCs w:val="28"/>
        </w:rPr>
        <w:lastRenderedPageBreak/>
        <w:t xml:space="preserve">TECHNICAL ASSISTANCE </w:t>
      </w:r>
      <w:bookmarkStart w:id="22" w:name="_Toc201633550"/>
      <w:bookmarkStart w:id="23" w:name="_Toc285197775"/>
    </w:p>
    <w:p w:rsidR="002C51A5" w:rsidRDefault="002C51A5" w:rsidP="002C51A5">
      <w:pPr>
        <w:pStyle w:val="BHLevel2"/>
        <w:rPr>
          <w:sz w:val="28"/>
          <w:szCs w:val="28"/>
        </w:rPr>
      </w:pPr>
      <w:bookmarkStart w:id="24" w:name="_Toc201633552"/>
      <w:bookmarkStart w:id="25" w:name="_Toc312841766"/>
      <w:bookmarkEnd w:id="22"/>
      <w:bookmarkEnd w:id="23"/>
      <w:r>
        <w:rPr>
          <w:sz w:val="28"/>
          <w:szCs w:val="28"/>
        </w:rPr>
        <w:t>Evaluation of Service and Fare Changes</w:t>
      </w:r>
      <w:bookmarkEnd w:id="24"/>
      <w:bookmarkEnd w:id="25"/>
    </w:p>
    <w:p w:rsidR="002C51A5" w:rsidRDefault="002C51A5" w:rsidP="002C51A5">
      <w:pPr>
        <w:pStyle w:val="BodyTextIndent2"/>
        <w:ind w:firstLine="0"/>
        <w:rPr>
          <w:rFonts w:cs="Arial"/>
          <w:i/>
          <w:iCs/>
          <w:spacing w:val="4"/>
        </w:rPr>
      </w:pPr>
      <w:r>
        <w:rPr>
          <w:b/>
          <w:sz w:val="28"/>
          <w:szCs w:val="28"/>
        </w:rPr>
        <w:t xml:space="preserve">Requirement:  </w:t>
      </w:r>
      <w:r>
        <w:rPr>
          <w:bCs/>
          <w:i/>
          <w:iCs/>
          <w:sz w:val="28"/>
          <w:szCs w:val="28"/>
        </w:rPr>
        <w:t xml:space="preserve">FTA </w:t>
      </w:r>
      <w:r>
        <w:rPr>
          <w:bCs/>
          <w:i/>
          <w:iCs/>
          <w:sz w:val="28"/>
        </w:rPr>
        <w:t xml:space="preserve">recipients shall </w:t>
      </w:r>
      <w:r>
        <w:rPr>
          <w:rFonts w:cs="Arial"/>
          <w:bCs/>
          <w:i/>
          <w:iCs/>
          <w:spacing w:val="4"/>
          <w:sz w:val="28"/>
        </w:rPr>
        <w:t>evaluate significant system-wide service and fare changes and proposed improvements at the planning and programming stages to determine whether those changes have a discriminatory impact.  For service changes, this requirement applies to “major service changes” only.  Recipients should have established guidelines or thresholds for what it considers a “major” change.</w:t>
      </w:r>
    </w:p>
    <w:p w:rsidR="002C51A5" w:rsidRDefault="002C51A5" w:rsidP="002C51A5">
      <w:pPr>
        <w:spacing w:line="360" w:lineRule="auto"/>
        <w:rPr>
          <w:sz w:val="28"/>
          <w:szCs w:val="28"/>
        </w:rPr>
      </w:pPr>
    </w:p>
    <w:p w:rsidR="00D27416" w:rsidRPr="00D27416" w:rsidRDefault="00D27416" w:rsidP="00D27416">
      <w:pPr>
        <w:spacing w:line="360" w:lineRule="auto"/>
        <w:rPr>
          <w:sz w:val="28"/>
          <w:szCs w:val="28"/>
        </w:rPr>
      </w:pPr>
      <w:r w:rsidRPr="00D27416">
        <w:rPr>
          <w:sz w:val="28"/>
          <w:szCs w:val="28"/>
        </w:rPr>
        <w:t xml:space="preserve">With respect to the </w:t>
      </w:r>
      <w:r w:rsidR="000F1C7F">
        <w:rPr>
          <w:sz w:val="28"/>
          <w:szCs w:val="28"/>
        </w:rPr>
        <w:t xml:space="preserve">program-specific </w:t>
      </w:r>
      <w:r w:rsidRPr="00D27416">
        <w:rPr>
          <w:sz w:val="28"/>
          <w:szCs w:val="28"/>
        </w:rPr>
        <w:t>reporting requirements in FTA Circular 4702.1A, METRO</w:t>
      </w:r>
      <w:r w:rsidR="00F268E0">
        <w:rPr>
          <w:sz w:val="28"/>
          <w:szCs w:val="28"/>
        </w:rPr>
        <w:t xml:space="preserve"> </w:t>
      </w:r>
      <w:r w:rsidRPr="00D27416">
        <w:rPr>
          <w:sz w:val="28"/>
          <w:szCs w:val="28"/>
        </w:rPr>
        <w:t xml:space="preserve">is </w:t>
      </w:r>
      <w:r w:rsidR="00F268E0">
        <w:rPr>
          <w:sz w:val="28"/>
          <w:szCs w:val="28"/>
        </w:rPr>
        <w:t xml:space="preserve">not </w:t>
      </w:r>
      <w:r w:rsidRPr="00D27416">
        <w:rPr>
          <w:sz w:val="28"/>
          <w:szCs w:val="28"/>
        </w:rPr>
        <w:t xml:space="preserve">considered a </w:t>
      </w:r>
      <w:r w:rsidR="00F268E0">
        <w:rPr>
          <w:sz w:val="28"/>
          <w:szCs w:val="28"/>
        </w:rPr>
        <w:t>large</w:t>
      </w:r>
      <w:r w:rsidRPr="00D27416">
        <w:rPr>
          <w:sz w:val="28"/>
          <w:szCs w:val="28"/>
        </w:rPr>
        <w:t xml:space="preserve">-urban operator based on the aggregate population of the four incorporated urbanized areas in METRO’s service area.  As such, METRO is not required to report to the FTA its activities related to </w:t>
      </w:r>
      <w:r w:rsidR="00096508">
        <w:rPr>
          <w:sz w:val="28"/>
          <w:szCs w:val="28"/>
        </w:rPr>
        <w:t>E</w:t>
      </w:r>
      <w:r w:rsidRPr="00D27416">
        <w:rPr>
          <w:sz w:val="28"/>
          <w:szCs w:val="28"/>
        </w:rPr>
        <w:t xml:space="preserve">valuations of </w:t>
      </w:r>
      <w:r w:rsidR="00096508">
        <w:rPr>
          <w:sz w:val="28"/>
          <w:szCs w:val="28"/>
        </w:rPr>
        <w:t>S</w:t>
      </w:r>
      <w:r w:rsidRPr="00D27416">
        <w:rPr>
          <w:sz w:val="28"/>
          <w:szCs w:val="28"/>
        </w:rPr>
        <w:t xml:space="preserve">ervice and </w:t>
      </w:r>
      <w:r w:rsidR="00096508">
        <w:rPr>
          <w:sz w:val="28"/>
          <w:szCs w:val="28"/>
        </w:rPr>
        <w:t>F</w:t>
      </w:r>
      <w:r w:rsidRPr="00D27416">
        <w:rPr>
          <w:sz w:val="28"/>
          <w:szCs w:val="28"/>
        </w:rPr>
        <w:t xml:space="preserve">are </w:t>
      </w:r>
      <w:r w:rsidR="005A6C65">
        <w:rPr>
          <w:sz w:val="28"/>
          <w:szCs w:val="28"/>
        </w:rPr>
        <w:t>C</w:t>
      </w:r>
      <w:r w:rsidRPr="00D27416">
        <w:rPr>
          <w:sz w:val="28"/>
          <w:szCs w:val="28"/>
        </w:rPr>
        <w:t>hanges.  Nevertheless, per FTA Circular 4702.1A, METRO is required to ensure that its programs, services, and decisions are made without regard to race, color, or national origin, and that decisions impacting its services do not have a disparate impact on minorities and low-income persons.  Consistent with this requirement is the need for METRO to consider the impact changes to its service and fares have on minorities and low-income persons to ensure that these protected groups are not impacted disproportionately by its decisions.</w:t>
      </w:r>
      <w:r w:rsidR="00CA6D99">
        <w:rPr>
          <w:sz w:val="28"/>
          <w:szCs w:val="28"/>
        </w:rPr>
        <w:t xml:space="preserve">  </w:t>
      </w:r>
    </w:p>
    <w:p w:rsidR="00D27416" w:rsidRPr="00D27416" w:rsidRDefault="00D27416" w:rsidP="00D27416">
      <w:pPr>
        <w:spacing w:line="360" w:lineRule="auto"/>
        <w:rPr>
          <w:sz w:val="28"/>
          <w:szCs w:val="28"/>
        </w:rPr>
      </w:pPr>
    </w:p>
    <w:p w:rsidR="00D27416" w:rsidRPr="00D27416" w:rsidRDefault="00D27416" w:rsidP="00D27416">
      <w:pPr>
        <w:spacing w:line="360" w:lineRule="auto"/>
        <w:rPr>
          <w:sz w:val="28"/>
          <w:szCs w:val="28"/>
        </w:rPr>
      </w:pPr>
      <w:r w:rsidRPr="00D27416">
        <w:rPr>
          <w:sz w:val="28"/>
          <w:szCs w:val="28"/>
        </w:rPr>
        <w:t>During the site visit, it was confirmed that METRO sufficiently analyzed the impact of service and fare ch</w:t>
      </w:r>
      <w:r w:rsidR="0084726A">
        <w:rPr>
          <w:sz w:val="28"/>
          <w:szCs w:val="28"/>
        </w:rPr>
        <w:t>anges on its riders and attempted</w:t>
      </w:r>
      <w:r w:rsidRPr="00D27416">
        <w:rPr>
          <w:sz w:val="28"/>
          <w:szCs w:val="28"/>
        </w:rPr>
        <w:t xml:space="preserve"> to mitigate all adverse effects.  With respect to service changes, METRO produce</w:t>
      </w:r>
      <w:r w:rsidR="00846313">
        <w:rPr>
          <w:sz w:val="28"/>
          <w:szCs w:val="28"/>
        </w:rPr>
        <w:t>d</w:t>
      </w:r>
      <w:r w:rsidRPr="00D27416">
        <w:rPr>
          <w:sz w:val="28"/>
          <w:szCs w:val="28"/>
        </w:rPr>
        <w:t xml:space="preserve"> maps of the routes proposed for a change, and produce</w:t>
      </w:r>
      <w:r w:rsidR="00846313">
        <w:rPr>
          <w:sz w:val="28"/>
          <w:szCs w:val="28"/>
        </w:rPr>
        <w:t>d</w:t>
      </w:r>
      <w:r w:rsidRPr="00D27416">
        <w:rPr>
          <w:sz w:val="28"/>
          <w:szCs w:val="28"/>
        </w:rPr>
        <w:t xml:space="preserve"> a summary of impacts and related mitigation efforts when evaluating servi</w:t>
      </w:r>
      <w:r w:rsidR="0084726A">
        <w:rPr>
          <w:sz w:val="28"/>
          <w:szCs w:val="28"/>
        </w:rPr>
        <w:t>ce changes.  METRO also produced</w:t>
      </w:r>
      <w:r w:rsidRPr="00D27416">
        <w:rPr>
          <w:sz w:val="28"/>
          <w:szCs w:val="28"/>
        </w:rPr>
        <w:t xml:space="preserve"> </w:t>
      </w:r>
      <w:r w:rsidR="0084726A">
        <w:rPr>
          <w:sz w:val="28"/>
          <w:szCs w:val="28"/>
        </w:rPr>
        <w:t xml:space="preserve">separate </w:t>
      </w:r>
      <w:r w:rsidRPr="00D27416">
        <w:rPr>
          <w:sz w:val="28"/>
          <w:szCs w:val="28"/>
        </w:rPr>
        <w:t>demographic maps of its service area that identif</w:t>
      </w:r>
      <w:r w:rsidR="00846313">
        <w:rPr>
          <w:sz w:val="28"/>
          <w:szCs w:val="28"/>
        </w:rPr>
        <w:t>ied</w:t>
      </w:r>
      <w:r w:rsidRPr="00D27416">
        <w:rPr>
          <w:sz w:val="28"/>
          <w:szCs w:val="28"/>
        </w:rPr>
        <w:t xml:space="preserve"> minority and low-</w:t>
      </w:r>
      <w:r w:rsidRPr="00D27416">
        <w:rPr>
          <w:sz w:val="28"/>
          <w:szCs w:val="28"/>
        </w:rPr>
        <w:lastRenderedPageBreak/>
        <w:t xml:space="preserve">income populations.  For future service change evaluations, it </w:t>
      </w:r>
      <w:r w:rsidR="00846313">
        <w:rPr>
          <w:sz w:val="28"/>
          <w:szCs w:val="28"/>
        </w:rPr>
        <w:t>was</w:t>
      </w:r>
      <w:r w:rsidR="00846313" w:rsidRPr="00D27416">
        <w:rPr>
          <w:sz w:val="28"/>
          <w:szCs w:val="28"/>
        </w:rPr>
        <w:t xml:space="preserve"> </w:t>
      </w:r>
      <w:r w:rsidRPr="00D27416">
        <w:rPr>
          <w:sz w:val="28"/>
          <w:szCs w:val="28"/>
        </w:rPr>
        <w:t xml:space="preserve">recommended that METRO create a map that identifies its proposed route changes and also shows where its minority and low-income populations are to visually determine if </w:t>
      </w:r>
      <w:r w:rsidR="00846313">
        <w:rPr>
          <w:sz w:val="28"/>
          <w:szCs w:val="28"/>
        </w:rPr>
        <w:t>the</w:t>
      </w:r>
      <w:r w:rsidRPr="00D27416">
        <w:rPr>
          <w:sz w:val="28"/>
          <w:szCs w:val="28"/>
        </w:rPr>
        <w:t xml:space="preserve"> proposed</w:t>
      </w:r>
      <w:r w:rsidR="00846313">
        <w:rPr>
          <w:sz w:val="28"/>
          <w:szCs w:val="28"/>
        </w:rPr>
        <w:t xml:space="preserve"> change</w:t>
      </w:r>
      <w:r w:rsidRPr="00D27416">
        <w:rPr>
          <w:sz w:val="28"/>
          <w:szCs w:val="28"/>
        </w:rPr>
        <w:t xml:space="preserve"> has a disparate impact on minorities and low-income persons.  It is also recommended that for its summary of impacts and related mitigation efforts, METRO should </w:t>
      </w:r>
      <w:r w:rsidR="0084726A">
        <w:rPr>
          <w:sz w:val="28"/>
          <w:szCs w:val="28"/>
        </w:rPr>
        <w:t xml:space="preserve">specifically </w:t>
      </w:r>
      <w:r w:rsidRPr="00D27416">
        <w:rPr>
          <w:sz w:val="28"/>
          <w:szCs w:val="28"/>
        </w:rPr>
        <w:t xml:space="preserve">include an analysis of the impacts on minorities and low-income </w:t>
      </w:r>
      <w:r w:rsidR="0084726A">
        <w:rPr>
          <w:sz w:val="28"/>
          <w:szCs w:val="28"/>
        </w:rPr>
        <w:t>persons</w:t>
      </w:r>
      <w:r w:rsidRPr="00D27416">
        <w:rPr>
          <w:sz w:val="28"/>
          <w:szCs w:val="28"/>
        </w:rPr>
        <w:t>.</w:t>
      </w:r>
    </w:p>
    <w:p w:rsidR="00D27416" w:rsidRPr="00D27416" w:rsidRDefault="00D27416" w:rsidP="00D27416">
      <w:pPr>
        <w:spacing w:line="360" w:lineRule="auto"/>
        <w:rPr>
          <w:sz w:val="28"/>
          <w:szCs w:val="28"/>
        </w:rPr>
      </w:pPr>
    </w:p>
    <w:p w:rsidR="00D27416" w:rsidRPr="00D27416" w:rsidRDefault="00D27416" w:rsidP="00D27416">
      <w:pPr>
        <w:spacing w:line="360" w:lineRule="auto"/>
        <w:rPr>
          <w:sz w:val="28"/>
          <w:szCs w:val="28"/>
        </w:rPr>
      </w:pPr>
      <w:r w:rsidRPr="00D27416">
        <w:rPr>
          <w:sz w:val="28"/>
          <w:szCs w:val="28"/>
        </w:rPr>
        <w:t xml:space="preserve">With respect to fare changes, it </w:t>
      </w:r>
      <w:r w:rsidR="00846313">
        <w:rPr>
          <w:sz w:val="28"/>
          <w:szCs w:val="28"/>
        </w:rPr>
        <w:t>was</w:t>
      </w:r>
      <w:r w:rsidR="00846313" w:rsidRPr="00D27416">
        <w:rPr>
          <w:sz w:val="28"/>
          <w:szCs w:val="28"/>
        </w:rPr>
        <w:t xml:space="preserve"> </w:t>
      </w:r>
      <w:r w:rsidRPr="00D27416">
        <w:rPr>
          <w:sz w:val="28"/>
          <w:szCs w:val="28"/>
        </w:rPr>
        <w:t xml:space="preserve">recommended that METRO develop a procedure for considering the impacts of fare changes on minority and low-income populations.  In a 2003 study conducted by the University of California, Santa Cruz (UCSC) titled, </w:t>
      </w:r>
      <w:r w:rsidRPr="00D27416">
        <w:rPr>
          <w:i/>
          <w:sz w:val="28"/>
          <w:szCs w:val="28"/>
        </w:rPr>
        <w:t>Technical Memorandum #2:  UCSC Comprehensive Transit Study Survey Results and Transit Results Draft Report</w:t>
      </w:r>
      <w:r w:rsidRPr="00D27416">
        <w:rPr>
          <w:sz w:val="28"/>
          <w:szCs w:val="28"/>
        </w:rPr>
        <w:t>, it was pointed out that discounts associated with monthly, pre-paid passes had an unintended disparate impact on low-income persons who were more likely to pay on a per trip basis.  As a result, METRO indicated that it changed its fare policy to include a compar</w:t>
      </w:r>
      <w:r w:rsidR="004B1545">
        <w:rPr>
          <w:sz w:val="28"/>
          <w:szCs w:val="28"/>
        </w:rPr>
        <w:t>able discount on per trip fares to mitigate the disparity.</w:t>
      </w:r>
    </w:p>
    <w:p w:rsidR="00D27416" w:rsidRPr="00D27416" w:rsidRDefault="00D27416" w:rsidP="00D27416">
      <w:pPr>
        <w:spacing w:line="360" w:lineRule="auto"/>
        <w:rPr>
          <w:sz w:val="28"/>
          <w:szCs w:val="28"/>
        </w:rPr>
      </w:pPr>
    </w:p>
    <w:p w:rsidR="00D27416" w:rsidRPr="00D27416" w:rsidRDefault="00D27416" w:rsidP="00D27416">
      <w:pPr>
        <w:spacing w:line="360" w:lineRule="auto"/>
        <w:rPr>
          <w:sz w:val="28"/>
          <w:szCs w:val="28"/>
        </w:rPr>
      </w:pPr>
      <w:r w:rsidRPr="00D27416">
        <w:rPr>
          <w:sz w:val="28"/>
          <w:szCs w:val="28"/>
        </w:rPr>
        <w:t xml:space="preserve">In the future, it is recommended that METRO reference </w:t>
      </w:r>
      <w:r w:rsidR="000F1C7F">
        <w:rPr>
          <w:sz w:val="28"/>
          <w:szCs w:val="28"/>
        </w:rPr>
        <w:t xml:space="preserve">the following requirements in FTA Circular 4702.1A, V, 4 </w:t>
      </w:r>
      <w:r w:rsidRPr="00D27416">
        <w:rPr>
          <w:sz w:val="28"/>
          <w:szCs w:val="28"/>
        </w:rPr>
        <w:t>when developing procedures for conducting equity evaluations for fare changes during the planning phase:</w:t>
      </w:r>
      <w:r w:rsidR="000F1C7F">
        <w:rPr>
          <w:sz w:val="28"/>
          <w:szCs w:val="28"/>
        </w:rPr>
        <w:t xml:space="preserve">  </w:t>
      </w:r>
    </w:p>
    <w:p w:rsidR="00D27416" w:rsidRPr="00D27416" w:rsidRDefault="00D27416" w:rsidP="00D27416">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6"/>
      </w:tblGrid>
      <w:tr w:rsidR="00D27416" w:rsidRPr="00D27416" w:rsidTr="003B2BD2">
        <w:trPr>
          <w:cantSplit/>
          <w:trHeight w:val="828"/>
          <w:tblHeader/>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540AE7">
            <w:pPr>
              <w:rPr>
                <w:b/>
                <w:bCs/>
                <w:sz w:val="24"/>
                <w:szCs w:val="28"/>
              </w:rPr>
            </w:pPr>
            <w:r w:rsidRPr="00D27416">
              <w:rPr>
                <w:sz w:val="28"/>
                <w:szCs w:val="28"/>
              </w:rPr>
              <w:br w:type="page"/>
            </w:r>
            <w:r w:rsidRPr="00D27416">
              <w:rPr>
                <w:b/>
                <w:bCs/>
                <w:sz w:val="24"/>
                <w:szCs w:val="28"/>
              </w:rPr>
              <w:t>ELEMENTS REQUIRED FOR EVALUATION OF SERVICE AND FARE CHANGES (PER FTA C. 4702.1A, V, 4.)</w:t>
            </w:r>
          </w:p>
        </w:tc>
      </w:tr>
      <w:tr w:rsidR="00D27416" w:rsidRPr="00D27416" w:rsidTr="003B2BD2">
        <w:trPr>
          <w:cantSplit/>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150F0E">
            <w:pPr>
              <w:numPr>
                <w:ilvl w:val="0"/>
                <w:numId w:val="13"/>
              </w:numPr>
              <w:rPr>
                <w:sz w:val="22"/>
                <w:szCs w:val="28"/>
              </w:rPr>
            </w:pPr>
            <w:r w:rsidRPr="00D27416">
              <w:rPr>
                <w:sz w:val="22"/>
                <w:szCs w:val="28"/>
              </w:rPr>
              <w:t>ASSESS THE EFFECTS OF THE PROPOSED FARE OR SERVICE CHANGE ON MINORITY AND LOW-INCOME POPULATIONS.</w:t>
            </w:r>
          </w:p>
        </w:tc>
      </w:tr>
      <w:tr w:rsidR="00D27416" w:rsidRPr="00D27416" w:rsidTr="003B2BD2">
        <w:trPr>
          <w:cantSplit/>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9F42D6">
            <w:pPr>
              <w:ind w:left="1980" w:hanging="1620"/>
              <w:rPr>
                <w:i/>
                <w:sz w:val="22"/>
                <w:szCs w:val="28"/>
              </w:rPr>
            </w:pPr>
            <w:r w:rsidRPr="00D27416">
              <w:rPr>
                <w:i/>
                <w:sz w:val="22"/>
                <w:szCs w:val="28"/>
                <w:u w:val="single"/>
              </w:rPr>
              <w:t>Route changes</w:t>
            </w:r>
            <w:r w:rsidRPr="00D27416">
              <w:rPr>
                <w:i/>
                <w:sz w:val="22"/>
                <w:szCs w:val="28"/>
              </w:rPr>
              <w:t xml:space="preserve"> – </w:t>
            </w:r>
            <w:r w:rsidR="009F42D6">
              <w:rPr>
                <w:i/>
                <w:sz w:val="22"/>
                <w:szCs w:val="28"/>
              </w:rPr>
              <w:t xml:space="preserve"> P</w:t>
            </w:r>
            <w:r w:rsidRPr="00D27416">
              <w:rPr>
                <w:i/>
                <w:sz w:val="22"/>
                <w:szCs w:val="28"/>
              </w:rPr>
              <w:t>roduce maps of service changes overlaid on a demographic map of the service area</w:t>
            </w:r>
          </w:p>
        </w:tc>
      </w:tr>
      <w:tr w:rsidR="00D27416" w:rsidRPr="00D27416" w:rsidTr="003B2BD2">
        <w:trPr>
          <w:cantSplit/>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D27416">
            <w:pPr>
              <w:ind w:left="1980" w:hanging="1620"/>
              <w:rPr>
                <w:i/>
                <w:sz w:val="22"/>
                <w:szCs w:val="28"/>
              </w:rPr>
            </w:pPr>
            <w:r w:rsidRPr="00D27416">
              <w:rPr>
                <w:i/>
                <w:sz w:val="22"/>
                <w:szCs w:val="28"/>
                <w:u w:val="single"/>
              </w:rPr>
              <w:lastRenderedPageBreak/>
              <w:t>Span of service</w:t>
            </w:r>
            <w:r w:rsidRPr="00D27416">
              <w:rPr>
                <w:i/>
                <w:sz w:val="22"/>
                <w:szCs w:val="28"/>
              </w:rPr>
              <w:t xml:space="preserve"> – Analyze available data from surveys that indicate whether minority and low-income riders are more likely to be impacted</w:t>
            </w:r>
          </w:p>
        </w:tc>
      </w:tr>
      <w:tr w:rsidR="00D27416" w:rsidRPr="00D27416" w:rsidTr="003B2BD2">
        <w:trPr>
          <w:cantSplit/>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D27416">
            <w:pPr>
              <w:ind w:left="1980" w:hanging="1620"/>
              <w:rPr>
                <w:i/>
                <w:sz w:val="22"/>
                <w:szCs w:val="28"/>
              </w:rPr>
            </w:pPr>
            <w:r w:rsidRPr="00D27416">
              <w:rPr>
                <w:i/>
                <w:sz w:val="22"/>
                <w:szCs w:val="28"/>
                <w:u w:val="single"/>
              </w:rPr>
              <w:t>Fare changes</w:t>
            </w:r>
            <w:r w:rsidRPr="00D27416">
              <w:rPr>
                <w:i/>
                <w:sz w:val="22"/>
                <w:szCs w:val="28"/>
              </w:rPr>
              <w:t xml:space="preserve"> – </w:t>
            </w:r>
            <w:r w:rsidR="009F42D6">
              <w:rPr>
                <w:i/>
                <w:sz w:val="22"/>
                <w:szCs w:val="28"/>
              </w:rPr>
              <w:t xml:space="preserve">  </w:t>
            </w:r>
            <w:r w:rsidRPr="00D27416">
              <w:rPr>
                <w:i/>
                <w:sz w:val="22"/>
                <w:szCs w:val="28"/>
              </w:rPr>
              <w:t>Analyze available data from surveys that indicate whether minority and low-income riders are more likely to be impacted</w:t>
            </w:r>
          </w:p>
        </w:tc>
      </w:tr>
      <w:tr w:rsidR="00D27416" w:rsidRPr="00D27416" w:rsidTr="003B2BD2">
        <w:trPr>
          <w:cantSplit/>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150F0E">
            <w:pPr>
              <w:numPr>
                <w:ilvl w:val="0"/>
                <w:numId w:val="13"/>
              </w:numPr>
              <w:rPr>
                <w:sz w:val="22"/>
                <w:szCs w:val="28"/>
              </w:rPr>
            </w:pPr>
            <w:r w:rsidRPr="00D27416">
              <w:rPr>
                <w:sz w:val="22"/>
                <w:szCs w:val="28"/>
              </w:rPr>
              <w:t>ASSESS THE ALTERNATIVES AVAILABLE FOR PEOPLE AFFECTED BY THE FARE INCREASE OF MAJOR SERVICE CHANGE.</w:t>
            </w:r>
          </w:p>
        </w:tc>
      </w:tr>
      <w:tr w:rsidR="00D27416" w:rsidRPr="00D27416" w:rsidTr="003B2BD2">
        <w:trPr>
          <w:cantSplit/>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D27416">
            <w:pPr>
              <w:ind w:left="1980" w:hanging="1620"/>
              <w:rPr>
                <w:i/>
                <w:sz w:val="22"/>
                <w:szCs w:val="28"/>
              </w:rPr>
            </w:pPr>
            <w:r w:rsidRPr="00D27416">
              <w:rPr>
                <w:i/>
                <w:sz w:val="22"/>
                <w:szCs w:val="28"/>
                <w:u w:val="single"/>
              </w:rPr>
              <w:t>Service changes</w:t>
            </w:r>
            <w:r w:rsidRPr="00D27416">
              <w:rPr>
                <w:i/>
                <w:sz w:val="22"/>
                <w:szCs w:val="28"/>
              </w:rPr>
              <w:t xml:space="preserve"> – Analyze what, if any, modes of transit are available for people affected by the service expansion or reduction.  Analysis should compare travel time and costs to the rider of the alternatives.</w:t>
            </w:r>
          </w:p>
        </w:tc>
      </w:tr>
      <w:tr w:rsidR="00D27416" w:rsidRPr="00D27416" w:rsidTr="003B2BD2">
        <w:trPr>
          <w:cantSplit/>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D27416">
            <w:pPr>
              <w:ind w:left="1980" w:hanging="1620"/>
              <w:rPr>
                <w:i/>
                <w:sz w:val="22"/>
                <w:szCs w:val="28"/>
              </w:rPr>
            </w:pPr>
            <w:r w:rsidRPr="00D27416">
              <w:rPr>
                <w:i/>
                <w:sz w:val="22"/>
                <w:szCs w:val="28"/>
                <w:u w:val="single"/>
              </w:rPr>
              <w:t>Fare changes</w:t>
            </w:r>
            <w:r w:rsidRPr="00D27416">
              <w:rPr>
                <w:i/>
                <w:sz w:val="22"/>
                <w:szCs w:val="28"/>
              </w:rPr>
              <w:t xml:space="preserve"> – </w:t>
            </w:r>
            <w:r w:rsidR="009F42D6">
              <w:rPr>
                <w:i/>
                <w:sz w:val="22"/>
                <w:szCs w:val="28"/>
              </w:rPr>
              <w:t xml:space="preserve">  </w:t>
            </w:r>
            <w:r w:rsidRPr="00D27416">
              <w:rPr>
                <w:i/>
                <w:sz w:val="22"/>
                <w:szCs w:val="28"/>
              </w:rPr>
              <w:t>Analyze what, if any, alternative transit modes, fare payment types or fare payment media are available for people affected by the fare change.  Analysis should compare fares paid under the change with fares that would be paid through available alternatives.</w:t>
            </w:r>
          </w:p>
        </w:tc>
      </w:tr>
      <w:tr w:rsidR="00D27416" w:rsidRPr="00D27416" w:rsidTr="003B2BD2">
        <w:trPr>
          <w:cantSplit/>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150F0E">
            <w:pPr>
              <w:numPr>
                <w:ilvl w:val="0"/>
                <w:numId w:val="13"/>
              </w:numPr>
              <w:rPr>
                <w:sz w:val="22"/>
                <w:szCs w:val="28"/>
              </w:rPr>
            </w:pPr>
            <w:r w:rsidRPr="00D27416">
              <w:rPr>
                <w:sz w:val="22"/>
                <w:szCs w:val="28"/>
              </w:rPr>
              <w:t>DESCRIBE ACTIONS THE AGENCY PROPOSES TO MINIMIZE, MITIGATE, OR OFFSET ANY ADVERSE EFFECTS OF CHANGES ON MINORITY AND LOW-INCOME POPULATIONS.</w:t>
            </w:r>
          </w:p>
        </w:tc>
      </w:tr>
      <w:tr w:rsidR="00D27416" w:rsidRPr="00D27416" w:rsidTr="003B2BD2">
        <w:trPr>
          <w:cantSplit/>
        </w:trPr>
        <w:tc>
          <w:tcPr>
            <w:tcW w:w="9306" w:type="dxa"/>
            <w:tcBorders>
              <w:top w:val="single" w:sz="4" w:space="0" w:color="000000"/>
              <w:left w:val="single" w:sz="4" w:space="0" w:color="000000"/>
              <w:bottom w:val="single" w:sz="4" w:space="0" w:color="000000"/>
              <w:right w:val="single" w:sz="4" w:space="0" w:color="000000"/>
            </w:tcBorders>
            <w:hideMark/>
          </w:tcPr>
          <w:p w:rsidR="00D27416" w:rsidRPr="00D27416" w:rsidRDefault="00D27416" w:rsidP="00150F0E">
            <w:pPr>
              <w:numPr>
                <w:ilvl w:val="0"/>
                <w:numId w:val="13"/>
              </w:numPr>
              <w:rPr>
                <w:sz w:val="22"/>
                <w:szCs w:val="28"/>
              </w:rPr>
            </w:pPr>
            <w:r w:rsidRPr="00D27416">
              <w:rPr>
                <w:sz w:val="22"/>
                <w:szCs w:val="28"/>
              </w:rPr>
              <w:t>DETERMINE ANY DISPROPORTIONATELY HIGH AND ADVERSE EFFECTS ON MINORITY AND LOW-INCOME RIDERS.  IF ANY, DESCRIBE THAT ALTERNATIVES WOULD HAVE MORE SEVERE ADVERSE EFFECTS THAN THE PREFERRED ALTERNATIVE</w:t>
            </w:r>
          </w:p>
        </w:tc>
      </w:tr>
    </w:tbl>
    <w:p w:rsidR="00D27416" w:rsidRPr="00D27416" w:rsidRDefault="00D27416" w:rsidP="00D27416">
      <w:pPr>
        <w:spacing w:line="360" w:lineRule="auto"/>
        <w:rPr>
          <w:sz w:val="28"/>
          <w:szCs w:val="28"/>
        </w:rPr>
      </w:pPr>
    </w:p>
    <w:p w:rsidR="00D27416" w:rsidRPr="00D27416" w:rsidRDefault="00D27416" w:rsidP="00D27416">
      <w:pPr>
        <w:spacing w:line="360" w:lineRule="auto"/>
        <w:rPr>
          <w:sz w:val="28"/>
          <w:szCs w:val="28"/>
        </w:rPr>
      </w:pPr>
      <w:r w:rsidRPr="00D27416">
        <w:rPr>
          <w:sz w:val="28"/>
          <w:szCs w:val="28"/>
        </w:rPr>
        <w:t xml:space="preserve">During the site visit, METRO acknowledged the need to specifically consider impacts on minorities and low-income persons when considering and implementing service and fare changes. </w:t>
      </w:r>
    </w:p>
    <w:p w:rsidR="002C51A5" w:rsidRDefault="002C51A5" w:rsidP="00D27416">
      <w:pPr>
        <w:spacing w:line="360" w:lineRule="auto"/>
        <w:rPr>
          <w:sz w:val="28"/>
          <w:szCs w:val="28"/>
        </w:rPr>
      </w:pPr>
    </w:p>
    <w:p w:rsidR="002C51A5" w:rsidRDefault="002C51A5" w:rsidP="002C51A5">
      <w:pPr>
        <w:pStyle w:val="BHLevel2"/>
        <w:rPr>
          <w:sz w:val="28"/>
          <w:szCs w:val="28"/>
        </w:rPr>
      </w:pPr>
      <w:bookmarkStart w:id="26" w:name="_Toc312841767"/>
      <w:r>
        <w:rPr>
          <w:sz w:val="28"/>
          <w:szCs w:val="28"/>
        </w:rPr>
        <w:t>Monitoring Transit Service</w:t>
      </w:r>
      <w:bookmarkEnd w:id="26"/>
    </w:p>
    <w:p w:rsidR="002C51A5" w:rsidRDefault="002C51A5" w:rsidP="002C51A5"/>
    <w:p w:rsidR="002C51A5" w:rsidRDefault="002C51A5" w:rsidP="002C51A5">
      <w:pPr>
        <w:pStyle w:val="BodyTextIndent2"/>
        <w:ind w:firstLine="0"/>
        <w:rPr>
          <w:bCs/>
          <w:i/>
          <w:iCs/>
          <w:caps/>
          <w:sz w:val="28"/>
        </w:rPr>
      </w:pPr>
      <w:r>
        <w:rPr>
          <w:b/>
          <w:sz w:val="28"/>
          <w:szCs w:val="28"/>
        </w:rPr>
        <w:t xml:space="preserve">Requirement:  </w:t>
      </w:r>
      <w:r>
        <w:rPr>
          <w:bCs/>
          <w:sz w:val="28"/>
          <w:szCs w:val="28"/>
        </w:rPr>
        <w:t xml:space="preserve">FTA </w:t>
      </w:r>
      <w:r>
        <w:rPr>
          <w:bCs/>
          <w:i/>
          <w:iCs/>
          <w:sz w:val="28"/>
        </w:rPr>
        <w:t>recipients shall monitor the transit service provided throughout its service area.  Periodic service monitoring activities shall be undertaken to compare the level and quality of service provided to predominantly minority areas with service provided in other areas to ensure that the end result of policies and decision-making is equitable service.  Monitoring shall be conducted at minimum once every three years.  If recipient monitoring determines that prior decisions have resulted in disparate impacts, it shall take corrective action to remedy the disparities</w:t>
      </w:r>
      <w:r>
        <w:rPr>
          <w:bCs/>
          <w:i/>
          <w:iCs/>
          <w:caps/>
          <w:sz w:val="28"/>
        </w:rPr>
        <w:t>.</w:t>
      </w:r>
    </w:p>
    <w:p w:rsidR="002C51A5" w:rsidRDefault="002C51A5" w:rsidP="002C51A5">
      <w:pPr>
        <w:spacing w:line="360" w:lineRule="auto"/>
        <w:rPr>
          <w:sz w:val="28"/>
          <w:szCs w:val="28"/>
        </w:rPr>
      </w:pPr>
    </w:p>
    <w:p w:rsidR="00D27416" w:rsidRPr="00D27416" w:rsidRDefault="00D27416" w:rsidP="00D27416">
      <w:pPr>
        <w:spacing w:line="360" w:lineRule="auto"/>
        <w:rPr>
          <w:sz w:val="28"/>
          <w:szCs w:val="28"/>
        </w:rPr>
      </w:pPr>
      <w:bookmarkStart w:id="27" w:name="_Toc453032740"/>
      <w:bookmarkStart w:id="28" w:name="_Toc106790255"/>
      <w:bookmarkStart w:id="29" w:name="_Toc287021424"/>
      <w:r w:rsidRPr="00D27416">
        <w:rPr>
          <w:sz w:val="28"/>
          <w:szCs w:val="28"/>
        </w:rPr>
        <w:lastRenderedPageBreak/>
        <w:t xml:space="preserve">With respect to the </w:t>
      </w:r>
      <w:r w:rsidR="00096508">
        <w:rPr>
          <w:sz w:val="28"/>
          <w:szCs w:val="28"/>
        </w:rPr>
        <w:t xml:space="preserve">program-specific </w:t>
      </w:r>
      <w:r w:rsidRPr="00D27416">
        <w:rPr>
          <w:sz w:val="28"/>
          <w:szCs w:val="28"/>
        </w:rPr>
        <w:t xml:space="preserve">reporting requirements in FTA Circular 4702.1A, METRO is </w:t>
      </w:r>
      <w:r w:rsidR="000734CE">
        <w:rPr>
          <w:sz w:val="28"/>
          <w:szCs w:val="28"/>
        </w:rPr>
        <w:t xml:space="preserve">not </w:t>
      </w:r>
      <w:r w:rsidRPr="00D27416">
        <w:rPr>
          <w:sz w:val="28"/>
          <w:szCs w:val="28"/>
        </w:rPr>
        <w:t xml:space="preserve">considered a </w:t>
      </w:r>
      <w:r w:rsidR="000734CE">
        <w:rPr>
          <w:sz w:val="28"/>
          <w:szCs w:val="28"/>
        </w:rPr>
        <w:t>large</w:t>
      </w:r>
      <w:r w:rsidRPr="00D27416">
        <w:rPr>
          <w:sz w:val="28"/>
          <w:szCs w:val="28"/>
        </w:rPr>
        <w:t>-urban operator based on the aggregate population of the four incorporated urbanized areas in METRO’s service area.  As such, METRO is not required to report to the FTA i</w:t>
      </w:r>
      <w:r w:rsidR="00096508">
        <w:rPr>
          <w:sz w:val="28"/>
          <w:szCs w:val="28"/>
        </w:rPr>
        <w:t xml:space="preserve">ts activities </w:t>
      </w:r>
      <w:r w:rsidR="00625AFC">
        <w:rPr>
          <w:sz w:val="28"/>
          <w:szCs w:val="28"/>
        </w:rPr>
        <w:t xml:space="preserve">related to </w:t>
      </w:r>
      <w:r w:rsidR="00096508">
        <w:rPr>
          <w:sz w:val="28"/>
          <w:szCs w:val="28"/>
        </w:rPr>
        <w:t>Monitoring Transit Service</w:t>
      </w:r>
      <w:r w:rsidRPr="00D27416">
        <w:rPr>
          <w:sz w:val="28"/>
          <w:szCs w:val="28"/>
        </w:rPr>
        <w:t xml:space="preserve">.  Nevertheless, per FTA Circular 4702.1A, METRO is required </w:t>
      </w:r>
      <w:r w:rsidR="00A9313C">
        <w:rPr>
          <w:sz w:val="28"/>
          <w:szCs w:val="28"/>
        </w:rPr>
        <w:t xml:space="preserve">to </w:t>
      </w:r>
      <w:r w:rsidRPr="00D27416">
        <w:rPr>
          <w:sz w:val="28"/>
          <w:szCs w:val="28"/>
        </w:rPr>
        <w:t>ensure that its programs</w:t>
      </w:r>
      <w:r w:rsidR="00625AFC">
        <w:rPr>
          <w:sz w:val="28"/>
          <w:szCs w:val="28"/>
        </w:rPr>
        <w:t xml:space="preserve"> and services are delivered</w:t>
      </w:r>
      <w:r w:rsidRPr="00D27416">
        <w:rPr>
          <w:sz w:val="28"/>
          <w:szCs w:val="28"/>
        </w:rPr>
        <w:t xml:space="preserve"> without regard to race, color, or national origin, and that decisions impacting its services do not have a disparate impact on minorities and low-income persons.</w:t>
      </w:r>
    </w:p>
    <w:p w:rsidR="00D27416" w:rsidRPr="00D27416" w:rsidRDefault="00D27416" w:rsidP="00D27416">
      <w:pPr>
        <w:spacing w:line="360" w:lineRule="auto"/>
        <w:rPr>
          <w:sz w:val="28"/>
          <w:szCs w:val="28"/>
        </w:rPr>
      </w:pPr>
    </w:p>
    <w:p w:rsidR="00D27416" w:rsidRPr="00D27416" w:rsidRDefault="00D27416" w:rsidP="00D27416">
      <w:pPr>
        <w:spacing w:line="360" w:lineRule="auto"/>
        <w:rPr>
          <w:sz w:val="22"/>
          <w:szCs w:val="22"/>
        </w:rPr>
      </w:pPr>
      <w:r w:rsidRPr="00D27416">
        <w:rPr>
          <w:sz w:val="28"/>
          <w:szCs w:val="28"/>
        </w:rPr>
        <w:t xml:space="preserve">In its </w:t>
      </w:r>
      <w:r w:rsidRPr="00D27416">
        <w:rPr>
          <w:i/>
          <w:sz w:val="28"/>
          <w:szCs w:val="28"/>
        </w:rPr>
        <w:t>Title VI Civil Rights Compliance Report</w:t>
      </w:r>
      <w:r w:rsidRPr="00D27416">
        <w:rPr>
          <w:sz w:val="28"/>
          <w:szCs w:val="28"/>
        </w:rPr>
        <w:t>, dated December 14, 1999</w:t>
      </w:r>
      <w:r w:rsidR="009F42D6">
        <w:rPr>
          <w:sz w:val="28"/>
          <w:szCs w:val="28"/>
        </w:rPr>
        <w:t>,</w:t>
      </w:r>
      <w:r w:rsidRPr="00D27416">
        <w:rPr>
          <w:sz w:val="28"/>
          <w:szCs w:val="28"/>
        </w:rPr>
        <w:t xml:space="preserve"> METRO satisfactorily conducted a Level of Service Title VI monitoring effort.  While METRO has not performed this level of Title VI monitoring since (as it has not been required to due to the fact that it is </w:t>
      </w:r>
      <w:r w:rsidR="000734CE">
        <w:rPr>
          <w:sz w:val="28"/>
          <w:szCs w:val="28"/>
        </w:rPr>
        <w:t xml:space="preserve">not </w:t>
      </w:r>
      <w:r w:rsidRPr="00D27416">
        <w:rPr>
          <w:sz w:val="28"/>
          <w:szCs w:val="28"/>
        </w:rPr>
        <w:t xml:space="preserve">considered a </w:t>
      </w:r>
      <w:r w:rsidR="000734CE">
        <w:rPr>
          <w:sz w:val="28"/>
          <w:szCs w:val="28"/>
        </w:rPr>
        <w:t>large</w:t>
      </w:r>
      <w:r w:rsidRPr="00D27416">
        <w:rPr>
          <w:sz w:val="28"/>
          <w:szCs w:val="28"/>
        </w:rPr>
        <w:t>-urban operator), it has in its general system performance monitoring efforts</w:t>
      </w:r>
      <w:r w:rsidR="00625AFC">
        <w:rPr>
          <w:sz w:val="28"/>
          <w:szCs w:val="28"/>
        </w:rPr>
        <w:t>,</w:t>
      </w:r>
      <w:r w:rsidRPr="00D27416">
        <w:rPr>
          <w:sz w:val="28"/>
          <w:szCs w:val="28"/>
        </w:rPr>
        <w:t xml:space="preserve"> included an analysis of its services provided to communities throughout its service area that are considered minority and/or low-income.  METRO indicated that it will begin conducting monitoring as it did in 1999 and per FTA Circular 4702.1A, V, 5 every three years starting with its next Title VI Program Submittal, specifically monitoring the impacts of its service on minorities and low-income persons.  The Review team discussed the following Circular requirements with METRO as guidance for conducting Title VI monitoring</w:t>
      </w:r>
      <w:r w:rsidR="003743B9">
        <w:rPr>
          <w:sz w:val="28"/>
          <w:szCs w:val="28"/>
        </w:rPr>
        <w:t xml:space="preserve"> going forward</w:t>
      </w:r>
      <w:r w:rsidRPr="00D27416">
        <w:rPr>
          <w:sz w:val="28"/>
          <w:szCs w:val="28"/>
        </w:rPr>
        <w:t>:</w:t>
      </w:r>
    </w:p>
    <w:p w:rsidR="00D27416" w:rsidRPr="00D27416" w:rsidRDefault="00D27416" w:rsidP="00D27416">
      <w:pPr>
        <w:spacing w:line="360" w:lineRule="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48"/>
      </w:tblGrid>
      <w:tr w:rsidR="00D27416" w:rsidRPr="00D27416" w:rsidTr="003B2BD2">
        <w:trPr>
          <w:cantSplit/>
          <w:trHeight w:val="561"/>
        </w:trPr>
        <w:tc>
          <w:tcPr>
            <w:tcW w:w="8748" w:type="dxa"/>
            <w:tcBorders>
              <w:bottom w:val="single" w:sz="4" w:space="0" w:color="000000"/>
            </w:tcBorders>
          </w:tcPr>
          <w:p w:rsidR="00D27416" w:rsidRPr="00D27416" w:rsidRDefault="00D27416" w:rsidP="00D27416">
            <w:pPr>
              <w:jc w:val="center"/>
              <w:rPr>
                <w:b/>
                <w:bCs/>
                <w:sz w:val="24"/>
                <w:szCs w:val="28"/>
              </w:rPr>
            </w:pPr>
            <w:r w:rsidRPr="00D27416">
              <w:rPr>
                <w:b/>
                <w:bCs/>
                <w:sz w:val="24"/>
                <w:szCs w:val="28"/>
              </w:rPr>
              <w:t>Elements Required for Monitoring – Option A: Level of Service Methodology</w:t>
            </w:r>
          </w:p>
          <w:p w:rsidR="00D27416" w:rsidRPr="00D27416" w:rsidRDefault="00D27416" w:rsidP="00D27416">
            <w:pPr>
              <w:jc w:val="center"/>
              <w:rPr>
                <w:b/>
                <w:bCs/>
                <w:sz w:val="24"/>
                <w:szCs w:val="28"/>
              </w:rPr>
            </w:pPr>
            <w:r w:rsidRPr="00D27416">
              <w:rPr>
                <w:b/>
                <w:bCs/>
                <w:sz w:val="24"/>
                <w:szCs w:val="28"/>
              </w:rPr>
              <w:t>(Per FTA C. 4702.1A, V, 5. a.)</w:t>
            </w:r>
          </w:p>
        </w:tc>
      </w:tr>
      <w:tr w:rsidR="00D27416" w:rsidRPr="00D27416" w:rsidTr="003B2BD2">
        <w:trPr>
          <w:cantSplit/>
        </w:trPr>
        <w:tc>
          <w:tcPr>
            <w:tcW w:w="8748" w:type="dxa"/>
          </w:tcPr>
          <w:p w:rsidR="00D27416" w:rsidRPr="003743B9" w:rsidRDefault="00D27416" w:rsidP="00150F0E">
            <w:pPr>
              <w:pStyle w:val="ListParagraph"/>
              <w:numPr>
                <w:ilvl w:val="0"/>
                <w:numId w:val="21"/>
              </w:numPr>
              <w:rPr>
                <w:sz w:val="22"/>
                <w:szCs w:val="28"/>
              </w:rPr>
            </w:pPr>
            <w:r w:rsidRPr="003743B9">
              <w:rPr>
                <w:sz w:val="22"/>
                <w:szCs w:val="28"/>
              </w:rPr>
              <w:t xml:space="preserve">Select a sample of bus routes and fixed </w:t>
            </w:r>
            <w:proofErr w:type="spellStart"/>
            <w:r w:rsidRPr="003743B9">
              <w:rPr>
                <w:sz w:val="22"/>
                <w:szCs w:val="28"/>
              </w:rPr>
              <w:t>guideway</w:t>
            </w:r>
            <w:proofErr w:type="spellEnd"/>
            <w:r w:rsidRPr="003743B9">
              <w:rPr>
                <w:sz w:val="22"/>
                <w:szCs w:val="28"/>
              </w:rPr>
              <w:t xml:space="preserve"> routes that provide service to a demographic cross-section of the recipient’s population.  A portion of the routes in the sample should be those routes that provide service to a predominantly minority and low-income areas.  </w:t>
            </w:r>
          </w:p>
        </w:tc>
      </w:tr>
      <w:tr w:rsidR="00D27416" w:rsidRPr="00D27416" w:rsidTr="003B2BD2">
        <w:trPr>
          <w:cantSplit/>
        </w:trPr>
        <w:tc>
          <w:tcPr>
            <w:tcW w:w="8748" w:type="dxa"/>
          </w:tcPr>
          <w:p w:rsidR="00D27416" w:rsidRPr="003743B9" w:rsidRDefault="00D27416" w:rsidP="00150F0E">
            <w:pPr>
              <w:pStyle w:val="ListParagraph"/>
              <w:numPr>
                <w:ilvl w:val="0"/>
                <w:numId w:val="21"/>
              </w:numPr>
              <w:rPr>
                <w:sz w:val="22"/>
                <w:szCs w:val="28"/>
              </w:rPr>
            </w:pPr>
            <w:r w:rsidRPr="003743B9">
              <w:rPr>
                <w:sz w:val="22"/>
                <w:szCs w:val="28"/>
              </w:rPr>
              <w:t xml:space="preserve">Assess the performance of each route in the sample for each of the recipient’s service standards and policies.  </w:t>
            </w:r>
          </w:p>
        </w:tc>
      </w:tr>
      <w:tr w:rsidR="00D27416" w:rsidRPr="00D27416" w:rsidTr="003B2BD2">
        <w:trPr>
          <w:cantSplit/>
        </w:trPr>
        <w:tc>
          <w:tcPr>
            <w:tcW w:w="8748" w:type="dxa"/>
          </w:tcPr>
          <w:p w:rsidR="00D27416" w:rsidRPr="003743B9" w:rsidRDefault="00D27416" w:rsidP="00150F0E">
            <w:pPr>
              <w:pStyle w:val="ListParagraph"/>
              <w:numPr>
                <w:ilvl w:val="0"/>
                <w:numId w:val="21"/>
              </w:numPr>
              <w:rPr>
                <w:sz w:val="22"/>
                <w:szCs w:val="28"/>
              </w:rPr>
            </w:pPr>
            <w:r w:rsidRPr="003743B9">
              <w:rPr>
                <w:sz w:val="22"/>
                <w:szCs w:val="28"/>
              </w:rPr>
              <w:lastRenderedPageBreak/>
              <w:t>Compare the transit service observed in the assessment to the established service policies and standards.</w:t>
            </w:r>
          </w:p>
        </w:tc>
      </w:tr>
      <w:tr w:rsidR="00D27416" w:rsidRPr="00D27416" w:rsidTr="003B2BD2">
        <w:trPr>
          <w:cantSplit/>
        </w:trPr>
        <w:tc>
          <w:tcPr>
            <w:tcW w:w="8748" w:type="dxa"/>
          </w:tcPr>
          <w:p w:rsidR="00D27416" w:rsidRPr="003743B9" w:rsidRDefault="00D27416" w:rsidP="00150F0E">
            <w:pPr>
              <w:pStyle w:val="ListParagraph"/>
              <w:numPr>
                <w:ilvl w:val="0"/>
                <w:numId w:val="21"/>
              </w:numPr>
              <w:rPr>
                <w:sz w:val="22"/>
                <w:szCs w:val="28"/>
              </w:rPr>
            </w:pPr>
            <w:r w:rsidRPr="003743B9">
              <w:rPr>
                <w:sz w:val="22"/>
                <w:szCs w:val="28"/>
              </w:rPr>
              <w:t>In cases in which observed service does not meet the stated service policy or standard, recipients should determine why the discrepancy exists and take corrective action to correct the discrepancy.</w:t>
            </w:r>
          </w:p>
        </w:tc>
      </w:tr>
      <w:tr w:rsidR="00D27416" w:rsidRPr="00D27416" w:rsidTr="003B2BD2">
        <w:trPr>
          <w:cantSplit/>
        </w:trPr>
        <w:tc>
          <w:tcPr>
            <w:tcW w:w="8748" w:type="dxa"/>
          </w:tcPr>
          <w:p w:rsidR="00D27416" w:rsidRPr="00D27416" w:rsidRDefault="00D27416" w:rsidP="00D27416">
            <w:pPr>
              <w:jc w:val="center"/>
              <w:rPr>
                <w:b/>
                <w:bCs/>
                <w:sz w:val="24"/>
                <w:szCs w:val="28"/>
              </w:rPr>
            </w:pPr>
            <w:r w:rsidRPr="00D27416">
              <w:rPr>
                <w:b/>
                <w:bCs/>
                <w:sz w:val="24"/>
                <w:szCs w:val="28"/>
              </w:rPr>
              <w:t>Elements Required for Monitoring – Option B: Quality of Service Methodology</w:t>
            </w:r>
          </w:p>
          <w:p w:rsidR="00D27416" w:rsidRPr="00D27416" w:rsidRDefault="00D27416" w:rsidP="00D27416">
            <w:pPr>
              <w:jc w:val="center"/>
              <w:rPr>
                <w:sz w:val="22"/>
                <w:szCs w:val="28"/>
              </w:rPr>
            </w:pPr>
            <w:r w:rsidRPr="00D27416">
              <w:rPr>
                <w:b/>
                <w:bCs/>
                <w:sz w:val="24"/>
                <w:szCs w:val="28"/>
              </w:rPr>
              <w:t xml:space="preserve">(Per FTA C. 4702.1A, V, </w:t>
            </w:r>
            <w:proofErr w:type="gramStart"/>
            <w:r w:rsidRPr="00D27416">
              <w:rPr>
                <w:b/>
                <w:bCs/>
                <w:sz w:val="24"/>
                <w:szCs w:val="28"/>
              </w:rPr>
              <w:t>5</w:t>
            </w:r>
            <w:proofErr w:type="gramEnd"/>
            <w:r w:rsidRPr="00D27416">
              <w:rPr>
                <w:b/>
                <w:bCs/>
                <w:sz w:val="24"/>
                <w:szCs w:val="28"/>
              </w:rPr>
              <w:t>. b.)</w:t>
            </w:r>
          </w:p>
        </w:tc>
      </w:tr>
      <w:tr w:rsidR="00D27416" w:rsidRPr="00D27416" w:rsidTr="003B2BD2">
        <w:trPr>
          <w:cantSplit/>
        </w:trPr>
        <w:tc>
          <w:tcPr>
            <w:tcW w:w="8748" w:type="dxa"/>
          </w:tcPr>
          <w:p w:rsidR="00D27416" w:rsidRPr="00D27416" w:rsidRDefault="00D27416" w:rsidP="00150F0E">
            <w:pPr>
              <w:pStyle w:val="ListParagraph"/>
              <w:numPr>
                <w:ilvl w:val="0"/>
                <w:numId w:val="22"/>
              </w:numPr>
            </w:pPr>
            <w:r w:rsidRPr="003743B9">
              <w:rPr>
                <w:sz w:val="22"/>
                <w:szCs w:val="22"/>
              </w:rPr>
              <w:t>Identify an appropriate number of Census tracts or traffic analysis zones that represent a cross-section of the recipient’s population.  A portion of this sample should include Census tracts or traffic analysis zones where minority and/or low-income residents predominate.  Recipients should keep in mind that the greater the sample size, the more reliable the results</w:t>
            </w:r>
            <w:r w:rsidRPr="00D27416">
              <w:t xml:space="preserve">.  </w:t>
            </w:r>
          </w:p>
        </w:tc>
      </w:tr>
      <w:tr w:rsidR="00D27416" w:rsidRPr="00D27416" w:rsidTr="003B2BD2">
        <w:trPr>
          <w:cantSplit/>
        </w:trPr>
        <w:tc>
          <w:tcPr>
            <w:tcW w:w="8748" w:type="dxa"/>
          </w:tcPr>
          <w:p w:rsidR="00D27416" w:rsidRPr="003743B9" w:rsidRDefault="00D27416" w:rsidP="00150F0E">
            <w:pPr>
              <w:pStyle w:val="ListParagraph"/>
              <w:numPr>
                <w:ilvl w:val="0"/>
                <w:numId w:val="22"/>
              </w:numPr>
              <w:rPr>
                <w:sz w:val="22"/>
                <w:szCs w:val="22"/>
              </w:rPr>
            </w:pPr>
            <w:r w:rsidRPr="003743B9">
              <w:rPr>
                <w:sz w:val="22"/>
                <w:szCs w:val="22"/>
              </w:rPr>
              <w:t xml:space="preserve">Identify the most frequently traveled destinations for riders using the recipient’s service.  </w:t>
            </w:r>
          </w:p>
        </w:tc>
      </w:tr>
      <w:tr w:rsidR="00D27416" w:rsidRPr="00D27416" w:rsidTr="003B2BD2">
        <w:trPr>
          <w:cantSplit/>
        </w:trPr>
        <w:tc>
          <w:tcPr>
            <w:tcW w:w="8748" w:type="dxa"/>
          </w:tcPr>
          <w:p w:rsidR="00D27416" w:rsidRPr="003743B9" w:rsidRDefault="00D27416" w:rsidP="00150F0E">
            <w:pPr>
              <w:pStyle w:val="ListParagraph"/>
              <w:numPr>
                <w:ilvl w:val="0"/>
                <w:numId w:val="22"/>
              </w:numPr>
              <w:rPr>
                <w:sz w:val="22"/>
                <w:szCs w:val="22"/>
              </w:rPr>
            </w:pPr>
            <w:r w:rsidRPr="003743B9">
              <w:rPr>
                <w:sz w:val="22"/>
                <w:szCs w:val="22"/>
              </w:rPr>
              <w:t xml:space="preserve">For each of the three most frequently traveled destinations, compare the average peak hour travel time to destination, average non-peak hour travel time to destination, number of transfers required to reach the destination, total cost of trip to the destination, and cost per mile of trip to the destination for people beginning the trip in the selected Census tracts or traffic analysis zones.  </w:t>
            </w:r>
          </w:p>
        </w:tc>
      </w:tr>
      <w:tr w:rsidR="00D27416" w:rsidRPr="00D27416" w:rsidTr="003B2BD2">
        <w:trPr>
          <w:cantSplit/>
        </w:trPr>
        <w:tc>
          <w:tcPr>
            <w:tcW w:w="8748" w:type="dxa"/>
          </w:tcPr>
          <w:p w:rsidR="00D27416" w:rsidRPr="003743B9" w:rsidRDefault="00D27416" w:rsidP="00150F0E">
            <w:pPr>
              <w:pStyle w:val="ListParagraph"/>
              <w:numPr>
                <w:ilvl w:val="0"/>
                <w:numId w:val="22"/>
              </w:numPr>
              <w:rPr>
                <w:sz w:val="22"/>
                <w:szCs w:val="22"/>
              </w:rPr>
            </w:pPr>
            <w:r w:rsidRPr="003743B9">
              <w:rPr>
                <w:sz w:val="22"/>
                <w:szCs w:val="22"/>
              </w:rPr>
              <w:t xml:space="preserve">If disparities exist in any of these factors along the trips to any of the destinations analyzed, recipients should determine whether the differences are significant.  FTA recommends that recipients employ standard statistical tests for significance to make this determination.  </w:t>
            </w:r>
          </w:p>
        </w:tc>
      </w:tr>
      <w:tr w:rsidR="00D27416" w:rsidRPr="00D27416" w:rsidTr="003B2BD2">
        <w:trPr>
          <w:cantSplit/>
        </w:trPr>
        <w:tc>
          <w:tcPr>
            <w:tcW w:w="8748" w:type="dxa"/>
          </w:tcPr>
          <w:p w:rsidR="00D27416" w:rsidRPr="003743B9" w:rsidRDefault="00D27416" w:rsidP="00150F0E">
            <w:pPr>
              <w:pStyle w:val="ListParagraph"/>
              <w:numPr>
                <w:ilvl w:val="0"/>
                <w:numId w:val="22"/>
              </w:numPr>
              <w:rPr>
                <w:sz w:val="22"/>
                <w:szCs w:val="22"/>
              </w:rPr>
            </w:pPr>
            <w:r w:rsidRPr="003743B9">
              <w:rPr>
                <w:sz w:val="22"/>
                <w:szCs w:val="22"/>
              </w:rPr>
              <w:t>If significant disparities in one or more quality of service indicators have been confirmed, recipients should determine why the disparity exists and take corrective action to correct</w:t>
            </w:r>
            <w:r w:rsidRPr="003743B9" w:rsidDel="004428C3">
              <w:rPr>
                <w:sz w:val="22"/>
                <w:szCs w:val="22"/>
              </w:rPr>
              <w:t xml:space="preserve"> </w:t>
            </w:r>
            <w:r w:rsidRPr="003743B9">
              <w:rPr>
                <w:sz w:val="22"/>
                <w:szCs w:val="22"/>
              </w:rPr>
              <w:t xml:space="preserve">the disparity.  </w:t>
            </w:r>
          </w:p>
        </w:tc>
      </w:tr>
      <w:tr w:rsidR="00D27416" w:rsidRPr="00D27416" w:rsidTr="003B2BD2">
        <w:trPr>
          <w:cantSplit/>
        </w:trPr>
        <w:tc>
          <w:tcPr>
            <w:tcW w:w="8748" w:type="dxa"/>
          </w:tcPr>
          <w:p w:rsidR="00D27416" w:rsidRPr="00D27416" w:rsidRDefault="00D27416" w:rsidP="00D27416">
            <w:pPr>
              <w:jc w:val="center"/>
              <w:rPr>
                <w:b/>
                <w:sz w:val="22"/>
                <w:szCs w:val="22"/>
              </w:rPr>
            </w:pPr>
            <w:r w:rsidRPr="00D27416">
              <w:rPr>
                <w:b/>
                <w:bCs/>
                <w:sz w:val="24"/>
                <w:szCs w:val="28"/>
              </w:rPr>
              <w:t xml:space="preserve">Elements Required for Monitoring – Option C: Title VI Analysis of Customer Surveys (Per FTA C. 4702.1A, V, </w:t>
            </w:r>
            <w:proofErr w:type="gramStart"/>
            <w:r w:rsidRPr="00D27416">
              <w:rPr>
                <w:b/>
                <w:bCs/>
                <w:sz w:val="24"/>
                <w:szCs w:val="28"/>
              </w:rPr>
              <w:t>5</w:t>
            </w:r>
            <w:proofErr w:type="gramEnd"/>
            <w:r w:rsidRPr="00D27416">
              <w:rPr>
                <w:b/>
                <w:bCs/>
                <w:sz w:val="24"/>
                <w:szCs w:val="28"/>
              </w:rPr>
              <w:t>. c.)</w:t>
            </w:r>
          </w:p>
        </w:tc>
      </w:tr>
      <w:tr w:rsidR="00D27416" w:rsidRPr="00D27416" w:rsidTr="003B2BD2">
        <w:trPr>
          <w:cantSplit/>
        </w:trPr>
        <w:tc>
          <w:tcPr>
            <w:tcW w:w="8748" w:type="dxa"/>
          </w:tcPr>
          <w:p w:rsidR="00D27416" w:rsidRPr="003743B9" w:rsidRDefault="00D27416" w:rsidP="00150F0E">
            <w:pPr>
              <w:pStyle w:val="ListParagraph"/>
              <w:numPr>
                <w:ilvl w:val="0"/>
                <w:numId w:val="23"/>
              </w:numPr>
              <w:tabs>
                <w:tab w:val="num" w:pos="1152"/>
              </w:tabs>
              <w:rPr>
                <w:bCs/>
                <w:sz w:val="22"/>
                <w:szCs w:val="22"/>
              </w:rPr>
            </w:pPr>
            <w:r w:rsidRPr="003743B9">
              <w:rPr>
                <w:bCs/>
                <w:sz w:val="22"/>
                <w:szCs w:val="22"/>
              </w:rPr>
              <w:t xml:space="preserve">For their most recent passenger survey, compare the responses from individuals who identified themselves as members of minority groups and/or in low-income brackets, and the responses of those who identified themselves as white and/or in middle and upper-income brackets. </w:t>
            </w:r>
          </w:p>
        </w:tc>
      </w:tr>
      <w:tr w:rsidR="00D27416" w:rsidRPr="00D27416" w:rsidTr="003B2BD2">
        <w:trPr>
          <w:cantSplit/>
        </w:trPr>
        <w:tc>
          <w:tcPr>
            <w:tcW w:w="8748" w:type="dxa"/>
          </w:tcPr>
          <w:p w:rsidR="00D27416" w:rsidRPr="003743B9" w:rsidRDefault="00D27416" w:rsidP="00150F0E">
            <w:pPr>
              <w:pStyle w:val="ListParagraph"/>
              <w:numPr>
                <w:ilvl w:val="0"/>
                <w:numId w:val="23"/>
              </w:numPr>
              <w:tabs>
                <w:tab w:val="num" w:pos="1152"/>
              </w:tabs>
              <w:rPr>
                <w:bCs/>
                <w:sz w:val="22"/>
                <w:szCs w:val="22"/>
              </w:rPr>
            </w:pPr>
            <w:r w:rsidRPr="003743B9">
              <w:rPr>
                <w:bCs/>
                <w:sz w:val="22"/>
                <w:szCs w:val="22"/>
              </w:rPr>
              <w:t>To the extent that survey data is available, recipients should determine whether the different demographic groups report significant differences in the travel time, number of transfers, and overall cost of the trip or if different demographic groups gave significantly different responses when asked to rate the quality of service, such as their satisfaction with the system, willingness to recommend transit to others, and value for fare paid.</w:t>
            </w:r>
          </w:p>
        </w:tc>
      </w:tr>
      <w:tr w:rsidR="00D27416" w:rsidRPr="00D27416" w:rsidTr="003B2BD2">
        <w:trPr>
          <w:cantSplit/>
        </w:trPr>
        <w:tc>
          <w:tcPr>
            <w:tcW w:w="8748" w:type="dxa"/>
          </w:tcPr>
          <w:p w:rsidR="00D27416" w:rsidRPr="003743B9" w:rsidRDefault="00D27416" w:rsidP="00150F0E">
            <w:pPr>
              <w:pStyle w:val="ListParagraph"/>
              <w:numPr>
                <w:ilvl w:val="0"/>
                <w:numId w:val="23"/>
              </w:numPr>
              <w:tabs>
                <w:tab w:val="num" w:pos="1152"/>
              </w:tabs>
              <w:rPr>
                <w:bCs/>
                <w:sz w:val="22"/>
                <w:szCs w:val="22"/>
              </w:rPr>
            </w:pPr>
            <w:r w:rsidRPr="003743B9">
              <w:rPr>
                <w:bCs/>
                <w:sz w:val="22"/>
                <w:szCs w:val="22"/>
              </w:rPr>
              <w:t xml:space="preserve">If the agency concludes that different demographic groups gave significantly different responses, it should take corrective action to address the disparities.  </w:t>
            </w:r>
          </w:p>
        </w:tc>
      </w:tr>
      <w:tr w:rsidR="00D27416" w:rsidRPr="00D27416" w:rsidTr="003B2BD2">
        <w:trPr>
          <w:cantSplit/>
        </w:trPr>
        <w:tc>
          <w:tcPr>
            <w:tcW w:w="8748" w:type="dxa"/>
          </w:tcPr>
          <w:p w:rsidR="00D27416" w:rsidRPr="00D27416" w:rsidRDefault="00D27416" w:rsidP="00D27416">
            <w:pPr>
              <w:tabs>
                <w:tab w:val="num" w:pos="1152"/>
              </w:tabs>
              <w:jc w:val="center"/>
              <w:rPr>
                <w:b/>
                <w:bCs/>
                <w:sz w:val="24"/>
                <w:szCs w:val="28"/>
              </w:rPr>
            </w:pPr>
            <w:r w:rsidRPr="00D27416">
              <w:rPr>
                <w:b/>
                <w:bCs/>
                <w:sz w:val="24"/>
                <w:szCs w:val="28"/>
              </w:rPr>
              <w:t>Elements Required for Monitoring – Option D: Locally Developed Alternative</w:t>
            </w:r>
          </w:p>
          <w:p w:rsidR="00D27416" w:rsidRPr="00D27416" w:rsidRDefault="00D27416" w:rsidP="00D27416">
            <w:pPr>
              <w:tabs>
                <w:tab w:val="num" w:pos="1152"/>
              </w:tabs>
              <w:jc w:val="center"/>
              <w:rPr>
                <w:bCs/>
                <w:sz w:val="22"/>
                <w:szCs w:val="22"/>
              </w:rPr>
            </w:pPr>
            <w:r w:rsidRPr="00D27416">
              <w:rPr>
                <w:b/>
                <w:bCs/>
                <w:sz w:val="24"/>
                <w:szCs w:val="28"/>
              </w:rPr>
              <w:t xml:space="preserve">(Per FTA C. 4702.1A, V, </w:t>
            </w:r>
            <w:proofErr w:type="gramStart"/>
            <w:r w:rsidRPr="00D27416">
              <w:rPr>
                <w:b/>
                <w:bCs/>
                <w:sz w:val="24"/>
                <w:szCs w:val="28"/>
              </w:rPr>
              <w:t>5</w:t>
            </w:r>
            <w:proofErr w:type="gramEnd"/>
            <w:r w:rsidRPr="00D27416">
              <w:rPr>
                <w:b/>
                <w:bCs/>
                <w:sz w:val="24"/>
                <w:szCs w:val="28"/>
              </w:rPr>
              <w:t>. d.)</w:t>
            </w:r>
          </w:p>
        </w:tc>
      </w:tr>
      <w:tr w:rsidR="00D27416" w:rsidRPr="00D27416" w:rsidTr="003B2BD2">
        <w:trPr>
          <w:cantSplit/>
        </w:trPr>
        <w:tc>
          <w:tcPr>
            <w:tcW w:w="8748" w:type="dxa"/>
          </w:tcPr>
          <w:p w:rsidR="00D27416" w:rsidRPr="00D27416" w:rsidRDefault="00D27416" w:rsidP="00D27416">
            <w:pPr>
              <w:tabs>
                <w:tab w:val="num" w:pos="1152"/>
              </w:tabs>
              <w:rPr>
                <w:bCs/>
                <w:sz w:val="24"/>
                <w:szCs w:val="28"/>
              </w:rPr>
            </w:pPr>
            <w:r w:rsidRPr="00D27416">
              <w:rPr>
                <w:bCs/>
                <w:sz w:val="24"/>
                <w:szCs w:val="28"/>
              </w:rPr>
              <w:lastRenderedPageBreak/>
              <w:t xml:space="preserve">Recipients have the option of modifying the above options or developing their own procedures to monitor their transit service to ensure compliance with Title VI.  Any locally developed alternative should be designed to ensure that the agency’s service meets the expectations of 49 CFR part 21 as illustrated by the example in Appendix C of the same, which provides that “no person or group of persons shall be discriminated against with regard to the routing, scheduling, or quality of service of transportation service furnished as a part of the project on the basis of race, color, or national origin.  Frequency of service, age and quality of vehicles assigned to routes, quality of stations serving different routes, and location of routes may not be determined on the basis of race, color, or national origin.”  </w:t>
            </w:r>
          </w:p>
        </w:tc>
      </w:tr>
    </w:tbl>
    <w:p w:rsidR="009F42D6" w:rsidRDefault="009F42D6" w:rsidP="00D27416">
      <w:pPr>
        <w:spacing w:line="360" w:lineRule="auto"/>
        <w:rPr>
          <w:sz w:val="28"/>
          <w:szCs w:val="28"/>
        </w:rPr>
      </w:pPr>
    </w:p>
    <w:p w:rsidR="009F42D6" w:rsidRDefault="009F42D6">
      <w:pPr>
        <w:rPr>
          <w:sz w:val="28"/>
          <w:szCs w:val="28"/>
        </w:rPr>
      </w:pPr>
    </w:p>
    <w:p w:rsidR="003E35EA" w:rsidRDefault="009F42D6" w:rsidP="003E35EA">
      <w:pPr>
        <w:pStyle w:val="BHLevel1"/>
        <w:rPr>
          <w:sz w:val="28"/>
          <w:szCs w:val="28"/>
        </w:rPr>
      </w:pPr>
      <w:r w:rsidRPr="008A60E2">
        <w:rPr>
          <w:b w:val="0"/>
          <w:bCs/>
          <w:sz w:val="28"/>
        </w:rPr>
        <w:br w:type="page"/>
      </w:r>
      <w:bookmarkStart w:id="30" w:name="_Toc312841768"/>
      <w:r w:rsidRPr="008A60E2">
        <w:rPr>
          <w:sz w:val="28"/>
          <w:szCs w:val="28"/>
        </w:rPr>
        <w:lastRenderedPageBreak/>
        <w:t>SUMMARY OF FINDINGS AND CORRECTIVE ACTIONS</w:t>
      </w:r>
      <w:bookmarkEnd w:id="30"/>
      <w:r w:rsidRPr="008A60E2">
        <w:rPr>
          <w:sz w:val="28"/>
          <w:szCs w:val="28"/>
        </w:rPr>
        <w:t xml:space="preserve"> </w:t>
      </w:r>
    </w:p>
    <w:p w:rsidR="009F42D6" w:rsidRPr="003E35EA" w:rsidRDefault="009F42D6" w:rsidP="00485289">
      <w:pPr>
        <w:pStyle w:val="BHLevel1"/>
        <w:numPr>
          <w:ilvl w:val="0"/>
          <w:numId w:val="0"/>
        </w:numPr>
        <w:rPr>
          <w:sz w:val="28"/>
          <w:szCs w:val="28"/>
        </w:rPr>
      </w:pPr>
    </w:p>
    <w:tbl>
      <w:tblPr>
        <w:tblW w:w="1071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tblPr>
      <w:tblGrid>
        <w:gridCol w:w="2430"/>
        <w:gridCol w:w="1080"/>
        <w:gridCol w:w="2250"/>
        <w:gridCol w:w="2430"/>
        <w:gridCol w:w="1260"/>
        <w:gridCol w:w="1260"/>
      </w:tblGrid>
      <w:tr w:rsidR="00AB438F" w:rsidRPr="00AB438F" w:rsidTr="00AB438F">
        <w:trPr>
          <w:tblHeader/>
        </w:trPr>
        <w:tc>
          <w:tcPr>
            <w:tcW w:w="2430" w:type="dxa"/>
            <w:tcBorders>
              <w:top w:val="double" w:sz="6" w:space="0" w:color="auto"/>
              <w:left w:val="double" w:sz="6" w:space="0" w:color="auto"/>
              <w:bottom w:val="double" w:sz="6" w:space="0" w:color="auto"/>
              <w:right w:val="single" w:sz="6" w:space="0" w:color="auto"/>
            </w:tcBorders>
            <w:shd w:val="pct10" w:color="auto" w:fill="auto"/>
            <w:vAlign w:val="center"/>
            <w:hideMark/>
          </w:tcPr>
          <w:bookmarkEnd w:id="27"/>
          <w:bookmarkEnd w:id="28"/>
          <w:bookmarkEnd w:id="29"/>
          <w:p w:rsidR="00AB438F" w:rsidRPr="00AB438F" w:rsidRDefault="00AB438F" w:rsidP="00A303A0">
            <w:pPr>
              <w:spacing w:before="60" w:after="60"/>
              <w:jc w:val="center"/>
              <w:rPr>
                <w:b/>
                <w:sz w:val="22"/>
              </w:rPr>
            </w:pPr>
            <w:r w:rsidRPr="00AB438F">
              <w:rPr>
                <w:b/>
                <w:sz w:val="22"/>
              </w:rPr>
              <w:t>Title VI Requirements For Small Urbanized Areas</w:t>
            </w:r>
          </w:p>
        </w:tc>
        <w:tc>
          <w:tcPr>
            <w:tcW w:w="1080" w:type="dxa"/>
            <w:tcBorders>
              <w:top w:val="double" w:sz="6" w:space="0" w:color="auto"/>
              <w:left w:val="single" w:sz="6" w:space="0" w:color="auto"/>
              <w:bottom w:val="double" w:sz="6" w:space="0" w:color="auto"/>
              <w:right w:val="single" w:sz="6" w:space="0" w:color="auto"/>
            </w:tcBorders>
            <w:shd w:val="pct10" w:color="auto" w:fill="auto"/>
            <w:vAlign w:val="center"/>
            <w:hideMark/>
          </w:tcPr>
          <w:p w:rsidR="00AB438F" w:rsidRPr="00AB438F" w:rsidRDefault="00AB438F" w:rsidP="00A303A0">
            <w:pPr>
              <w:spacing w:before="60" w:after="60"/>
              <w:jc w:val="center"/>
              <w:rPr>
                <w:b/>
                <w:sz w:val="22"/>
              </w:rPr>
            </w:pPr>
            <w:r w:rsidRPr="00AB438F">
              <w:rPr>
                <w:b/>
                <w:sz w:val="22"/>
              </w:rPr>
              <w:t>Findings</w:t>
            </w:r>
          </w:p>
        </w:tc>
        <w:tc>
          <w:tcPr>
            <w:tcW w:w="2250" w:type="dxa"/>
            <w:tcBorders>
              <w:top w:val="double" w:sz="6" w:space="0" w:color="auto"/>
              <w:left w:val="single" w:sz="6" w:space="0" w:color="auto"/>
              <w:bottom w:val="double" w:sz="6" w:space="0" w:color="auto"/>
              <w:right w:val="single" w:sz="6" w:space="0" w:color="auto"/>
            </w:tcBorders>
            <w:shd w:val="pct10" w:color="auto" w:fill="auto"/>
            <w:vAlign w:val="center"/>
            <w:hideMark/>
          </w:tcPr>
          <w:p w:rsidR="00AB438F" w:rsidRPr="00AB438F" w:rsidRDefault="00AB438F" w:rsidP="00A303A0">
            <w:pPr>
              <w:spacing w:before="60" w:after="60"/>
              <w:jc w:val="center"/>
              <w:rPr>
                <w:b/>
                <w:sz w:val="22"/>
              </w:rPr>
            </w:pPr>
            <w:r w:rsidRPr="00AB438F">
              <w:rPr>
                <w:b/>
                <w:sz w:val="22"/>
              </w:rPr>
              <w:t>Description of Deficiencies/</w:t>
            </w:r>
          </w:p>
          <w:p w:rsidR="00AB438F" w:rsidRPr="00AB438F" w:rsidRDefault="00AB438F" w:rsidP="00A303A0">
            <w:pPr>
              <w:spacing w:before="60" w:after="60"/>
              <w:jc w:val="center"/>
              <w:rPr>
                <w:b/>
                <w:sz w:val="22"/>
              </w:rPr>
            </w:pPr>
            <w:r w:rsidRPr="00AB438F">
              <w:rPr>
                <w:b/>
                <w:sz w:val="22"/>
              </w:rPr>
              <w:t>Comments</w:t>
            </w:r>
          </w:p>
        </w:tc>
        <w:tc>
          <w:tcPr>
            <w:tcW w:w="2430" w:type="dxa"/>
            <w:tcBorders>
              <w:top w:val="double" w:sz="6" w:space="0" w:color="auto"/>
              <w:left w:val="single" w:sz="6" w:space="0" w:color="auto"/>
              <w:bottom w:val="double" w:sz="6" w:space="0" w:color="auto"/>
              <w:right w:val="single" w:sz="6" w:space="0" w:color="auto"/>
            </w:tcBorders>
            <w:shd w:val="pct10" w:color="auto" w:fill="auto"/>
            <w:vAlign w:val="center"/>
            <w:hideMark/>
          </w:tcPr>
          <w:p w:rsidR="00AB438F" w:rsidRPr="00AB438F" w:rsidRDefault="00AB438F" w:rsidP="00A303A0">
            <w:pPr>
              <w:spacing w:before="160" w:after="60"/>
              <w:jc w:val="center"/>
              <w:rPr>
                <w:b/>
                <w:sz w:val="22"/>
              </w:rPr>
            </w:pPr>
            <w:r w:rsidRPr="00AB438F">
              <w:rPr>
                <w:b/>
                <w:sz w:val="22"/>
              </w:rPr>
              <w:t>Corrective Action(s), if Required</w:t>
            </w:r>
          </w:p>
        </w:tc>
        <w:tc>
          <w:tcPr>
            <w:tcW w:w="1260" w:type="dxa"/>
            <w:tcBorders>
              <w:top w:val="double" w:sz="6" w:space="0" w:color="auto"/>
              <w:left w:val="single" w:sz="6" w:space="0" w:color="auto"/>
              <w:bottom w:val="double" w:sz="6" w:space="0" w:color="auto"/>
              <w:right w:val="single" w:sz="6" w:space="0" w:color="auto"/>
            </w:tcBorders>
            <w:shd w:val="pct10" w:color="auto" w:fill="auto"/>
            <w:vAlign w:val="center"/>
            <w:hideMark/>
          </w:tcPr>
          <w:p w:rsidR="00AB438F" w:rsidRPr="00AB438F" w:rsidRDefault="00AB438F" w:rsidP="00A303A0">
            <w:pPr>
              <w:spacing w:before="60" w:after="60"/>
              <w:jc w:val="center"/>
              <w:rPr>
                <w:b/>
                <w:sz w:val="22"/>
              </w:rPr>
            </w:pPr>
            <w:r w:rsidRPr="00AB438F">
              <w:rPr>
                <w:b/>
                <w:sz w:val="22"/>
              </w:rPr>
              <w:t>Response Days/Date</w:t>
            </w:r>
          </w:p>
        </w:tc>
        <w:tc>
          <w:tcPr>
            <w:tcW w:w="1260" w:type="dxa"/>
            <w:tcBorders>
              <w:top w:val="double" w:sz="6" w:space="0" w:color="auto"/>
              <w:left w:val="single" w:sz="6" w:space="0" w:color="auto"/>
              <w:bottom w:val="double" w:sz="6" w:space="0" w:color="auto"/>
              <w:right w:val="double" w:sz="6" w:space="0" w:color="auto"/>
            </w:tcBorders>
            <w:shd w:val="pct10" w:color="auto" w:fill="auto"/>
            <w:vAlign w:val="center"/>
            <w:hideMark/>
          </w:tcPr>
          <w:p w:rsidR="00AB438F" w:rsidRPr="00AB438F" w:rsidRDefault="00AB438F" w:rsidP="00A303A0">
            <w:pPr>
              <w:spacing w:before="60" w:after="60"/>
              <w:jc w:val="center"/>
              <w:rPr>
                <w:b/>
                <w:sz w:val="22"/>
              </w:rPr>
            </w:pPr>
            <w:r w:rsidRPr="00AB438F">
              <w:rPr>
                <w:b/>
                <w:sz w:val="22"/>
              </w:rPr>
              <w:t>Date Closed</w:t>
            </w:r>
          </w:p>
        </w:tc>
      </w:tr>
      <w:tr w:rsidR="00AB438F" w:rsidRPr="00AB438F" w:rsidTr="00AB438F">
        <w:tc>
          <w:tcPr>
            <w:tcW w:w="10710" w:type="dxa"/>
            <w:gridSpan w:val="6"/>
            <w:tcBorders>
              <w:top w:val="nil"/>
              <w:left w:val="double" w:sz="6" w:space="0" w:color="auto"/>
              <w:bottom w:val="single" w:sz="6" w:space="0" w:color="auto"/>
              <w:right w:val="double" w:sz="6" w:space="0" w:color="auto"/>
            </w:tcBorders>
            <w:hideMark/>
          </w:tcPr>
          <w:p w:rsidR="00AB438F" w:rsidRPr="00AB438F" w:rsidRDefault="00AB438F" w:rsidP="00A303A0">
            <w:pPr>
              <w:jc w:val="center"/>
              <w:rPr>
                <w:b/>
                <w:sz w:val="24"/>
              </w:rPr>
            </w:pPr>
            <w:r w:rsidRPr="00AB438F">
              <w:rPr>
                <w:b/>
                <w:sz w:val="24"/>
              </w:rPr>
              <w:t>GENERAL REPORTING REQUIREMENTS – FTA C. 4702.1A. IV, 1-9</w:t>
            </w:r>
          </w:p>
        </w:tc>
      </w:tr>
      <w:tr w:rsidR="00AB438F" w:rsidRPr="00AB438F" w:rsidTr="00AB438F">
        <w:tc>
          <w:tcPr>
            <w:tcW w:w="2430" w:type="dxa"/>
            <w:tcBorders>
              <w:top w:val="nil"/>
              <w:left w:val="double" w:sz="6" w:space="0" w:color="auto"/>
              <w:bottom w:val="single" w:sz="6" w:space="0" w:color="auto"/>
              <w:right w:val="single" w:sz="6" w:space="0" w:color="auto"/>
            </w:tcBorders>
            <w:hideMark/>
          </w:tcPr>
          <w:p w:rsidR="00AB438F" w:rsidRPr="00FD5ABA" w:rsidRDefault="00AB438F" w:rsidP="00150F0E">
            <w:pPr>
              <w:numPr>
                <w:ilvl w:val="0"/>
                <w:numId w:val="16"/>
              </w:numPr>
              <w:tabs>
                <w:tab w:val="left" w:pos="720"/>
                <w:tab w:val="center" w:pos="4320"/>
                <w:tab w:val="right" w:pos="8640"/>
              </w:tabs>
              <w:rPr>
                <w:sz w:val="22"/>
                <w:szCs w:val="22"/>
              </w:rPr>
            </w:pPr>
            <w:r w:rsidRPr="00FD5ABA">
              <w:rPr>
                <w:sz w:val="22"/>
                <w:szCs w:val="22"/>
              </w:rPr>
              <w:t>Inclusive Public Participation</w:t>
            </w:r>
          </w:p>
        </w:tc>
        <w:tc>
          <w:tcPr>
            <w:tcW w:w="1080" w:type="dxa"/>
            <w:tcBorders>
              <w:top w:val="nil"/>
              <w:left w:val="single" w:sz="6" w:space="0" w:color="auto"/>
              <w:bottom w:val="single" w:sz="6" w:space="0" w:color="auto"/>
              <w:right w:val="single" w:sz="6" w:space="0" w:color="auto"/>
            </w:tcBorders>
            <w:hideMark/>
          </w:tcPr>
          <w:p w:rsidR="00AB438F" w:rsidRPr="00FD5ABA" w:rsidRDefault="00AB438F" w:rsidP="00A303A0">
            <w:pPr>
              <w:jc w:val="center"/>
              <w:rPr>
                <w:sz w:val="22"/>
                <w:szCs w:val="22"/>
              </w:rPr>
            </w:pPr>
            <w:r w:rsidRPr="00FD5ABA">
              <w:rPr>
                <w:sz w:val="22"/>
                <w:szCs w:val="22"/>
              </w:rPr>
              <w:t>ND</w:t>
            </w:r>
          </w:p>
        </w:tc>
        <w:tc>
          <w:tcPr>
            <w:tcW w:w="2250" w:type="dxa"/>
            <w:tcBorders>
              <w:top w:val="nil"/>
              <w:left w:val="single" w:sz="6" w:space="0" w:color="auto"/>
              <w:bottom w:val="single" w:sz="6" w:space="0" w:color="auto"/>
              <w:right w:val="single" w:sz="6" w:space="0" w:color="auto"/>
            </w:tcBorders>
            <w:hideMark/>
          </w:tcPr>
          <w:p w:rsidR="00AB438F" w:rsidRPr="00FD5ABA" w:rsidRDefault="00AB438F" w:rsidP="00A303A0">
            <w:pPr>
              <w:rPr>
                <w:sz w:val="22"/>
                <w:szCs w:val="22"/>
              </w:rPr>
            </w:pPr>
            <w:r w:rsidRPr="00FD5ABA">
              <w:rPr>
                <w:sz w:val="22"/>
                <w:szCs w:val="22"/>
              </w:rPr>
              <w:t xml:space="preserve"> </w:t>
            </w:r>
          </w:p>
        </w:tc>
        <w:tc>
          <w:tcPr>
            <w:tcW w:w="2430" w:type="dxa"/>
            <w:tcBorders>
              <w:top w:val="nil"/>
              <w:left w:val="single" w:sz="6" w:space="0" w:color="auto"/>
              <w:bottom w:val="single" w:sz="6" w:space="0" w:color="auto"/>
              <w:right w:val="single" w:sz="6" w:space="0" w:color="auto"/>
            </w:tcBorders>
          </w:tcPr>
          <w:p w:rsidR="00AB438F" w:rsidRPr="00FD5ABA" w:rsidRDefault="00AB438F" w:rsidP="00A303A0">
            <w:pPr>
              <w:tabs>
                <w:tab w:val="left" w:pos="720"/>
                <w:tab w:val="center" w:pos="4320"/>
                <w:tab w:val="right" w:pos="8640"/>
              </w:tabs>
              <w:ind w:left="45"/>
              <w:rPr>
                <w:sz w:val="22"/>
                <w:szCs w:val="22"/>
              </w:rPr>
            </w:pPr>
          </w:p>
        </w:tc>
        <w:tc>
          <w:tcPr>
            <w:tcW w:w="1260" w:type="dxa"/>
            <w:tcBorders>
              <w:top w:val="nil"/>
              <w:left w:val="single" w:sz="6" w:space="0" w:color="auto"/>
              <w:bottom w:val="single" w:sz="6" w:space="0" w:color="auto"/>
              <w:right w:val="single" w:sz="6" w:space="0" w:color="auto"/>
            </w:tcBorders>
          </w:tcPr>
          <w:p w:rsidR="00AB438F" w:rsidRPr="00FD5ABA" w:rsidRDefault="00AB438F" w:rsidP="00A303A0">
            <w:pPr>
              <w:ind w:left="45"/>
              <w:jc w:val="center"/>
              <w:rPr>
                <w:sz w:val="22"/>
                <w:szCs w:val="22"/>
              </w:rPr>
            </w:pPr>
          </w:p>
        </w:tc>
        <w:tc>
          <w:tcPr>
            <w:tcW w:w="1260" w:type="dxa"/>
            <w:tcBorders>
              <w:top w:val="nil"/>
              <w:left w:val="single" w:sz="6" w:space="0" w:color="auto"/>
              <w:bottom w:val="single" w:sz="6" w:space="0" w:color="auto"/>
              <w:right w:val="double" w:sz="6" w:space="0" w:color="auto"/>
            </w:tcBorders>
          </w:tcPr>
          <w:p w:rsidR="00AB438F" w:rsidRPr="00E84E61" w:rsidRDefault="00AB438F" w:rsidP="00A303A0">
            <w:pPr>
              <w:jc w:val="center"/>
              <w:rPr>
                <w:sz w:val="22"/>
                <w:szCs w:val="22"/>
              </w:rPr>
            </w:pPr>
          </w:p>
        </w:tc>
      </w:tr>
      <w:tr w:rsidR="00AB438F" w:rsidRPr="00AB438F" w:rsidTr="00AB438F">
        <w:tc>
          <w:tcPr>
            <w:tcW w:w="2430" w:type="dxa"/>
            <w:tcBorders>
              <w:top w:val="single" w:sz="6" w:space="0" w:color="auto"/>
              <w:left w:val="double" w:sz="6" w:space="0" w:color="auto"/>
              <w:bottom w:val="single" w:sz="6" w:space="0" w:color="auto"/>
              <w:right w:val="single" w:sz="6" w:space="0" w:color="auto"/>
            </w:tcBorders>
            <w:hideMark/>
          </w:tcPr>
          <w:p w:rsidR="00AB438F" w:rsidRPr="00FD5ABA" w:rsidRDefault="00AB438F" w:rsidP="00150F0E">
            <w:pPr>
              <w:numPr>
                <w:ilvl w:val="0"/>
                <w:numId w:val="16"/>
              </w:numPr>
              <w:contextualSpacing/>
              <w:rPr>
                <w:sz w:val="22"/>
                <w:szCs w:val="22"/>
              </w:rPr>
            </w:pPr>
            <w:r w:rsidRPr="00FD5ABA">
              <w:rPr>
                <w:sz w:val="22"/>
                <w:szCs w:val="22"/>
              </w:rPr>
              <w:t>Language Access to LEP Persons</w:t>
            </w:r>
          </w:p>
        </w:tc>
        <w:tc>
          <w:tcPr>
            <w:tcW w:w="1080" w:type="dxa"/>
            <w:tcBorders>
              <w:top w:val="single" w:sz="6" w:space="0" w:color="auto"/>
              <w:left w:val="single" w:sz="6" w:space="0" w:color="auto"/>
              <w:bottom w:val="single" w:sz="6" w:space="0" w:color="auto"/>
              <w:right w:val="single" w:sz="6" w:space="0" w:color="auto"/>
            </w:tcBorders>
            <w:hideMark/>
          </w:tcPr>
          <w:p w:rsidR="00AB438F" w:rsidRPr="00FD5ABA" w:rsidRDefault="00AB438F" w:rsidP="00A303A0">
            <w:pPr>
              <w:jc w:val="center"/>
              <w:rPr>
                <w:sz w:val="22"/>
                <w:szCs w:val="22"/>
              </w:rPr>
            </w:pPr>
            <w:r w:rsidRPr="00FD5ABA">
              <w:rPr>
                <w:sz w:val="22"/>
                <w:szCs w:val="22"/>
              </w:rPr>
              <w:t>D</w:t>
            </w:r>
          </w:p>
        </w:tc>
        <w:tc>
          <w:tcPr>
            <w:tcW w:w="225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ind w:left="45"/>
              <w:rPr>
                <w:sz w:val="22"/>
                <w:szCs w:val="22"/>
              </w:rPr>
            </w:pPr>
            <w:r w:rsidRPr="00FD5ABA">
              <w:rPr>
                <w:sz w:val="22"/>
                <w:szCs w:val="22"/>
              </w:rPr>
              <w:t>No four-factor analysis or Language Assistance Plan (LAP).</w:t>
            </w:r>
          </w:p>
          <w:p w:rsidR="00AB438F" w:rsidRPr="00FD5ABA" w:rsidRDefault="00AB438F" w:rsidP="00A303A0">
            <w:pPr>
              <w:ind w:left="45"/>
              <w:rPr>
                <w:sz w:val="22"/>
                <w:szCs w:val="22"/>
              </w:rPr>
            </w:pPr>
          </w:p>
        </w:tc>
        <w:tc>
          <w:tcPr>
            <w:tcW w:w="2430" w:type="dxa"/>
            <w:tcBorders>
              <w:top w:val="single" w:sz="6" w:space="0" w:color="auto"/>
              <w:left w:val="single" w:sz="6" w:space="0" w:color="auto"/>
              <w:bottom w:val="single" w:sz="6" w:space="0" w:color="auto"/>
              <w:right w:val="single" w:sz="6" w:space="0" w:color="auto"/>
            </w:tcBorders>
            <w:hideMark/>
          </w:tcPr>
          <w:p w:rsidR="00C17FFB" w:rsidRPr="00FD5ABA" w:rsidRDefault="003B2BD2" w:rsidP="00A303A0">
            <w:pPr>
              <w:rPr>
                <w:sz w:val="22"/>
                <w:szCs w:val="22"/>
              </w:rPr>
            </w:pPr>
            <w:r w:rsidRPr="00FD5ABA">
              <w:rPr>
                <w:sz w:val="22"/>
                <w:szCs w:val="22"/>
              </w:rPr>
              <w:t>METRO</w:t>
            </w:r>
            <w:r w:rsidR="00AB438F" w:rsidRPr="00FD5ABA">
              <w:rPr>
                <w:sz w:val="22"/>
                <w:szCs w:val="22"/>
              </w:rPr>
              <w:t xml:space="preserve"> must submit to the FTA Equal Opportunity Specialist in FTA’s Headquarters Office of Civil Rights documentation that it has completed a LEP four-factor assessment and developed a Language Assistance Plan, as required by FTA Circular 4702.1A.</w:t>
            </w:r>
          </w:p>
        </w:tc>
        <w:tc>
          <w:tcPr>
            <w:tcW w:w="1260" w:type="dxa"/>
            <w:tcBorders>
              <w:top w:val="single" w:sz="6" w:space="0" w:color="auto"/>
              <w:left w:val="single" w:sz="6" w:space="0" w:color="auto"/>
              <w:bottom w:val="single" w:sz="6" w:space="0" w:color="auto"/>
              <w:right w:val="single" w:sz="6" w:space="0" w:color="auto"/>
            </w:tcBorders>
            <w:hideMark/>
          </w:tcPr>
          <w:p w:rsidR="00AB438F" w:rsidRPr="00FD5ABA" w:rsidRDefault="00AB438F" w:rsidP="00A303A0">
            <w:pPr>
              <w:ind w:left="45"/>
              <w:jc w:val="center"/>
              <w:rPr>
                <w:sz w:val="22"/>
                <w:szCs w:val="22"/>
              </w:rPr>
            </w:pPr>
            <w:r w:rsidRPr="00FD5ABA">
              <w:rPr>
                <w:sz w:val="22"/>
                <w:szCs w:val="22"/>
              </w:rPr>
              <w:t>120 Days</w:t>
            </w:r>
          </w:p>
        </w:tc>
        <w:tc>
          <w:tcPr>
            <w:tcW w:w="1260" w:type="dxa"/>
            <w:tcBorders>
              <w:top w:val="single" w:sz="6" w:space="0" w:color="auto"/>
              <w:left w:val="single" w:sz="6" w:space="0" w:color="auto"/>
              <w:bottom w:val="single" w:sz="6" w:space="0" w:color="auto"/>
              <w:right w:val="double" w:sz="6" w:space="0" w:color="auto"/>
            </w:tcBorders>
          </w:tcPr>
          <w:p w:rsidR="00AB438F" w:rsidRPr="00E84E61" w:rsidRDefault="00AB438F" w:rsidP="00A303A0">
            <w:pPr>
              <w:jc w:val="center"/>
              <w:rPr>
                <w:sz w:val="22"/>
                <w:szCs w:val="22"/>
              </w:rPr>
            </w:pPr>
          </w:p>
        </w:tc>
      </w:tr>
      <w:tr w:rsidR="00AB438F" w:rsidRPr="00AB438F" w:rsidTr="00AB438F">
        <w:tc>
          <w:tcPr>
            <w:tcW w:w="2430" w:type="dxa"/>
            <w:tcBorders>
              <w:top w:val="single" w:sz="6" w:space="0" w:color="auto"/>
              <w:left w:val="double" w:sz="6" w:space="0" w:color="auto"/>
              <w:bottom w:val="single" w:sz="6" w:space="0" w:color="auto"/>
              <w:right w:val="single" w:sz="6" w:space="0" w:color="auto"/>
            </w:tcBorders>
            <w:hideMark/>
          </w:tcPr>
          <w:p w:rsidR="00AB438F" w:rsidRPr="00FD5ABA" w:rsidRDefault="00AB438F" w:rsidP="00150F0E">
            <w:pPr>
              <w:numPr>
                <w:ilvl w:val="0"/>
                <w:numId w:val="16"/>
              </w:numPr>
              <w:contextualSpacing/>
              <w:rPr>
                <w:sz w:val="22"/>
                <w:szCs w:val="22"/>
              </w:rPr>
            </w:pPr>
            <w:r w:rsidRPr="00FD5ABA">
              <w:rPr>
                <w:sz w:val="22"/>
                <w:szCs w:val="22"/>
              </w:rPr>
              <w:t>Title VI Complaint Procedures</w:t>
            </w:r>
          </w:p>
        </w:tc>
        <w:tc>
          <w:tcPr>
            <w:tcW w:w="108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jc w:val="center"/>
              <w:rPr>
                <w:sz w:val="22"/>
                <w:szCs w:val="22"/>
              </w:rPr>
            </w:pPr>
            <w:r w:rsidRPr="00FD5ABA">
              <w:rPr>
                <w:sz w:val="22"/>
                <w:szCs w:val="22"/>
              </w:rPr>
              <w:t>ND</w:t>
            </w:r>
          </w:p>
          <w:p w:rsidR="00AB438F" w:rsidRPr="00FD5ABA" w:rsidRDefault="00AB438F" w:rsidP="00A303A0">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rPr>
                <w:sz w:val="22"/>
                <w:szCs w:val="22"/>
              </w:rPr>
            </w:pPr>
          </w:p>
          <w:p w:rsidR="00AB438F" w:rsidRPr="00FD5ABA" w:rsidRDefault="00AB438F" w:rsidP="00A303A0">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rPr>
                <w:sz w:val="22"/>
                <w:szCs w:val="22"/>
              </w:rPr>
            </w:pPr>
          </w:p>
          <w:p w:rsidR="00AB438F" w:rsidRPr="00FD5ABA" w:rsidRDefault="00AB438F" w:rsidP="00A303A0">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ind w:left="45"/>
              <w:rPr>
                <w:sz w:val="22"/>
                <w:szCs w:val="22"/>
              </w:rPr>
            </w:pPr>
          </w:p>
        </w:tc>
        <w:tc>
          <w:tcPr>
            <w:tcW w:w="1260" w:type="dxa"/>
            <w:tcBorders>
              <w:top w:val="single" w:sz="6" w:space="0" w:color="auto"/>
              <w:left w:val="single" w:sz="6" w:space="0" w:color="auto"/>
              <w:bottom w:val="single" w:sz="6" w:space="0" w:color="auto"/>
              <w:right w:val="double" w:sz="6" w:space="0" w:color="auto"/>
            </w:tcBorders>
          </w:tcPr>
          <w:p w:rsidR="00AB438F" w:rsidRPr="00E84E61" w:rsidRDefault="00AB438F" w:rsidP="00A303A0">
            <w:pPr>
              <w:jc w:val="center"/>
              <w:rPr>
                <w:sz w:val="22"/>
                <w:szCs w:val="22"/>
              </w:rPr>
            </w:pPr>
          </w:p>
        </w:tc>
      </w:tr>
      <w:tr w:rsidR="00AB438F" w:rsidRPr="00AB438F" w:rsidTr="00AB438F">
        <w:tc>
          <w:tcPr>
            <w:tcW w:w="2430" w:type="dxa"/>
            <w:tcBorders>
              <w:top w:val="single" w:sz="6" w:space="0" w:color="auto"/>
              <w:left w:val="double" w:sz="6" w:space="0" w:color="auto"/>
              <w:bottom w:val="single" w:sz="6" w:space="0" w:color="auto"/>
              <w:right w:val="single" w:sz="6" w:space="0" w:color="auto"/>
            </w:tcBorders>
            <w:hideMark/>
          </w:tcPr>
          <w:p w:rsidR="00AB438F" w:rsidRPr="00FD5ABA" w:rsidRDefault="00AB438F" w:rsidP="00150F0E">
            <w:pPr>
              <w:numPr>
                <w:ilvl w:val="0"/>
                <w:numId w:val="16"/>
              </w:numPr>
              <w:contextualSpacing/>
              <w:rPr>
                <w:sz w:val="22"/>
                <w:szCs w:val="22"/>
              </w:rPr>
            </w:pPr>
            <w:r w:rsidRPr="00FD5ABA">
              <w:rPr>
                <w:sz w:val="22"/>
                <w:szCs w:val="22"/>
              </w:rPr>
              <w:t>Record of Title VI Investigations, Complaints, and Lawsuits</w:t>
            </w:r>
          </w:p>
        </w:tc>
        <w:tc>
          <w:tcPr>
            <w:tcW w:w="1080" w:type="dxa"/>
            <w:tcBorders>
              <w:top w:val="single" w:sz="6" w:space="0" w:color="auto"/>
              <w:left w:val="single" w:sz="6" w:space="0" w:color="auto"/>
              <w:bottom w:val="single" w:sz="6" w:space="0" w:color="auto"/>
              <w:right w:val="single" w:sz="6" w:space="0" w:color="auto"/>
            </w:tcBorders>
            <w:hideMark/>
          </w:tcPr>
          <w:p w:rsidR="00AB438F" w:rsidRPr="00FD5ABA" w:rsidRDefault="00AB438F" w:rsidP="00A303A0">
            <w:pPr>
              <w:jc w:val="center"/>
              <w:rPr>
                <w:sz w:val="22"/>
                <w:szCs w:val="22"/>
              </w:rPr>
            </w:pPr>
            <w:r w:rsidRPr="00FD5ABA">
              <w:rPr>
                <w:sz w:val="22"/>
                <w:szCs w:val="22"/>
              </w:rPr>
              <w:t>ND</w:t>
            </w:r>
          </w:p>
        </w:tc>
        <w:tc>
          <w:tcPr>
            <w:tcW w:w="225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ind w:left="45"/>
              <w:rPr>
                <w:sz w:val="22"/>
                <w:szCs w:val="22"/>
              </w:rPr>
            </w:pPr>
          </w:p>
        </w:tc>
        <w:tc>
          <w:tcPr>
            <w:tcW w:w="243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ind w:left="45"/>
              <w:jc w:val="center"/>
              <w:rPr>
                <w:sz w:val="22"/>
                <w:szCs w:val="22"/>
              </w:rPr>
            </w:pPr>
          </w:p>
        </w:tc>
        <w:tc>
          <w:tcPr>
            <w:tcW w:w="1260" w:type="dxa"/>
            <w:tcBorders>
              <w:top w:val="single" w:sz="6" w:space="0" w:color="auto"/>
              <w:left w:val="single" w:sz="6" w:space="0" w:color="auto"/>
              <w:bottom w:val="single" w:sz="6" w:space="0" w:color="auto"/>
              <w:right w:val="double" w:sz="6" w:space="0" w:color="auto"/>
            </w:tcBorders>
          </w:tcPr>
          <w:p w:rsidR="00AB438F" w:rsidRPr="00E84E61" w:rsidRDefault="00AB438F" w:rsidP="00A303A0">
            <w:pPr>
              <w:jc w:val="center"/>
              <w:rPr>
                <w:sz w:val="22"/>
                <w:szCs w:val="22"/>
              </w:rPr>
            </w:pPr>
          </w:p>
        </w:tc>
      </w:tr>
      <w:tr w:rsidR="00AB438F" w:rsidRPr="00AB438F" w:rsidTr="00AB438F">
        <w:tc>
          <w:tcPr>
            <w:tcW w:w="2430" w:type="dxa"/>
            <w:tcBorders>
              <w:top w:val="single" w:sz="6" w:space="0" w:color="auto"/>
              <w:left w:val="double" w:sz="6" w:space="0" w:color="auto"/>
              <w:bottom w:val="single" w:sz="6" w:space="0" w:color="auto"/>
              <w:right w:val="single" w:sz="6" w:space="0" w:color="auto"/>
            </w:tcBorders>
            <w:hideMark/>
          </w:tcPr>
          <w:p w:rsidR="00AB438F" w:rsidRPr="00FD5ABA" w:rsidRDefault="00AB438F" w:rsidP="00150F0E">
            <w:pPr>
              <w:numPr>
                <w:ilvl w:val="0"/>
                <w:numId w:val="16"/>
              </w:numPr>
              <w:contextualSpacing/>
              <w:rPr>
                <w:sz w:val="22"/>
                <w:szCs w:val="22"/>
              </w:rPr>
            </w:pPr>
            <w:r w:rsidRPr="00FD5ABA">
              <w:rPr>
                <w:sz w:val="22"/>
                <w:szCs w:val="22"/>
              </w:rPr>
              <w:t>Notice to Beneficiaries of Protection Under Title VI</w:t>
            </w:r>
          </w:p>
        </w:tc>
        <w:tc>
          <w:tcPr>
            <w:tcW w:w="1080" w:type="dxa"/>
            <w:tcBorders>
              <w:top w:val="single" w:sz="6" w:space="0" w:color="auto"/>
              <w:left w:val="single" w:sz="6" w:space="0" w:color="auto"/>
              <w:bottom w:val="single" w:sz="6" w:space="0" w:color="auto"/>
              <w:right w:val="single" w:sz="6" w:space="0" w:color="auto"/>
            </w:tcBorders>
            <w:hideMark/>
          </w:tcPr>
          <w:p w:rsidR="00AB438F" w:rsidRPr="00FD5ABA" w:rsidRDefault="00AB438F" w:rsidP="00A303A0">
            <w:pPr>
              <w:jc w:val="center"/>
              <w:rPr>
                <w:sz w:val="22"/>
                <w:szCs w:val="22"/>
              </w:rPr>
            </w:pPr>
            <w:r w:rsidRPr="00FD5ABA">
              <w:rPr>
                <w:sz w:val="22"/>
                <w:szCs w:val="22"/>
              </w:rPr>
              <w:t>ND</w:t>
            </w:r>
          </w:p>
        </w:tc>
        <w:tc>
          <w:tcPr>
            <w:tcW w:w="225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ind w:left="45"/>
              <w:rPr>
                <w:sz w:val="22"/>
                <w:szCs w:val="22"/>
              </w:rPr>
            </w:pPr>
          </w:p>
        </w:tc>
        <w:tc>
          <w:tcPr>
            <w:tcW w:w="243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ind w:left="45"/>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keepNext/>
              <w:outlineLvl w:val="8"/>
              <w:rPr>
                <w:sz w:val="22"/>
                <w:szCs w:val="22"/>
              </w:rPr>
            </w:pPr>
          </w:p>
        </w:tc>
        <w:tc>
          <w:tcPr>
            <w:tcW w:w="1260" w:type="dxa"/>
            <w:tcBorders>
              <w:top w:val="single" w:sz="6" w:space="0" w:color="auto"/>
              <w:left w:val="single" w:sz="6" w:space="0" w:color="auto"/>
              <w:bottom w:val="single" w:sz="6" w:space="0" w:color="auto"/>
              <w:right w:val="double" w:sz="6" w:space="0" w:color="auto"/>
            </w:tcBorders>
          </w:tcPr>
          <w:p w:rsidR="00AB438F" w:rsidRPr="00E84E61" w:rsidRDefault="00AB438F" w:rsidP="00A303A0">
            <w:pPr>
              <w:jc w:val="center"/>
              <w:rPr>
                <w:sz w:val="22"/>
                <w:szCs w:val="22"/>
              </w:rPr>
            </w:pPr>
          </w:p>
        </w:tc>
      </w:tr>
      <w:tr w:rsidR="00AB438F" w:rsidRPr="00AB438F" w:rsidTr="00AB438F">
        <w:tc>
          <w:tcPr>
            <w:tcW w:w="2430" w:type="dxa"/>
            <w:tcBorders>
              <w:top w:val="single" w:sz="6" w:space="0" w:color="auto"/>
              <w:left w:val="double" w:sz="6" w:space="0" w:color="auto"/>
              <w:bottom w:val="single" w:sz="6" w:space="0" w:color="auto"/>
              <w:right w:val="single" w:sz="6" w:space="0" w:color="auto"/>
            </w:tcBorders>
            <w:hideMark/>
          </w:tcPr>
          <w:p w:rsidR="00AB438F" w:rsidRPr="00FD5ABA" w:rsidRDefault="00AB438F" w:rsidP="00150F0E">
            <w:pPr>
              <w:numPr>
                <w:ilvl w:val="0"/>
                <w:numId w:val="16"/>
              </w:numPr>
              <w:contextualSpacing/>
              <w:rPr>
                <w:sz w:val="22"/>
                <w:szCs w:val="22"/>
              </w:rPr>
            </w:pPr>
            <w:r w:rsidRPr="00FD5ABA">
              <w:rPr>
                <w:sz w:val="22"/>
                <w:szCs w:val="22"/>
              </w:rPr>
              <w:t>Annual Title VI Certification and Assurance</w:t>
            </w:r>
          </w:p>
        </w:tc>
        <w:tc>
          <w:tcPr>
            <w:tcW w:w="1080" w:type="dxa"/>
            <w:tcBorders>
              <w:top w:val="single" w:sz="6" w:space="0" w:color="auto"/>
              <w:left w:val="single" w:sz="6" w:space="0" w:color="auto"/>
              <w:bottom w:val="single" w:sz="6" w:space="0" w:color="auto"/>
              <w:right w:val="single" w:sz="6" w:space="0" w:color="auto"/>
            </w:tcBorders>
            <w:hideMark/>
          </w:tcPr>
          <w:p w:rsidR="00AB438F" w:rsidRPr="00FD5ABA" w:rsidRDefault="00AB438F" w:rsidP="00A303A0">
            <w:pPr>
              <w:jc w:val="center"/>
              <w:rPr>
                <w:sz w:val="22"/>
                <w:szCs w:val="22"/>
              </w:rPr>
            </w:pPr>
            <w:r w:rsidRPr="00FD5ABA">
              <w:rPr>
                <w:sz w:val="22"/>
                <w:szCs w:val="22"/>
              </w:rPr>
              <w:t>ND</w:t>
            </w:r>
          </w:p>
        </w:tc>
        <w:tc>
          <w:tcPr>
            <w:tcW w:w="225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ind w:left="45"/>
              <w:rPr>
                <w:sz w:val="22"/>
                <w:szCs w:val="22"/>
              </w:rPr>
            </w:pPr>
          </w:p>
        </w:tc>
        <w:tc>
          <w:tcPr>
            <w:tcW w:w="243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tabs>
                <w:tab w:val="left" w:pos="330"/>
              </w:tabs>
              <w:ind w:left="330" w:hanging="3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B438F" w:rsidRPr="00FD5ABA" w:rsidRDefault="00AB438F" w:rsidP="00A303A0">
            <w:pPr>
              <w:jc w:val="center"/>
              <w:rPr>
                <w:sz w:val="22"/>
                <w:szCs w:val="22"/>
              </w:rPr>
            </w:pPr>
          </w:p>
        </w:tc>
        <w:tc>
          <w:tcPr>
            <w:tcW w:w="1260" w:type="dxa"/>
            <w:tcBorders>
              <w:top w:val="single" w:sz="6" w:space="0" w:color="auto"/>
              <w:left w:val="single" w:sz="6" w:space="0" w:color="auto"/>
              <w:bottom w:val="single" w:sz="6" w:space="0" w:color="auto"/>
              <w:right w:val="double" w:sz="6" w:space="0" w:color="auto"/>
            </w:tcBorders>
          </w:tcPr>
          <w:p w:rsidR="00AB438F" w:rsidRPr="00E84E61" w:rsidRDefault="00AB438F" w:rsidP="00A303A0">
            <w:pPr>
              <w:jc w:val="center"/>
              <w:rPr>
                <w:sz w:val="22"/>
                <w:szCs w:val="22"/>
              </w:rPr>
            </w:pPr>
          </w:p>
        </w:tc>
      </w:tr>
      <w:tr w:rsidR="005A6C65" w:rsidRPr="00AB438F" w:rsidTr="00A303A0">
        <w:tc>
          <w:tcPr>
            <w:tcW w:w="2430" w:type="dxa"/>
            <w:tcBorders>
              <w:top w:val="single" w:sz="6" w:space="0" w:color="auto"/>
              <w:left w:val="double" w:sz="6" w:space="0" w:color="auto"/>
              <w:bottom w:val="single" w:sz="6" w:space="0" w:color="auto"/>
              <w:right w:val="single" w:sz="6" w:space="0" w:color="auto"/>
            </w:tcBorders>
            <w:hideMark/>
          </w:tcPr>
          <w:p w:rsidR="005A6C65" w:rsidRPr="00FD5ABA" w:rsidRDefault="005A6C65" w:rsidP="00150F0E">
            <w:pPr>
              <w:numPr>
                <w:ilvl w:val="0"/>
                <w:numId w:val="16"/>
              </w:numPr>
              <w:contextualSpacing/>
              <w:rPr>
                <w:sz w:val="22"/>
                <w:szCs w:val="22"/>
              </w:rPr>
            </w:pPr>
            <w:r w:rsidRPr="00FD5ABA">
              <w:rPr>
                <w:sz w:val="22"/>
                <w:szCs w:val="22"/>
              </w:rPr>
              <w:t>Environmental Justice Analysis of Construction Projects</w:t>
            </w:r>
          </w:p>
        </w:tc>
        <w:tc>
          <w:tcPr>
            <w:tcW w:w="1080" w:type="dxa"/>
            <w:tcBorders>
              <w:top w:val="single" w:sz="6" w:space="0" w:color="auto"/>
              <w:left w:val="single" w:sz="6" w:space="0" w:color="auto"/>
              <w:bottom w:val="single" w:sz="6" w:space="0" w:color="auto"/>
              <w:right w:val="single" w:sz="6" w:space="0" w:color="auto"/>
            </w:tcBorders>
            <w:hideMark/>
          </w:tcPr>
          <w:p w:rsidR="005A6C65" w:rsidRPr="00FD5ABA" w:rsidRDefault="005A6C65" w:rsidP="00A303A0">
            <w:pPr>
              <w:jc w:val="center"/>
              <w:rPr>
                <w:sz w:val="22"/>
                <w:szCs w:val="22"/>
              </w:rPr>
            </w:pPr>
            <w:r w:rsidRPr="00FD5ABA">
              <w:rPr>
                <w:sz w:val="22"/>
                <w:szCs w:val="22"/>
              </w:rPr>
              <w:t>AC</w:t>
            </w:r>
          </w:p>
        </w:tc>
        <w:tc>
          <w:tcPr>
            <w:tcW w:w="2250" w:type="dxa"/>
            <w:tcBorders>
              <w:top w:val="single" w:sz="6" w:space="0" w:color="auto"/>
              <w:left w:val="single" w:sz="6" w:space="0" w:color="auto"/>
              <w:bottom w:val="single" w:sz="6" w:space="0" w:color="auto"/>
              <w:right w:val="single" w:sz="6" w:space="0" w:color="auto"/>
            </w:tcBorders>
          </w:tcPr>
          <w:p w:rsidR="005A6C65" w:rsidRPr="00FD5ABA" w:rsidRDefault="005A6C65" w:rsidP="00A303A0">
            <w:pPr>
              <w:ind w:left="45"/>
              <w:rPr>
                <w:sz w:val="22"/>
                <w:szCs w:val="22"/>
              </w:rPr>
            </w:pPr>
            <w:r w:rsidRPr="00FD5ABA">
              <w:rPr>
                <w:sz w:val="22"/>
                <w:szCs w:val="22"/>
              </w:rPr>
              <w:t xml:space="preserve">For all future construction projects requiring a Categorical Exclusion (CE), METRO was advised to complete a FTA CE </w:t>
            </w:r>
            <w:r w:rsidR="00BA1E91" w:rsidRPr="00FD5ABA">
              <w:rPr>
                <w:sz w:val="22"/>
                <w:szCs w:val="22"/>
              </w:rPr>
              <w:t>C</w:t>
            </w:r>
            <w:r w:rsidRPr="00FD5ABA">
              <w:rPr>
                <w:sz w:val="22"/>
                <w:szCs w:val="22"/>
              </w:rPr>
              <w:t xml:space="preserve">hecklist per FTA Circular 4702.1A, IV, 8.  </w:t>
            </w:r>
          </w:p>
          <w:p w:rsidR="005A6C65" w:rsidRPr="00FD5ABA" w:rsidRDefault="005A6C65" w:rsidP="00A303A0">
            <w:pPr>
              <w:ind w:left="45"/>
              <w:rPr>
                <w:sz w:val="22"/>
                <w:szCs w:val="22"/>
              </w:rPr>
            </w:pPr>
          </w:p>
          <w:p w:rsidR="00C17FFB" w:rsidRPr="00FD5ABA" w:rsidRDefault="005A6C65" w:rsidP="00A303A0">
            <w:pPr>
              <w:ind w:left="45"/>
              <w:rPr>
                <w:sz w:val="22"/>
                <w:szCs w:val="22"/>
              </w:rPr>
            </w:pPr>
            <w:r w:rsidRPr="00FD5ABA">
              <w:rPr>
                <w:sz w:val="22"/>
                <w:szCs w:val="22"/>
              </w:rPr>
              <w:t xml:space="preserve">For all future construction projects </w:t>
            </w:r>
            <w:r w:rsidRPr="00FD5ABA">
              <w:rPr>
                <w:sz w:val="22"/>
                <w:szCs w:val="22"/>
              </w:rPr>
              <w:lastRenderedPageBreak/>
              <w:t>requiring an Environmental Assessment (EA), or Environmental Impact Statement/Report (EIS/EIR), METRO was advised to include all six elements required by FTA Circular 4702.1A, IV, 8.</w:t>
            </w:r>
          </w:p>
        </w:tc>
        <w:tc>
          <w:tcPr>
            <w:tcW w:w="2430" w:type="dxa"/>
            <w:tcBorders>
              <w:top w:val="single" w:sz="6" w:space="0" w:color="auto"/>
              <w:left w:val="single" w:sz="6" w:space="0" w:color="auto"/>
              <w:bottom w:val="single" w:sz="6" w:space="0" w:color="auto"/>
              <w:right w:val="single" w:sz="6" w:space="0" w:color="auto"/>
            </w:tcBorders>
          </w:tcPr>
          <w:p w:rsidR="005A6C65" w:rsidRPr="00FD5ABA" w:rsidRDefault="005A6C65" w:rsidP="00A303A0">
            <w:pPr>
              <w:ind w:left="45"/>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5A6C65" w:rsidRPr="00FD5ABA" w:rsidRDefault="005A6C65" w:rsidP="00A303A0">
            <w:pPr>
              <w:keepNext/>
              <w:jc w:val="center"/>
              <w:outlineLvl w:val="8"/>
              <w:rPr>
                <w:sz w:val="22"/>
                <w:szCs w:val="22"/>
              </w:rPr>
            </w:pPr>
          </w:p>
        </w:tc>
        <w:tc>
          <w:tcPr>
            <w:tcW w:w="1260" w:type="dxa"/>
            <w:tcBorders>
              <w:top w:val="single" w:sz="6" w:space="0" w:color="auto"/>
              <w:left w:val="single" w:sz="6" w:space="0" w:color="auto"/>
              <w:bottom w:val="single" w:sz="6" w:space="0" w:color="auto"/>
              <w:right w:val="double" w:sz="6" w:space="0" w:color="auto"/>
            </w:tcBorders>
          </w:tcPr>
          <w:p w:rsidR="005A6C65" w:rsidRPr="00E84E61" w:rsidRDefault="005A6C65" w:rsidP="00A303A0">
            <w:pPr>
              <w:jc w:val="center"/>
              <w:rPr>
                <w:sz w:val="22"/>
                <w:szCs w:val="22"/>
              </w:rPr>
            </w:pPr>
          </w:p>
        </w:tc>
      </w:tr>
      <w:tr w:rsidR="005A6C65" w:rsidRPr="00AB438F" w:rsidTr="00A303A0">
        <w:trPr>
          <w:trHeight w:val="588"/>
        </w:trPr>
        <w:tc>
          <w:tcPr>
            <w:tcW w:w="2430" w:type="dxa"/>
            <w:tcBorders>
              <w:top w:val="single" w:sz="6" w:space="0" w:color="auto"/>
              <w:left w:val="double" w:sz="6" w:space="0" w:color="auto"/>
              <w:bottom w:val="single" w:sz="6" w:space="0" w:color="auto"/>
              <w:right w:val="single" w:sz="6" w:space="0" w:color="auto"/>
            </w:tcBorders>
            <w:hideMark/>
          </w:tcPr>
          <w:p w:rsidR="005A6C65" w:rsidRPr="00FD5ABA" w:rsidRDefault="005A6C65" w:rsidP="00150F0E">
            <w:pPr>
              <w:numPr>
                <w:ilvl w:val="0"/>
                <w:numId w:val="16"/>
              </w:numPr>
              <w:contextualSpacing/>
              <w:rPr>
                <w:sz w:val="22"/>
                <w:szCs w:val="22"/>
              </w:rPr>
            </w:pPr>
            <w:r w:rsidRPr="00FD5ABA">
              <w:rPr>
                <w:sz w:val="22"/>
                <w:szCs w:val="22"/>
              </w:rPr>
              <w:lastRenderedPageBreak/>
              <w:t>Submit Title VI Program</w:t>
            </w:r>
          </w:p>
        </w:tc>
        <w:tc>
          <w:tcPr>
            <w:tcW w:w="1080" w:type="dxa"/>
            <w:tcBorders>
              <w:top w:val="single" w:sz="6" w:space="0" w:color="auto"/>
              <w:left w:val="single" w:sz="6" w:space="0" w:color="auto"/>
              <w:bottom w:val="single" w:sz="6" w:space="0" w:color="auto"/>
              <w:right w:val="single" w:sz="6" w:space="0" w:color="auto"/>
            </w:tcBorders>
            <w:hideMark/>
          </w:tcPr>
          <w:p w:rsidR="005A6C65" w:rsidRPr="00FD5ABA" w:rsidRDefault="005A6C65" w:rsidP="00A303A0">
            <w:pPr>
              <w:jc w:val="center"/>
              <w:rPr>
                <w:sz w:val="22"/>
                <w:szCs w:val="22"/>
              </w:rPr>
            </w:pPr>
            <w:r w:rsidRPr="00FD5ABA">
              <w:rPr>
                <w:sz w:val="22"/>
                <w:szCs w:val="22"/>
              </w:rPr>
              <w:t>AC</w:t>
            </w:r>
          </w:p>
        </w:tc>
        <w:tc>
          <w:tcPr>
            <w:tcW w:w="2250" w:type="dxa"/>
            <w:tcBorders>
              <w:top w:val="single" w:sz="6" w:space="0" w:color="auto"/>
              <w:left w:val="single" w:sz="6" w:space="0" w:color="auto"/>
              <w:bottom w:val="single" w:sz="6" w:space="0" w:color="auto"/>
              <w:right w:val="single" w:sz="6" w:space="0" w:color="auto"/>
            </w:tcBorders>
          </w:tcPr>
          <w:p w:rsidR="005A6C65" w:rsidRPr="00FD5ABA" w:rsidRDefault="005A6C65" w:rsidP="00A303A0">
            <w:pPr>
              <w:rPr>
                <w:sz w:val="22"/>
                <w:szCs w:val="22"/>
              </w:rPr>
            </w:pPr>
            <w:r w:rsidRPr="00FD5ABA">
              <w:rPr>
                <w:sz w:val="22"/>
                <w:szCs w:val="22"/>
              </w:rPr>
              <w:t xml:space="preserve">METRO was advised to develop its next Title VI Program Submittal per FTA Circular 4702.1A, IV, 7, which includes providing documentation confirming outreach to minority and low-income communities.  </w:t>
            </w:r>
          </w:p>
          <w:p w:rsidR="005A6C65" w:rsidRPr="00FD5ABA" w:rsidRDefault="005A6C65" w:rsidP="00A303A0">
            <w:pPr>
              <w:rPr>
                <w:sz w:val="22"/>
                <w:szCs w:val="22"/>
              </w:rPr>
            </w:pPr>
          </w:p>
          <w:p w:rsidR="00C17FFB" w:rsidRPr="00FD5ABA" w:rsidRDefault="005A6C65" w:rsidP="00A303A0">
            <w:pPr>
              <w:rPr>
                <w:sz w:val="22"/>
                <w:szCs w:val="22"/>
              </w:rPr>
            </w:pPr>
            <w:r w:rsidRPr="00FD5ABA">
              <w:rPr>
                <w:sz w:val="22"/>
                <w:szCs w:val="22"/>
              </w:rPr>
              <w:t>Items required by the old FTA Circular 4702.1 that are not required by the current FTA Circular 4702.1A should be omitted in future METRO Title VI Program submittals.</w:t>
            </w:r>
          </w:p>
        </w:tc>
        <w:tc>
          <w:tcPr>
            <w:tcW w:w="2430" w:type="dxa"/>
            <w:tcBorders>
              <w:top w:val="single" w:sz="6" w:space="0" w:color="auto"/>
              <w:left w:val="single" w:sz="6" w:space="0" w:color="auto"/>
              <w:bottom w:val="single" w:sz="6" w:space="0" w:color="auto"/>
              <w:right w:val="single" w:sz="6" w:space="0" w:color="auto"/>
            </w:tcBorders>
          </w:tcPr>
          <w:p w:rsidR="005A6C65" w:rsidRPr="00FD5ABA" w:rsidRDefault="00AE0D11" w:rsidP="00A303A0">
            <w:pPr>
              <w:tabs>
                <w:tab w:val="left" w:pos="-30"/>
                <w:tab w:val="left" w:pos="1725"/>
              </w:tabs>
              <w:ind w:left="-30"/>
              <w:rPr>
                <w:sz w:val="22"/>
                <w:szCs w:val="22"/>
              </w:rPr>
            </w:pPr>
            <w:r>
              <w:rPr>
                <w:sz w:val="22"/>
                <w:szCs w:val="22"/>
              </w:rPr>
              <w:t>METRO</w:t>
            </w:r>
            <w:r w:rsidR="00D26B02" w:rsidRPr="00FD5ABA">
              <w:rPr>
                <w:sz w:val="22"/>
                <w:szCs w:val="22"/>
              </w:rPr>
              <w:t xml:space="preserve"> was advised to create a summary of its public outreach and involvement activities to minority and low-income communities that occurred since its February 2010 Title VI Program Submittal and submit its summary to the FTA Region IX Civil Rights Officer as an update to its February 2010 Title VI Program Submittal.</w:t>
            </w:r>
          </w:p>
        </w:tc>
        <w:tc>
          <w:tcPr>
            <w:tcW w:w="1260" w:type="dxa"/>
            <w:tcBorders>
              <w:top w:val="single" w:sz="6" w:space="0" w:color="auto"/>
              <w:left w:val="single" w:sz="6" w:space="0" w:color="auto"/>
              <w:bottom w:val="single" w:sz="6" w:space="0" w:color="auto"/>
              <w:right w:val="single" w:sz="6" w:space="0" w:color="auto"/>
            </w:tcBorders>
          </w:tcPr>
          <w:p w:rsidR="005A6C65" w:rsidRPr="00FD5ABA" w:rsidRDefault="005A6C65" w:rsidP="00A303A0">
            <w:pPr>
              <w:keepNext/>
              <w:jc w:val="center"/>
              <w:outlineLvl w:val="8"/>
              <w:rPr>
                <w:sz w:val="22"/>
                <w:szCs w:val="22"/>
              </w:rPr>
            </w:pPr>
          </w:p>
        </w:tc>
        <w:tc>
          <w:tcPr>
            <w:tcW w:w="1260" w:type="dxa"/>
            <w:tcBorders>
              <w:top w:val="single" w:sz="6" w:space="0" w:color="auto"/>
              <w:left w:val="single" w:sz="6" w:space="0" w:color="auto"/>
              <w:bottom w:val="single" w:sz="6" w:space="0" w:color="auto"/>
              <w:right w:val="double" w:sz="6" w:space="0" w:color="auto"/>
            </w:tcBorders>
          </w:tcPr>
          <w:p w:rsidR="005A6C65" w:rsidRPr="00E84E61" w:rsidRDefault="005A6C65" w:rsidP="00A303A0">
            <w:pPr>
              <w:jc w:val="center"/>
              <w:rPr>
                <w:sz w:val="22"/>
                <w:szCs w:val="22"/>
              </w:rPr>
            </w:pPr>
          </w:p>
        </w:tc>
      </w:tr>
    </w:tbl>
    <w:p w:rsidR="00451F35" w:rsidRDefault="00451F35" w:rsidP="00451F35">
      <w:pPr>
        <w:ind w:left="-180"/>
      </w:pPr>
      <w:bookmarkStart w:id="31" w:name="_Toc106790256"/>
      <w:bookmarkStart w:id="32" w:name="_Toc109968490"/>
      <w:r>
        <w:t>Findings at the time of the site visit:  ND = No Deficiencies</w:t>
      </w:r>
      <w:proofErr w:type="gramStart"/>
      <w:r>
        <w:t>;  D</w:t>
      </w:r>
      <w:proofErr w:type="gramEnd"/>
      <w:r>
        <w:t xml:space="preserve"> = Deficiency;  NA = Not Applicable; </w:t>
      </w:r>
    </w:p>
    <w:p w:rsidR="00451F35" w:rsidRDefault="00451F35" w:rsidP="00451F35">
      <w:pPr>
        <w:ind w:left="-180"/>
      </w:pPr>
      <w:r>
        <w:t>NR = Not Reviewed; AC = Advisory Comment</w:t>
      </w:r>
    </w:p>
    <w:p w:rsidR="009F42D6" w:rsidRDefault="009F42D6">
      <w:r>
        <w:br w:type="page"/>
      </w:r>
    </w:p>
    <w:p w:rsidR="009F42D6" w:rsidRPr="00485289" w:rsidRDefault="00D4641A" w:rsidP="003E35EA">
      <w:pPr>
        <w:pStyle w:val="BHLevel1"/>
        <w:rPr>
          <w:sz w:val="28"/>
          <w:szCs w:val="28"/>
        </w:rPr>
      </w:pPr>
      <w:bookmarkStart w:id="33" w:name="_Toc312841769"/>
      <w:bookmarkEnd w:id="31"/>
      <w:r>
        <w:rPr>
          <w:sz w:val="28"/>
          <w:szCs w:val="28"/>
        </w:rPr>
        <w:lastRenderedPageBreak/>
        <w:t>ATTENDEES</w:t>
      </w:r>
      <w:bookmarkEnd w:id="33"/>
    </w:p>
    <w:p w:rsidR="008A60E2" w:rsidRPr="008A60E2" w:rsidRDefault="008A60E2" w:rsidP="008A60E2">
      <w:pPr>
        <w:spacing w:line="360" w:lineRule="auto"/>
        <w:rPr>
          <w:sz w:val="28"/>
          <w:szCs w:val="28"/>
        </w:rPr>
      </w:pPr>
    </w:p>
    <w:tbl>
      <w:tblPr>
        <w:tblW w:w="10923" w:type="dxa"/>
        <w:jc w:val="center"/>
        <w:tblInd w:w="-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2402"/>
        <w:gridCol w:w="2880"/>
        <w:gridCol w:w="2250"/>
        <w:gridCol w:w="3391"/>
      </w:tblGrid>
      <w:tr w:rsidR="00E22E02" w:rsidRPr="00D526D1" w:rsidTr="00F90C53">
        <w:trPr>
          <w:cantSplit/>
          <w:trHeight w:hRule="exact" w:val="720"/>
          <w:tblHeader/>
          <w:jc w:val="center"/>
        </w:trPr>
        <w:tc>
          <w:tcPr>
            <w:tcW w:w="2402" w:type="dxa"/>
            <w:shd w:val="pct10" w:color="auto" w:fill="auto"/>
            <w:vAlign w:val="center"/>
          </w:tcPr>
          <w:p w:rsidR="00E22E02" w:rsidRPr="00D526D1" w:rsidRDefault="00E22E02" w:rsidP="00D625B8">
            <w:pPr>
              <w:jc w:val="center"/>
              <w:rPr>
                <w:b/>
                <w:sz w:val="22"/>
              </w:rPr>
            </w:pPr>
            <w:r w:rsidRPr="00D526D1">
              <w:rPr>
                <w:b/>
                <w:sz w:val="22"/>
              </w:rPr>
              <w:t>NAME</w:t>
            </w:r>
          </w:p>
        </w:tc>
        <w:tc>
          <w:tcPr>
            <w:tcW w:w="2880" w:type="dxa"/>
            <w:shd w:val="pct10" w:color="auto" w:fill="auto"/>
            <w:vAlign w:val="center"/>
          </w:tcPr>
          <w:p w:rsidR="00E22E02" w:rsidRPr="00D526D1" w:rsidRDefault="00E22E02" w:rsidP="00D625B8">
            <w:pPr>
              <w:jc w:val="center"/>
              <w:rPr>
                <w:b/>
                <w:sz w:val="22"/>
              </w:rPr>
            </w:pPr>
            <w:r>
              <w:rPr>
                <w:b/>
                <w:sz w:val="22"/>
              </w:rPr>
              <w:t>ORGANIZATION/</w:t>
            </w:r>
            <w:r w:rsidRPr="00D526D1">
              <w:rPr>
                <w:b/>
                <w:sz w:val="22"/>
              </w:rPr>
              <w:t>TITLE</w:t>
            </w:r>
          </w:p>
        </w:tc>
        <w:tc>
          <w:tcPr>
            <w:tcW w:w="2250" w:type="dxa"/>
            <w:shd w:val="pct10" w:color="auto" w:fill="auto"/>
            <w:vAlign w:val="center"/>
          </w:tcPr>
          <w:p w:rsidR="00E22E02" w:rsidRPr="00D526D1" w:rsidRDefault="00E22E02" w:rsidP="00D625B8">
            <w:pPr>
              <w:jc w:val="center"/>
              <w:rPr>
                <w:b/>
                <w:sz w:val="22"/>
              </w:rPr>
            </w:pPr>
            <w:r w:rsidRPr="00D526D1">
              <w:rPr>
                <w:b/>
                <w:sz w:val="22"/>
              </w:rPr>
              <w:t>PHONE NUMBER</w:t>
            </w:r>
          </w:p>
        </w:tc>
        <w:tc>
          <w:tcPr>
            <w:tcW w:w="3391" w:type="dxa"/>
            <w:shd w:val="pct10" w:color="auto" w:fill="auto"/>
            <w:vAlign w:val="center"/>
          </w:tcPr>
          <w:p w:rsidR="00E22E02" w:rsidRPr="00D526D1" w:rsidRDefault="00E22E02" w:rsidP="00D625B8">
            <w:pPr>
              <w:jc w:val="center"/>
              <w:rPr>
                <w:b/>
                <w:sz w:val="22"/>
              </w:rPr>
            </w:pPr>
            <w:r w:rsidRPr="00D526D1">
              <w:rPr>
                <w:b/>
                <w:sz w:val="22"/>
              </w:rPr>
              <w:t>E-MAIL ADDRESS</w:t>
            </w:r>
          </w:p>
        </w:tc>
      </w:tr>
      <w:tr w:rsidR="00E22E02" w:rsidTr="00D625B8">
        <w:trPr>
          <w:cantSplit/>
          <w:jc w:val="center"/>
        </w:trPr>
        <w:tc>
          <w:tcPr>
            <w:tcW w:w="10923" w:type="dxa"/>
            <w:gridSpan w:val="4"/>
            <w:tcBorders>
              <w:top w:val="nil"/>
            </w:tcBorders>
          </w:tcPr>
          <w:p w:rsidR="00E22E02" w:rsidRDefault="00E22E02" w:rsidP="00A91E2E">
            <w:pPr>
              <w:rPr>
                <w:b/>
                <w:sz w:val="24"/>
              </w:rPr>
            </w:pPr>
            <w:r>
              <w:rPr>
                <w:b/>
                <w:sz w:val="24"/>
              </w:rPr>
              <w:t xml:space="preserve">GRANTEE – </w:t>
            </w:r>
            <w:r w:rsidR="007E2E62">
              <w:rPr>
                <w:b/>
                <w:sz w:val="24"/>
              </w:rPr>
              <w:t>Santa Cruz Metropolitan Transit District</w:t>
            </w:r>
            <w:r w:rsidR="008E045D">
              <w:rPr>
                <w:b/>
                <w:sz w:val="24"/>
              </w:rPr>
              <w:t xml:space="preserve"> </w:t>
            </w:r>
            <w:r>
              <w:rPr>
                <w:b/>
                <w:sz w:val="24"/>
              </w:rPr>
              <w:t>(</w:t>
            </w:r>
            <w:r w:rsidR="005468B2">
              <w:rPr>
                <w:b/>
                <w:sz w:val="24"/>
              </w:rPr>
              <w:t>METRO</w:t>
            </w:r>
            <w:r>
              <w:rPr>
                <w:b/>
                <w:sz w:val="24"/>
              </w:rPr>
              <w:t>)</w:t>
            </w:r>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Leslie R. White</w:t>
            </w:r>
          </w:p>
        </w:tc>
        <w:tc>
          <w:tcPr>
            <w:tcW w:w="2880" w:type="dxa"/>
          </w:tcPr>
          <w:p w:rsidR="00F90C53" w:rsidRPr="00F90C53" w:rsidRDefault="00F90C53" w:rsidP="006C4CAF">
            <w:pPr>
              <w:suppressAutoHyphens/>
              <w:spacing w:before="20" w:after="20"/>
              <w:rPr>
                <w:sz w:val="24"/>
                <w:szCs w:val="24"/>
              </w:rPr>
            </w:pPr>
            <w:r w:rsidRPr="00F90C53">
              <w:rPr>
                <w:sz w:val="24"/>
                <w:szCs w:val="24"/>
              </w:rPr>
              <w:t>General Manager</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x1101</w:t>
            </w:r>
          </w:p>
        </w:tc>
        <w:tc>
          <w:tcPr>
            <w:tcW w:w="3391" w:type="dxa"/>
          </w:tcPr>
          <w:p w:rsidR="00F90C53" w:rsidRPr="00F90C53" w:rsidRDefault="005C0F46" w:rsidP="006C4CAF">
            <w:pPr>
              <w:suppressAutoHyphens/>
              <w:spacing w:before="20" w:after="20"/>
              <w:rPr>
                <w:sz w:val="24"/>
                <w:szCs w:val="24"/>
              </w:rPr>
            </w:pPr>
            <w:hyperlink r:id="rId12" w:history="1">
              <w:r w:rsidR="00F90C53" w:rsidRPr="00F90C53">
                <w:rPr>
                  <w:color w:val="0000FF"/>
                  <w:sz w:val="24"/>
                  <w:szCs w:val="24"/>
                  <w:u w:val="single"/>
                </w:rPr>
                <w:t>lwhite@</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Angela Aitken</w:t>
            </w:r>
          </w:p>
        </w:tc>
        <w:tc>
          <w:tcPr>
            <w:tcW w:w="2880" w:type="dxa"/>
          </w:tcPr>
          <w:p w:rsidR="00F90C53" w:rsidRPr="00F90C53" w:rsidRDefault="00F90C53" w:rsidP="006C4CAF">
            <w:pPr>
              <w:suppressAutoHyphens/>
              <w:spacing w:before="20" w:after="20"/>
              <w:rPr>
                <w:sz w:val="24"/>
                <w:szCs w:val="24"/>
              </w:rPr>
            </w:pPr>
            <w:r w:rsidRPr="00F90C53">
              <w:rPr>
                <w:sz w:val="24"/>
                <w:szCs w:val="24"/>
              </w:rPr>
              <w:t>Financial Manager and Acting Assistant General Manager</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x1301</w:t>
            </w:r>
          </w:p>
        </w:tc>
        <w:tc>
          <w:tcPr>
            <w:tcW w:w="3391" w:type="dxa"/>
          </w:tcPr>
          <w:p w:rsidR="00F90C53" w:rsidRPr="00F90C53" w:rsidRDefault="005C0F46" w:rsidP="006C4CAF">
            <w:pPr>
              <w:suppressAutoHyphens/>
              <w:spacing w:before="20" w:after="20"/>
              <w:rPr>
                <w:sz w:val="24"/>
                <w:szCs w:val="24"/>
              </w:rPr>
            </w:pPr>
            <w:hyperlink r:id="rId13" w:history="1">
              <w:r w:rsidR="00F90C53" w:rsidRPr="00F90C53">
                <w:rPr>
                  <w:color w:val="0000FF"/>
                  <w:sz w:val="24"/>
                  <w:szCs w:val="24"/>
                  <w:u w:val="single"/>
                </w:rPr>
                <w:t>aaitken@</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Peg Gallagher</w:t>
            </w:r>
          </w:p>
        </w:tc>
        <w:tc>
          <w:tcPr>
            <w:tcW w:w="2880" w:type="dxa"/>
          </w:tcPr>
          <w:p w:rsidR="00F90C53" w:rsidRPr="00F90C53" w:rsidRDefault="00F90C53" w:rsidP="006C4CAF">
            <w:pPr>
              <w:suppressAutoHyphens/>
              <w:spacing w:before="20" w:after="20"/>
              <w:rPr>
                <w:sz w:val="24"/>
                <w:szCs w:val="24"/>
              </w:rPr>
            </w:pPr>
            <w:r w:rsidRPr="00F90C53">
              <w:rPr>
                <w:sz w:val="24"/>
                <w:szCs w:val="24"/>
              </w:rPr>
              <w:t>District Counsel</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x1601</w:t>
            </w:r>
          </w:p>
        </w:tc>
        <w:tc>
          <w:tcPr>
            <w:tcW w:w="3391" w:type="dxa"/>
          </w:tcPr>
          <w:p w:rsidR="00F90C53" w:rsidRPr="00F90C53" w:rsidRDefault="005C0F46" w:rsidP="006C4CAF">
            <w:pPr>
              <w:suppressAutoHyphens/>
              <w:spacing w:before="20" w:after="20"/>
              <w:rPr>
                <w:sz w:val="24"/>
                <w:szCs w:val="24"/>
              </w:rPr>
            </w:pPr>
            <w:hyperlink r:id="rId14" w:history="1">
              <w:r w:rsidR="00F90C53" w:rsidRPr="00F90C53">
                <w:rPr>
                  <w:color w:val="0000FF"/>
                  <w:sz w:val="24"/>
                  <w:szCs w:val="24"/>
                  <w:u w:val="single"/>
                </w:rPr>
                <w:t>pgallagher@</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Rickie-Ann Kegley</w:t>
            </w:r>
          </w:p>
        </w:tc>
        <w:tc>
          <w:tcPr>
            <w:tcW w:w="2880" w:type="dxa"/>
          </w:tcPr>
          <w:p w:rsidR="00F90C53" w:rsidRPr="00F90C53" w:rsidRDefault="00F90C53" w:rsidP="006C4CAF">
            <w:pPr>
              <w:suppressAutoHyphens/>
              <w:spacing w:before="20" w:after="20"/>
              <w:rPr>
                <w:sz w:val="24"/>
                <w:szCs w:val="24"/>
              </w:rPr>
            </w:pPr>
            <w:r w:rsidRPr="00F90C53">
              <w:rPr>
                <w:sz w:val="24"/>
                <w:szCs w:val="24"/>
              </w:rPr>
              <w:t>Paralegal</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x1604</w:t>
            </w:r>
          </w:p>
        </w:tc>
        <w:tc>
          <w:tcPr>
            <w:tcW w:w="3391" w:type="dxa"/>
          </w:tcPr>
          <w:p w:rsidR="00F90C53" w:rsidRPr="00F90C53" w:rsidRDefault="005C0F46" w:rsidP="006C4CAF">
            <w:pPr>
              <w:suppressAutoHyphens/>
              <w:spacing w:before="20" w:after="20"/>
              <w:rPr>
                <w:sz w:val="24"/>
                <w:szCs w:val="24"/>
              </w:rPr>
            </w:pPr>
            <w:hyperlink r:id="rId15" w:history="1">
              <w:r w:rsidR="00F90C53" w:rsidRPr="00F90C53">
                <w:rPr>
                  <w:color w:val="0000FF"/>
                  <w:sz w:val="24"/>
                  <w:szCs w:val="24"/>
                  <w:u w:val="single"/>
                </w:rPr>
                <w:t>rkegley@</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proofErr w:type="spellStart"/>
            <w:r w:rsidRPr="00F90C53">
              <w:rPr>
                <w:sz w:val="24"/>
                <w:szCs w:val="24"/>
              </w:rPr>
              <w:t>Ciro</w:t>
            </w:r>
            <w:proofErr w:type="spellEnd"/>
            <w:r w:rsidRPr="00F90C53">
              <w:rPr>
                <w:sz w:val="24"/>
                <w:szCs w:val="24"/>
              </w:rPr>
              <w:t xml:space="preserve"> F. Aguirre</w:t>
            </w:r>
          </w:p>
        </w:tc>
        <w:tc>
          <w:tcPr>
            <w:tcW w:w="2880" w:type="dxa"/>
          </w:tcPr>
          <w:p w:rsidR="00F90C53" w:rsidRPr="00F90C53" w:rsidRDefault="00F90C53" w:rsidP="006C4CAF">
            <w:pPr>
              <w:suppressAutoHyphens/>
              <w:spacing w:before="20" w:after="20"/>
              <w:rPr>
                <w:sz w:val="24"/>
                <w:szCs w:val="24"/>
              </w:rPr>
            </w:pPr>
            <w:r w:rsidRPr="00F90C53">
              <w:rPr>
                <w:sz w:val="24"/>
                <w:szCs w:val="24"/>
              </w:rPr>
              <w:t>Manager of Operation</w:t>
            </w:r>
          </w:p>
        </w:tc>
        <w:tc>
          <w:tcPr>
            <w:tcW w:w="2250" w:type="dxa"/>
          </w:tcPr>
          <w:p w:rsidR="00F90C53" w:rsidRPr="00F90C53" w:rsidRDefault="00F90C53" w:rsidP="006C4CAF">
            <w:pPr>
              <w:suppressAutoHyphens/>
              <w:spacing w:before="20" w:after="20"/>
              <w:rPr>
                <w:sz w:val="24"/>
                <w:szCs w:val="24"/>
              </w:rPr>
            </w:pPr>
            <w:r w:rsidRPr="00F90C53">
              <w:rPr>
                <w:sz w:val="24"/>
                <w:szCs w:val="24"/>
              </w:rPr>
              <w:t xml:space="preserve">831-425-8951 </w:t>
            </w:r>
          </w:p>
        </w:tc>
        <w:tc>
          <w:tcPr>
            <w:tcW w:w="3391" w:type="dxa"/>
          </w:tcPr>
          <w:p w:rsidR="00F90C53" w:rsidRPr="00F90C53" w:rsidRDefault="005C0F46" w:rsidP="006C4CAF">
            <w:pPr>
              <w:suppressAutoHyphens/>
              <w:spacing w:before="20" w:after="20"/>
              <w:rPr>
                <w:sz w:val="24"/>
                <w:szCs w:val="24"/>
              </w:rPr>
            </w:pPr>
            <w:hyperlink r:id="rId16" w:history="1">
              <w:r w:rsidR="00F90C53" w:rsidRPr="00F90C53">
                <w:rPr>
                  <w:color w:val="0000FF"/>
                  <w:sz w:val="24"/>
                  <w:szCs w:val="24"/>
                  <w:u w:val="single"/>
                </w:rPr>
                <w:t>caguirre@</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 xml:space="preserve">Mary </w:t>
            </w:r>
            <w:proofErr w:type="spellStart"/>
            <w:r w:rsidRPr="00F90C53">
              <w:rPr>
                <w:sz w:val="24"/>
                <w:szCs w:val="24"/>
              </w:rPr>
              <w:t>Ferrick</w:t>
            </w:r>
            <w:proofErr w:type="spellEnd"/>
          </w:p>
        </w:tc>
        <w:tc>
          <w:tcPr>
            <w:tcW w:w="2880" w:type="dxa"/>
          </w:tcPr>
          <w:p w:rsidR="00F90C53" w:rsidRPr="00F90C53" w:rsidRDefault="00F90C53" w:rsidP="006C4CAF">
            <w:pPr>
              <w:suppressAutoHyphens/>
              <w:spacing w:before="20" w:after="20"/>
              <w:rPr>
                <w:sz w:val="24"/>
                <w:szCs w:val="24"/>
              </w:rPr>
            </w:pPr>
            <w:r w:rsidRPr="00F90C53">
              <w:rPr>
                <w:sz w:val="24"/>
                <w:szCs w:val="24"/>
              </w:rPr>
              <w:t>Base Superintendent</w:t>
            </w:r>
          </w:p>
        </w:tc>
        <w:tc>
          <w:tcPr>
            <w:tcW w:w="2250" w:type="dxa"/>
          </w:tcPr>
          <w:p w:rsidR="00F90C53" w:rsidRPr="00F90C53" w:rsidRDefault="00F90C53" w:rsidP="006C4CAF">
            <w:pPr>
              <w:suppressAutoHyphens/>
              <w:spacing w:before="20" w:after="20"/>
              <w:rPr>
                <w:sz w:val="24"/>
                <w:szCs w:val="24"/>
              </w:rPr>
            </w:pPr>
            <w:r w:rsidRPr="00F90C53">
              <w:rPr>
                <w:sz w:val="24"/>
                <w:szCs w:val="24"/>
              </w:rPr>
              <w:t>831-425-8951</w:t>
            </w:r>
          </w:p>
        </w:tc>
        <w:tc>
          <w:tcPr>
            <w:tcW w:w="3391" w:type="dxa"/>
          </w:tcPr>
          <w:p w:rsidR="00F90C53" w:rsidRPr="00F90C53" w:rsidRDefault="005C0F46" w:rsidP="006C4CAF">
            <w:pPr>
              <w:suppressAutoHyphens/>
              <w:spacing w:before="20" w:after="20"/>
              <w:rPr>
                <w:sz w:val="24"/>
                <w:szCs w:val="24"/>
              </w:rPr>
            </w:pPr>
            <w:hyperlink r:id="rId17" w:history="1">
              <w:r w:rsidR="00F90C53" w:rsidRPr="00F90C53">
                <w:rPr>
                  <w:color w:val="0000FF"/>
                  <w:sz w:val="24"/>
                  <w:szCs w:val="24"/>
                  <w:u w:val="single"/>
                </w:rPr>
                <w:t>mferrick@</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April Warnock</w:t>
            </w:r>
          </w:p>
        </w:tc>
        <w:tc>
          <w:tcPr>
            <w:tcW w:w="2880" w:type="dxa"/>
          </w:tcPr>
          <w:p w:rsidR="00F90C53" w:rsidRPr="00F90C53" w:rsidRDefault="00F90C53" w:rsidP="006C4CAF">
            <w:pPr>
              <w:suppressAutoHyphens/>
              <w:spacing w:before="20" w:after="20"/>
              <w:rPr>
                <w:sz w:val="24"/>
                <w:szCs w:val="24"/>
              </w:rPr>
            </w:pPr>
            <w:r w:rsidRPr="00F90C53">
              <w:rPr>
                <w:sz w:val="24"/>
                <w:szCs w:val="24"/>
              </w:rPr>
              <w:t>Paratransit Superintendent</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x5101</w:t>
            </w:r>
          </w:p>
        </w:tc>
        <w:tc>
          <w:tcPr>
            <w:tcW w:w="3391" w:type="dxa"/>
          </w:tcPr>
          <w:p w:rsidR="00F90C53" w:rsidRPr="00F90C53" w:rsidRDefault="005C0F46" w:rsidP="006C4CAF">
            <w:pPr>
              <w:suppressAutoHyphens/>
              <w:spacing w:before="20" w:after="20"/>
              <w:rPr>
                <w:sz w:val="24"/>
                <w:szCs w:val="24"/>
              </w:rPr>
            </w:pPr>
            <w:hyperlink r:id="rId18" w:history="1">
              <w:r w:rsidR="00F90C53" w:rsidRPr="00F90C53">
                <w:rPr>
                  <w:color w:val="0000FF"/>
                  <w:sz w:val="24"/>
                  <w:szCs w:val="24"/>
                  <w:u w:val="single"/>
                </w:rPr>
                <w:t>awarnock@</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David Moreau</w:t>
            </w:r>
          </w:p>
        </w:tc>
        <w:tc>
          <w:tcPr>
            <w:tcW w:w="2880" w:type="dxa"/>
          </w:tcPr>
          <w:p w:rsidR="00F90C53" w:rsidRPr="00F90C53" w:rsidRDefault="00F90C53" w:rsidP="006C4CAF">
            <w:pPr>
              <w:suppressAutoHyphens/>
              <w:spacing w:before="20" w:after="20"/>
              <w:rPr>
                <w:sz w:val="24"/>
                <w:szCs w:val="24"/>
              </w:rPr>
            </w:pPr>
            <w:r w:rsidRPr="00F90C53">
              <w:rPr>
                <w:sz w:val="24"/>
                <w:szCs w:val="24"/>
              </w:rPr>
              <w:t>Assistant Paratransit Superintendent</w:t>
            </w:r>
          </w:p>
        </w:tc>
        <w:tc>
          <w:tcPr>
            <w:tcW w:w="2250" w:type="dxa"/>
          </w:tcPr>
          <w:p w:rsidR="00F90C53" w:rsidRPr="00F90C53" w:rsidRDefault="00F90C53" w:rsidP="006C4CAF">
            <w:pPr>
              <w:suppressAutoHyphens/>
              <w:spacing w:before="20" w:after="20"/>
              <w:rPr>
                <w:sz w:val="24"/>
                <w:szCs w:val="24"/>
              </w:rPr>
            </w:pPr>
            <w:r w:rsidRPr="00F90C53">
              <w:rPr>
                <w:sz w:val="24"/>
                <w:szCs w:val="24"/>
              </w:rPr>
              <w:t>831-588-7803</w:t>
            </w:r>
          </w:p>
        </w:tc>
        <w:tc>
          <w:tcPr>
            <w:tcW w:w="3391" w:type="dxa"/>
          </w:tcPr>
          <w:p w:rsidR="00F90C53" w:rsidRPr="00F90C53" w:rsidRDefault="005C0F46" w:rsidP="006C4CAF">
            <w:pPr>
              <w:suppressAutoHyphens/>
              <w:spacing w:before="20" w:after="20"/>
              <w:rPr>
                <w:sz w:val="24"/>
                <w:szCs w:val="24"/>
              </w:rPr>
            </w:pPr>
            <w:hyperlink r:id="rId19" w:history="1">
              <w:r w:rsidR="00F90C53" w:rsidRPr="00F90C53">
                <w:rPr>
                  <w:color w:val="0000FF"/>
                  <w:sz w:val="24"/>
                  <w:szCs w:val="24"/>
                  <w:u w:val="single"/>
                </w:rPr>
                <w:t>dmoreau@</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Erick R. Friedrich</w:t>
            </w:r>
          </w:p>
        </w:tc>
        <w:tc>
          <w:tcPr>
            <w:tcW w:w="2880" w:type="dxa"/>
          </w:tcPr>
          <w:p w:rsidR="00F90C53" w:rsidRPr="00F90C53" w:rsidRDefault="00F90C53" w:rsidP="006C4CAF">
            <w:pPr>
              <w:suppressAutoHyphens/>
              <w:spacing w:before="20" w:after="20"/>
              <w:rPr>
                <w:sz w:val="24"/>
                <w:szCs w:val="24"/>
              </w:rPr>
            </w:pPr>
            <w:r w:rsidRPr="00F90C53">
              <w:rPr>
                <w:sz w:val="24"/>
                <w:szCs w:val="24"/>
              </w:rPr>
              <w:t>Junior Transportation Planner</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x1312</w:t>
            </w:r>
          </w:p>
        </w:tc>
        <w:tc>
          <w:tcPr>
            <w:tcW w:w="3391" w:type="dxa"/>
          </w:tcPr>
          <w:p w:rsidR="00F90C53" w:rsidRPr="00F90C53" w:rsidRDefault="005C0F46" w:rsidP="006C4CAF">
            <w:pPr>
              <w:suppressAutoHyphens/>
              <w:spacing w:before="20" w:after="20"/>
              <w:rPr>
                <w:sz w:val="24"/>
                <w:szCs w:val="24"/>
              </w:rPr>
            </w:pPr>
            <w:hyperlink r:id="rId20" w:history="1">
              <w:r w:rsidR="00F90C53" w:rsidRPr="00F90C53">
                <w:rPr>
                  <w:color w:val="0000FF"/>
                  <w:sz w:val="24"/>
                  <w:szCs w:val="24"/>
                  <w:u w:val="single"/>
                </w:rPr>
                <w:t>efriedri@</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 xml:space="preserve">Claire </w:t>
            </w:r>
            <w:proofErr w:type="spellStart"/>
            <w:r w:rsidRPr="00F90C53">
              <w:rPr>
                <w:sz w:val="24"/>
                <w:szCs w:val="24"/>
              </w:rPr>
              <w:t>Fliesler</w:t>
            </w:r>
            <w:proofErr w:type="spellEnd"/>
          </w:p>
        </w:tc>
        <w:tc>
          <w:tcPr>
            <w:tcW w:w="2880" w:type="dxa"/>
          </w:tcPr>
          <w:p w:rsidR="00F90C53" w:rsidRPr="00F90C53" w:rsidRDefault="00F90C53" w:rsidP="006C4CAF">
            <w:pPr>
              <w:suppressAutoHyphens/>
              <w:spacing w:before="20" w:after="20"/>
              <w:rPr>
                <w:sz w:val="24"/>
                <w:szCs w:val="24"/>
              </w:rPr>
            </w:pPr>
            <w:r w:rsidRPr="00F90C53">
              <w:rPr>
                <w:sz w:val="24"/>
                <w:szCs w:val="24"/>
              </w:rPr>
              <w:t>Planning Intern</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x1313</w:t>
            </w:r>
          </w:p>
        </w:tc>
        <w:tc>
          <w:tcPr>
            <w:tcW w:w="3391" w:type="dxa"/>
          </w:tcPr>
          <w:p w:rsidR="00F90C53" w:rsidRPr="00F90C53" w:rsidRDefault="005C0F46" w:rsidP="006C4CAF">
            <w:pPr>
              <w:suppressAutoHyphens/>
              <w:spacing w:before="20" w:after="20"/>
              <w:rPr>
                <w:sz w:val="24"/>
                <w:szCs w:val="24"/>
              </w:rPr>
            </w:pPr>
            <w:hyperlink r:id="rId21" w:history="1">
              <w:r w:rsidR="00F90C53" w:rsidRPr="00F90C53">
                <w:rPr>
                  <w:color w:val="0000FF"/>
                  <w:sz w:val="24"/>
                  <w:szCs w:val="24"/>
                  <w:u w:val="single"/>
                </w:rPr>
                <w:t>cfliesle@</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Frank Cheng</w:t>
            </w:r>
          </w:p>
        </w:tc>
        <w:tc>
          <w:tcPr>
            <w:tcW w:w="2880" w:type="dxa"/>
          </w:tcPr>
          <w:p w:rsidR="00F90C53" w:rsidRPr="00F90C53" w:rsidRDefault="00F90C53" w:rsidP="006C4CAF">
            <w:pPr>
              <w:suppressAutoHyphens/>
              <w:spacing w:before="20" w:after="20"/>
              <w:rPr>
                <w:sz w:val="24"/>
                <w:szCs w:val="24"/>
              </w:rPr>
            </w:pPr>
            <w:r w:rsidRPr="00F90C53">
              <w:rPr>
                <w:sz w:val="24"/>
                <w:szCs w:val="24"/>
              </w:rPr>
              <w:t>Project Manager/IT Manager</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x1106</w:t>
            </w:r>
          </w:p>
        </w:tc>
        <w:tc>
          <w:tcPr>
            <w:tcW w:w="3391" w:type="dxa"/>
          </w:tcPr>
          <w:p w:rsidR="00F90C53" w:rsidRPr="00F90C53" w:rsidRDefault="005C0F46" w:rsidP="006C4CAF">
            <w:pPr>
              <w:suppressAutoHyphens/>
              <w:spacing w:before="20" w:after="20"/>
              <w:rPr>
                <w:sz w:val="24"/>
                <w:szCs w:val="24"/>
              </w:rPr>
            </w:pPr>
            <w:hyperlink r:id="rId22" w:history="1">
              <w:r w:rsidR="00F90C53" w:rsidRPr="00F90C53">
                <w:rPr>
                  <w:color w:val="0000FF"/>
                  <w:sz w:val="24"/>
                  <w:szCs w:val="24"/>
                  <w:u w:val="single"/>
                </w:rPr>
                <w:t>fcheng@</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proofErr w:type="spellStart"/>
            <w:r w:rsidRPr="00F90C53">
              <w:rPr>
                <w:sz w:val="24"/>
                <w:szCs w:val="24"/>
              </w:rPr>
              <w:t>Tove</w:t>
            </w:r>
            <w:proofErr w:type="spellEnd"/>
            <w:r w:rsidRPr="00F90C53">
              <w:rPr>
                <w:sz w:val="24"/>
                <w:szCs w:val="24"/>
              </w:rPr>
              <w:t xml:space="preserve"> Beatty</w:t>
            </w:r>
          </w:p>
        </w:tc>
        <w:tc>
          <w:tcPr>
            <w:tcW w:w="2880" w:type="dxa"/>
          </w:tcPr>
          <w:p w:rsidR="00F90C53" w:rsidRPr="00F90C53" w:rsidRDefault="00F90C53" w:rsidP="006C4CAF">
            <w:pPr>
              <w:suppressAutoHyphens/>
              <w:spacing w:before="20" w:after="20"/>
              <w:rPr>
                <w:sz w:val="24"/>
                <w:szCs w:val="24"/>
              </w:rPr>
            </w:pPr>
            <w:r w:rsidRPr="00F90C53">
              <w:rPr>
                <w:sz w:val="24"/>
                <w:szCs w:val="24"/>
              </w:rPr>
              <w:t>Grants/Legislative Analyst</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x1307</w:t>
            </w:r>
          </w:p>
        </w:tc>
        <w:tc>
          <w:tcPr>
            <w:tcW w:w="3391" w:type="dxa"/>
          </w:tcPr>
          <w:p w:rsidR="00F90C53" w:rsidRPr="00F90C53" w:rsidRDefault="005C0F46" w:rsidP="006C4CAF">
            <w:pPr>
              <w:suppressAutoHyphens/>
              <w:spacing w:before="20" w:after="20"/>
              <w:rPr>
                <w:sz w:val="24"/>
                <w:szCs w:val="24"/>
              </w:rPr>
            </w:pPr>
            <w:hyperlink r:id="rId23" w:history="1">
              <w:r w:rsidR="00F90C53" w:rsidRPr="00F90C53">
                <w:rPr>
                  <w:color w:val="0000FF"/>
                  <w:sz w:val="24"/>
                  <w:szCs w:val="24"/>
                  <w:u w:val="single"/>
                </w:rPr>
                <w:t>tbeatty@</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 xml:space="preserve">Thomas </w:t>
            </w:r>
            <w:proofErr w:type="spellStart"/>
            <w:r w:rsidRPr="00F90C53">
              <w:rPr>
                <w:sz w:val="24"/>
                <w:szCs w:val="24"/>
              </w:rPr>
              <w:t>Hiltner</w:t>
            </w:r>
            <w:proofErr w:type="spellEnd"/>
          </w:p>
        </w:tc>
        <w:tc>
          <w:tcPr>
            <w:tcW w:w="2880" w:type="dxa"/>
          </w:tcPr>
          <w:p w:rsidR="00F90C53" w:rsidRPr="00F90C53" w:rsidRDefault="00F90C53" w:rsidP="006C4CAF">
            <w:pPr>
              <w:suppressAutoHyphens/>
              <w:spacing w:before="20" w:after="20"/>
              <w:rPr>
                <w:sz w:val="24"/>
                <w:szCs w:val="24"/>
              </w:rPr>
            </w:pPr>
            <w:r w:rsidRPr="00F90C53">
              <w:rPr>
                <w:sz w:val="24"/>
                <w:szCs w:val="24"/>
              </w:rPr>
              <w:t>Grants/Legislative Analyst</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x1314</w:t>
            </w:r>
          </w:p>
        </w:tc>
        <w:tc>
          <w:tcPr>
            <w:tcW w:w="3391" w:type="dxa"/>
          </w:tcPr>
          <w:p w:rsidR="00F90C53" w:rsidRPr="00F90C53" w:rsidRDefault="005C0F46" w:rsidP="006C4CAF">
            <w:pPr>
              <w:suppressAutoHyphens/>
              <w:spacing w:before="20" w:after="20"/>
              <w:rPr>
                <w:sz w:val="24"/>
                <w:szCs w:val="24"/>
              </w:rPr>
            </w:pPr>
            <w:hyperlink r:id="rId24" w:history="1">
              <w:r w:rsidR="00F90C53" w:rsidRPr="00F90C53">
                <w:rPr>
                  <w:color w:val="0000FF"/>
                  <w:sz w:val="24"/>
                  <w:szCs w:val="24"/>
                  <w:u w:val="single"/>
                </w:rPr>
                <w:t>thiltner@</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Robert Cotter</w:t>
            </w:r>
          </w:p>
        </w:tc>
        <w:tc>
          <w:tcPr>
            <w:tcW w:w="2880" w:type="dxa"/>
          </w:tcPr>
          <w:p w:rsidR="00F90C53" w:rsidRPr="00F90C53" w:rsidRDefault="00F90C53" w:rsidP="006C4CAF">
            <w:pPr>
              <w:suppressAutoHyphens/>
              <w:spacing w:before="20" w:after="20"/>
              <w:rPr>
                <w:sz w:val="24"/>
                <w:szCs w:val="24"/>
              </w:rPr>
            </w:pPr>
            <w:r w:rsidRPr="00F90C53">
              <w:rPr>
                <w:sz w:val="24"/>
                <w:szCs w:val="24"/>
              </w:rPr>
              <w:t>Maintenance Manager</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x1201</w:t>
            </w:r>
          </w:p>
        </w:tc>
        <w:tc>
          <w:tcPr>
            <w:tcW w:w="3391" w:type="dxa"/>
          </w:tcPr>
          <w:p w:rsidR="00F90C53" w:rsidRPr="00F90C53" w:rsidRDefault="005C0F46" w:rsidP="006C4CAF">
            <w:pPr>
              <w:suppressAutoHyphens/>
              <w:spacing w:before="20" w:after="20"/>
              <w:rPr>
                <w:sz w:val="24"/>
                <w:szCs w:val="24"/>
              </w:rPr>
            </w:pPr>
            <w:hyperlink r:id="rId25" w:history="1">
              <w:r w:rsidR="00F90C53" w:rsidRPr="00F90C53">
                <w:rPr>
                  <w:color w:val="0000FF"/>
                  <w:sz w:val="24"/>
                  <w:szCs w:val="24"/>
                  <w:u w:val="single"/>
                </w:rPr>
                <w:t>rcotter@</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Robyn D. Slater</w:t>
            </w:r>
          </w:p>
        </w:tc>
        <w:tc>
          <w:tcPr>
            <w:tcW w:w="2880" w:type="dxa"/>
          </w:tcPr>
          <w:p w:rsidR="00F90C53" w:rsidRPr="00F90C53" w:rsidRDefault="00F90C53" w:rsidP="006C4CAF">
            <w:pPr>
              <w:suppressAutoHyphens/>
              <w:spacing w:before="20" w:after="20"/>
              <w:rPr>
                <w:sz w:val="24"/>
                <w:szCs w:val="24"/>
              </w:rPr>
            </w:pPr>
            <w:r w:rsidRPr="00F90C53">
              <w:rPr>
                <w:sz w:val="24"/>
                <w:szCs w:val="24"/>
              </w:rPr>
              <w:t>Human Resources Manager</w:t>
            </w:r>
          </w:p>
        </w:tc>
        <w:tc>
          <w:tcPr>
            <w:tcW w:w="2250" w:type="dxa"/>
          </w:tcPr>
          <w:p w:rsidR="00F90C53" w:rsidRPr="00F90C53" w:rsidRDefault="00F90C53" w:rsidP="006C4CAF">
            <w:pPr>
              <w:suppressAutoHyphens/>
              <w:spacing w:before="20" w:after="20"/>
              <w:rPr>
                <w:sz w:val="24"/>
                <w:szCs w:val="24"/>
              </w:rPr>
            </w:pPr>
            <w:r w:rsidRPr="00F90C53">
              <w:rPr>
                <w:sz w:val="24"/>
                <w:szCs w:val="24"/>
              </w:rPr>
              <w:t>831-423-5582</w:t>
            </w:r>
          </w:p>
        </w:tc>
        <w:tc>
          <w:tcPr>
            <w:tcW w:w="3391" w:type="dxa"/>
          </w:tcPr>
          <w:p w:rsidR="00F90C53" w:rsidRPr="00F90C53" w:rsidRDefault="005C0F46" w:rsidP="006C4CAF">
            <w:pPr>
              <w:suppressAutoHyphens/>
              <w:spacing w:before="20" w:after="20"/>
              <w:rPr>
                <w:sz w:val="24"/>
                <w:szCs w:val="24"/>
              </w:rPr>
            </w:pPr>
            <w:hyperlink r:id="rId26" w:history="1">
              <w:r w:rsidR="00F90C53" w:rsidRPr="00F90C53">
                <w:rPr>
                  <w:color w:val="0000FF"/>
                  <w:sz w:val="24"/>
                  <w:szCs w:val="24"/>
                  <w:u w:val="single"/>
                </w:rPr>
                <w:t>rslater@</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Patricia Aviles</w:t>
            </w:r>
          </w:p>
        </w:tc>
        <w:tc>
          <w:tcPr>
            <w:tcW w:w="2880" w:type="dxa"/>
          </w:tcPr>
          <w:p w:rsidR="00F90C53" w:rsidRPr="00F90C53" w:rsidRDefault="00F90C53" w:rsidP="006C4CAF">
            <w:pPr>
              <w:suppressAutoHyphens/>
              <w:spacing w:before="20" w:after="20"/>
              <w:rPr>
                <w:sz w:val="24"/>
                <w:szCs w:val="24"/>
              </w:rPr>
            </w:pPr>
            <w:r w:rsidRPr="00F90C53">
              <w:rPr>
                <w:sz w:val="24"/>
                <w:szCs w:val="24"/>
              </w:rPr>
              <w:t>Assistant Human Resources Manager</w:t>
            </w:r>
          </w:p>
        </w:tc>
        <w:tc>
          <w:tcPr>
            <w:tcW w:w="2250" w:type="dxa"/>
          </w:tcPr>
          <w:p w:rsidR="00F90C53" w:rsidRPr="00F90C53" w:rsidRDefault="00F90C53" w:rsidP="006C4CAF">
            <w:pPr>
              <w:suppressAutoHyphens/>
              <w:spacing w:before="20" w:after="20"/>
              <w:rPr>
                <w:sz w:val="24"/>
                <w:szCs w:val="24"/>
              </w:rPr>
            </w:pPr>
            <w:r w:rsidRPr="00F90C53">
              <w:rPr>
                <w:sz w:val="24"/>
                <w:szCs w:val="24"/>
              </w:rPr>
              <w:t>831-423-5582</w:t>
            </w:r>
          </w:p>
        </w:tc>
        <w:tc>
          <w:tcPr>
            <w:tcW w:w="3391" w:type="dxa"/>
          </w:tcPr>
          <w:p w:rsidR="00F90C53" w:rsidRPr="00F90C53" w:rsidRDefault="005C0F46" w:rsidP="006C4CAF">
            <w:pPr>
              <w:suppressAutoHyphens/>
              <w:spacing w:before="20" w:after="20"/>
              <w:rPr>
                <w:sz w:val="24"/>
                <w:szCs w:val="24"/>
              </w:rPr>
            </w:pPr>
            <w:hyperlink r:id="rId27" w:history="1">
              <w:r w:rsidR="00F90C53" w:rsidRPr="00F90C53">
                <w:rPr>
                  <w:color w:val="0000FF"/>
                  <w:sz w:val="24"/>
                  <w:szCs w:val="24"/>
                  <w:u w:val="single"/>
                </w:rPr>
                <w:t>paviles@</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Rachel Lopez</w:t>
            </w:r>
          </w:p>
        </w:tc>
        <w:tc>
          <w:tcPr>
            <w:tcW w:w="2880" w:type="dxa"/>
          </w:tcPr>
          <w:p w:rsidR="00F90C53" w:rsidRPr="00F90C53" w:rsidRDefault="00F90C53" w:rsidP="006C4CAF">
            <w:pPr>
              <w:suppressAutoHyphens/>
              <w:spacing w:before="20" w:after="20"/>
              <w:rPr>
                <w:sz w:val="24"/>
                <w:szCs w:val="24"/>
              </w:rPr>
            </w:pPr>
            <w:r w:rsidRPr="00F90C53">
              <w:rPr>
                <w:sz w:val="24"/>
                <w:szCs w:val="24"/>
              </w:rPr>
              <w:t>Contracted Purchasing Agent</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x1310</w:t>
            </w:r>
          </w:p>
        </w:tc>
        <w:tc>
          <w:tcPr>
            <w:tcW w:w="3391" w:type="dxa"/>
          </w:tcPr>
          <w:p w:rsidR="00F90C53" w:rsidRPr="00F90C53" w:rsidRDefault="005C0F46" w:rsidP="006C4CAF">
            <w:pPr>
              <w:suppressAutoHyphens/>
              <w:spacing w:before="20" w:after="20"/>
              <w:rPr>
                <w:sz w:val="24"/>
                <w:szCs w:val="24"/>
              </w:rPr>
            </w:pPr>
            <w:hyperlink r:id="rId28" w:history="1">
              <w:r w:rsidR="00F90C53" w:rsidRPr="00F90C53">
                <w:rPr>
                  <w:color w:val="0000FF"/>
                  <w:sz w:val="24"/>
                  <w:szCs w:val="24"/>
                  <w:u w:val="single"/>
                </w:rPr>
                <w:t>purcik@</w:t>
              </w:r>
              <w:r w:rsidR="003B2BD2">
                <w:rPr>
                  <w:color w:val="0000FF"/>
                  <w:sz w:val="24"/>
                  <w:szCs w:val="24"/>
                  <w:u w:val="single"/>
                </w:rPr>
                <w:t>METRO</w:t>
              </w:r>
              <w:r w:rsidR="00F90C53" w:rsidRPr="00F90C53">
                <w:rPr>
                  <w:color w:val="0000FF"/>
                  <w:sz w:val="24"/>
                  <w:szCs w:val="24"/>
                  <w:u w:val="single"/>
                </w:rPr>
                <w:t>.com</w:t>
              </w:r>
            </w:hyperlink>
          </w:p>
        </w:tc>
      </w:tr>
      <w:tr w:rsidR="00F90C53" w:rsidRPr="00E00DB7" w:rsidTr="00F90C53">
        <w:tblPrEx>
          <w:tblCellMar>
            <w:left w:w="108" w:type="dxa"/>
            <w:right w:w="108" w:type="dxa"/>
          </w:tblCellMar>
        </w:tblPrEx>
        <w:trPr>
          <w:cantSplit/>
          <w:trHeight w:val="197"/>
          <w:jc w:val="center"/>
        </w:trPr>
        <w:tc>
          <w:tcPr>
            <w:tcW w:w="2402" w:type="dxa"/>
          </w:tcPr>
          <w:p w:rsidR="00F90C53" w:rsidRPr="00F90C53" w:rsidRDefault="00F90C53" w:rsidP="006C4CAF">
            <w:pPr>
              <w:suppressAutoHyphens/>
              <w:spacing w:before="20" w:after="20"/>
              <w:rPr>
                <w:sz w:val="24"/>
                <w:szCs w:val="24"/>
              </w:rPr>
            </w:pPr>
            <w:r w:rsidRPr="00F90C53">
              <w:rPr>
                <w:sz w:val="24"/>
                <w:szCs w:val="24"/>
              </w:rPr>
              <w:t xml:space="preserve">Lloyd </w:t>
            </w:r>
            <w:proofErr w:type="spellStart"/>
            <w:r w:rsidRPr="00F90C53">
              <w:rPr>
                <w:sz w:val="24"/>
                <w:szCs w:val="24"/>
              </w:rPr>
              <w:t>Longnecker</w:t>
            </w:r>
            <w:proofErr w:type="spellEnd"/>
          </w:p>
        </w:tc>
        <w:tc>
          <w:tcPr>
            <w:tcW w:w="2880" w:type="dxa"/>
          </w:tcPr>
          <w:p w:rsidR="00F90C53" w:rsidRPr="00F90C53" w:rsidRDefault="00F90C53" w:rsidP="006C4CAF">
            <w:pPr>
              <w:suppressAutoHyphens/>
              <w:spacing w:before="20" w:after="20"/>
              <w:rPr>
                <w:sz w:val="24"/>
                <w:szCs w:val="24"/>
              </w:rPr>
            </w:pPr>
            <w:r w:rsidRPr="00F90C53">
              <w:rPr>
                <w:sz w:val="24"/>
                <w:szCs w:val="24"/>
              </w:rPr>
              <w:t>Retired Purchasing Agent</w:t>
            </w:r>
          </w:p>
        </w:tc>
        <w:tc>
          <w:tcPr>
            <w:tcW w:w="2250" w:type="dxa"/>
          </w:tcPr>
          <w:p w:rsidR="00F90C53" w:rsidRPr="00F90C53" w:rsidRDefault="00F90C53" w:rsidP="006C4CAF">
            <w:pPr>
              <w:suppressAutoHyphens/>
              <w:spacing w:before="20" w:after="20"/>
              <w:rPr>
                <w:sz w:val="24"/>
                <w:szCs w:val="24"/>
              </w:rPr>
            </w:pPr>
            <w:r w:rsidRPr="00F90C53">
              <w:rPr>
                <w:sz w:val="24"/>
                <w:szCs w:val="24"/>
              </w:rPr>
              <w:t>831-426-6080 x1309</w:t>
            </w:r>
          </w:p>
        </w:tc>
        <w:tc>
          <w:tcPr>
            <w:tcW w:w="3391" w:type="dxa"/>
          </w:tcPr>
          <w:p w:rsidR="00F90C53" w:rsidRPr="00F90C53" w:rsidRDefault="005C0F46" w:rsidP="006C4CAF">
            <w:pPr>
              <w:suppressAutoHyphens/>
              <w:spacing w:before="20" w:after="20"/>
              <w:rPr>
                <w:sz w:val="24"/>
                <w:szCs w:val="24"/>
              </w:rPr>
            </w:pPr>
            <w:hyperlink r:id="rId29" w:history="1">
              <w:r w:rsidR="00F90C53" w:rsidRPr="00F90C53">
                <w:rPr>
                  <w:color w:val="0000FF"/>
                  <w:sz w:val="24"/>
                  <w:szCs w:val="24"/>
                  <w:u w:val="single"/>
                </w:rPr>
                <w:t>llongnec@</w:t>
              </w:r>
              <w:r w:rsidR="003B2BD2">
                <w:rPr>
                  <w:color w:val="0000FF"/>
                  <w:sz w:val="24"/>
                  <w:szCs w:val="24"/>
                  <w:u w:val="single"/>
                </w:rPr>
                <w:t>METRO</w:t>
              </w:r>
              <w:r w:rsidR="00F90C53" w:rsidRPr="00F90C53">
                <w:rPr>
                  <w:color w:val="0000FF"/>
                  <w:sz w:val="24"/>
                  <w:szCs w:val="24"/>
                  <w:u w:val="single"/>
                </w:rPr>
                <w:t>.com</w:t>
              </w:r>
            </w:hyperlink>
          </w:p>
        </w:tc>
      </w:tr>
      <w:tr w:rsidR="009855F9" w:rsidRPr="00523022" w:rsidTr="00D625B8">
        <w:trPr>
          <w:cantSplit/>
          <w:jc w:val="center"/>
        </w:trPr>
        <w:tc>
          <w:tcPr>
            <w:tcW w:w="10923" w:type="dxa"/>
            <w:gridSpan w:val="4"/>
          </w:tcPr>
          <w:p w:rsidR="009855F9" w:rsidRPr="00523022" w:rsidRDefault="009855F9" w:rsidP="00D625B8">
            <w:pPr>
              <w:rPr>
                <w:b/>
                <w:sz w:val="24"/>
              </w:rPr>
            </w:pPr>
            <w:r>
              <w:rPr>
                <w:b/>
                <w:sz w:val="24"/>
              </w:rPr>
              <w:t>REVIEW TEAM – The DMP Group, LLC</w:t>
            </w:r>
          </w:p>
        </w:tc>
      </w:tr>
      <w:tr w:rsidR="009855F9" w:rsidTr="00F90C53">
        <w:trPr>
          <w:cantSplit/>
          <w:jc w:val="center"/>
        </w:trPr>
        <w:tc>
          <w:tcPr>
            <w:tcW w:w="2402" w:type="dxa"/>
          </w:tcPr>
          <w:p w:rsidR="009855F9" w:rsidRPr="00F90C53" w:rsidRDefault="009855F9" w:rsidP="00D625B8">
            <w:pPr>
              <w:rPr>
                <w:sz w:val="24"/>
                <w:szCs w:val="24"/>
              </w:rPr>
            </w:pPr>
            <w:r w:rsidRPr="00F90C53">
              <w:rPr>
                <w:sz w:val="24"/>
                <w:szCs w:val="24"/>
              </w:rPr>
              <w:t>Donald Lucas</w:t>
            </w:r>
          </w:p>
        </w:tc>
        <w:tc>
          <w:tcPr>
            <w:tcW w:w="2880" w:type="dxa"/>
          </w:tcPr>
          <w:p w:rsidR="009855F9" w:rsidRPr="00F90C53" w:rsidRDefault="009855F9" w:rsidP="00D625B8">
            <w:pPr>
              <w:rPr>
                <w:sz w:val="24"/>
                <w:szCs w:val="24"/>
              </w:rPr>
            </w:pPr>
            <w:r w:rsidRPr="00F90C53">
              <w:rPr>
                <w:sz w:val="24"/>
                <w:szCs w:val="24"/>
              </w:rPr>
              <w:t>Lead Reviewer</w:t>
            </w:r>
          </w:p>
        </w:tc>
        <w:tc>
          <w:tcPr>
            <w:tcW w:w="2250" w:type="dxa"/>
          </w:tcPr>
          <w:p w:rsidR="009855F9" w:rsidRPr="00F90C53" w:rsidRDefault="0058310F" w:rsidP="0058310F">
            <w:pPr>
              <w:rPr>
                <w:sz w:val="24"/>
                <w:szCs w:val="24"/>
              </w:rPr>
            </w:pPr>
            <w:r>
              <w:rPr>
                <w:sz w:val="24"/>
                <w:szCs w:val="24"/>
              </w:rPr>
              <w:t>202-</w:t>
            </w:r>
            <w:r w:rsidR="009855F9" w:rsidRPr="00F90C53">
              <w:rPr>
                <w:sz w:val="24"/>
                <w:szCs w:val="24"/>
              </w:rPr>
              <w:t>726-2630</w:t>
            </w:r>
          </w:p>
        </w:tc>
        <w:tc>
          <w:tcPr>
            <w:tcW w:w="3391" w:type="dxa"/>
          </w:tcPr>
          <w:p w:rsidR="009855F9" w:rsidRPr="0002421D" w:rsidRDefault="005C0F46" w:rsidP="00A91E2E">
            <w:pPr>
              <w:rPr>
                <w:color w:val="0000FF"/>
                <w:sz w:val="22"/>
                <w:szCs w:val="22"/>
                <w:u w:val="single"/>
              </w:rPr>
            </w:pPr>
            <w:hyperlink r:id="rId30" w:history="1">
              <w:r w:rsidR="009855F9" w:rsidRPr="0002421D">
                <w:rPr>
                  <w:rStyle w:val="Hyperlink"/>
                  <w:sz w:val="22"/>
                  <w:szCs w:val="22"/>
                </w:rPr>
                <w:t>donald.lucas@thedmpgroup.com</w:t>
              </w:r>
            </w:hyperlink>
            <w:r w:rsidR="009855F9" w:rsidRPr="0002421D">
              <w:rPr>
                <w:sz w:val="22"/>
                <w:szCs w:val="22"/>
              </w:rPr>
              <w:t xml:space="preserve"> </w:t>
            </w:r>
          </w:p>
        </w:tc>
      </w:tr>
      <w:tr w:rsidR="009855F9" w:rsidTr="00F90C53">
        <w:trPr>
          <w:cantSplit/>
          <w:jc w:val="center"/>
        </w:trPr>
        <w:tc>
          <w:tcPr>
            <w:tcW w:w="2402" w:type="dxa"/>
          </w:tcPr>
          <w:p w:rsidR="009855F9" w:rsidRPr="00F90C53" w:rsidRDefault="009855F9" w:rsidP="00FE655D">
            <w:pPr>
              <w:rPr>
                <w:sz w:val="24"/>
                <w:szCs w:val="24"/>
              </w:rPr>
            </w:pPr>
            <w:r w:rsidRPr="00F90C53">
              <w:rPr>
                <w:sz w:val="24"/>
                <w:szCs w:val="24"/>
              </w:rPr>
              <w:t>Gregory Campbell</w:t>
            </w:r>
          </w:p>
        </w:tc>
        <w:tc>
          <w:tcPr>
            <w:tcW w:w="2880" w:type="dxa"/>
          </w:tcPr>
          <w:p w:rsidR="009855F9" w:rsidRPr="00F90C53" w:rsidRDefault="009855F9" w:rsidP="00FE655D">
            <w:pPr>
              <w:rPr>
                <w:sz w:val="24"/>
                <w:szCs w:val="24"/>
              </w:rPr>
            </w:pPr>
            <w:r w:rsidRPr="00F90C53">
              <w:rPr>
                <w:sz w:val="24"/>
                <w:szCs w:val="24"/>
              </w:rPr>
              <w:t>Reviewer</w:t>
            </w:r>
          </w:p>
        </w:tc>
        <w:tc>
          <w:tcPr>
            <w:tcW w:w="2250" w:type="dxa"/>
          </w:tcPr>
          <w:p w:rsidR="009855F9" w:rsidRPr="00F90C53" w:rsidRDefault="009855F9" w:rsidP="0058310F">
            <w:pPr>
              <w:rPr>
                <w:sz w:val="24"/>
                <w:szCs w:val="24"/>
              </w:rPr>
            </w:pPr>
            <w:r w:rsidRPr="00F90C53">
              <w:rPr>
                <w:sz w:val="24"/>
                <w:szCs w:val="24"/>
              </w:rPr>
              <w:t>202</w:t>
            </w:r>
            <w:r w:rsidR="0058310F">
              <w:rPr>
                <w:sz w:val="24"/>
                <w:szCs w:val="24"/>
              </w:rPr>
              <w:t>-</w:t>
            </w:r>
            <w:r w:rsidRPr="00F90C53">
              <w:rPr>
                <w:sz w:val="24"/>
                <w:szCs w:val="24"/>
              </w:rPr>
              <w:t>726-2630</w:t>
            </w:r>
          </w:p>
        </w:tc>
        <w:tc>
          <w:tcPr>
            <w:tcW w:w="3391" w:type="dxa"/>
          </w:tcPr>
          <w:p w:rsidR="009855F9" w:rsidRPr="00F90C53" w:rsidRDefault="005C0F46" w:rsidP="00FE655D">
            <w:hyperlink r:id="rId31" w:history="1">
              <w:r w:rsidR="009855F9" w:rsidRPr="00F90C53">
                <w:rPr>
                  <w:rStyle w:val="Hyperlink"/>
                </w:rPr>
                <w:t>gregory.campbell@thedmpgroup.com</w:t>
              </w:r>
            </w:hyperlink>
            <w:r w:rsidR="009855F9" w:rsidRPr="00F90C53">
              <w:t xml:space="preserve"> </w:t>
            </w:r>
          </w:p>
        </w:tc>
      </w:tr>
      <w:bookmarkEnd w:id="32"/>
    </w:tbl>
    <w:p w:rsidR="00523022" w:rsidRDefault="00523022"/>
    <w:sectPr w:rsidR="00523022" w:rsidSect="005A1372">
      <w:headerReference w:type="default" r:id="rId32"/>
      <w:footerReference w:type="even" r:id="rId33"/>
      <w:footerReference w:type="default" r:id="rId34"/>
      <w:footerReference w:type="first" r:id="rId35"/>
      <w:pgSz w:w="12240" w:h="15840" w:code="1"/>
      <w:pgMar w:top="1440" w:right="1440" w:bottom="1440" w:left="1440" w:header="72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CD2" w:rsidRDefault="00925CD2">
      <w:r>
        <w:separator/>
      </w:r>
    </w:p>
  </w:endnote>
  <w:endnote w:type="continuationSeparator" w:id="0">
    <w:p w:rsidR="00925CD2" w:rsidRDefault="00925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2" w:rsidRDefault="00925C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925CD2" w:rsidRDefault="00925C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2" w:rsidRDefault="00925CD2">
    <w:pPr>
      <w:pStyle w:val="Footer"/>
      <w:framePr w:wrap="around" w:vAnchor="text" w:hAnchor="margin" w:xAlign="center" w:y="1"/>
      <w:jc w:val="center"/>
      <w:rPr>
        <w:rStyle w:val="PageNumber"/>
      </w:rPr>
    </w:pPr>
  </w:p>
  <w:p w:rsidR="00925CD2" w:rsidRDefault="00925CD2">
    <w:pPr>
      <w:pStyle w:val="Footer"/>
      <w:framePr w:wrap="around" w:vAnchor="text" w:hAnchor="margin" w:xAlign="center" w:y="1"/>
      <w:ind w:right="360"/>
      <w:jc w:val="center"/>
      <w:rPr>
        <w:rStyle w:val="PageNumber"/>
      </w:rPr>
    </w:pPr>
  </w:p>
  <w:p w:rsidR="00925CD2" w:rsidRDefault="00925CD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2" w:rsidRDefault="00925CD2">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2" w:rsidRDefault="00925C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925CD2" w:rsidRDefault="00925CD2">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2" w:rsidRDefault="00925CD2" w:rsidP="00F1730E">
    <w:pPr>
      <w:pStyle w:val="Footer"/>
      <w:framePr w:wrap="around" w:vAnchor="text" w:hAnchor="margin" w:xAlign="center" w:y="1"/>
      <w:ind w:right="36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320A8">
      <w:rPr>
        <w:rStyle w:val="PageNumber"/>
        <w:noProof/>
      </w:rPr>
      <w:t>40</w:t>
    </w:r>
    <w:r>
      <w:rPr>
        <w:rStyle w:val="PageNumber"/>
      </w:rPr>
      <w:fldChar w:fldCharType="end"/>
    </w:r>
  </w:p>
  <w:p w:rsidR="00925CD2" w:rsidRDefault="00925CD2">
    <w:pPr>
      <w:pStyle w:val="Footer"/>
      <w:jc w:val="center"/>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2" w:rsidRDefault="00925CD2">
    <w:pPr>
      <w:pStyle w:val="Footer"/>
      <w:jc w:val="center"/>
    </w:pPr>
    <w:r>
      <w:rPr>
        <w:rStyle w:val="PageNumber"/>
      </w:rPr>
      <w:fldChar w:fldCharType="begin"/>
    </w:r>
    <w:r>
      <w:rPr>
        <w:rStyle w:val="PageNumber"/>
      </w:rPr>
      <w:instrText xml:space="preserve"> PAGE </w:instrText>
    </w:r>
    <w:r>
      <w:rPr>
        <w:rStyle w:val="PageNumber"/>
      </w:rPr>
      <w:fldChar w:fldCharType="separate"/>
    </w:r>
    <w:r w:rsidR="003320A8">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CD2" w:rsidRDefault="00925CD2">
      <w:r>
        <w:separator/>
      </w:r>
    </w:p>
  </w:footnote>
  <w:footnote w:type="continuationSeparator" w:id="0">
    <w:p w:rsidR="00925CD2" w:rsidRDefault="00925CD2">
      <w:r>
        <w:continuationSeparator/>
      </w:r>
    </w:p>
  </w:footnote>
  <w:footnote w:id="1">
    <w:p w:rsidR="00925CD2" w:rsidRDefault="00925CD2" w:rsidP="005A5B15">
      <w:pPr>
        <w:pStyle w:val="FootnoteText"/>
      </w:pPr>
      <w:r>
        <w:rPr>
          <w:rStyle w:val="FootnoteReference"/>
        </w:rPr>
        <w:footnoteRef/>
      </w:r>
      <w:r>
        <w:t xml:space="preserve"> </w:t>
      </w:r>
      <w:r w:rsidRPr="003C2C02">
        <w:rPr>
          <w:bCs/>
        </w:rPr>
        <w:t>While METRO’s service area is technically all of Santa Cruz County METRO</w:t>
      </w:r>
      <w:r>
        <w:rPr>
          <w:bCs/>
        </w:rPr>
        <w:t>,</w:t>
      </w:r>
      <w:r w:rsidRPr="003C2C02">
        <w:rPr>
          <w:bCs/>
        </w:rPr>
        <w:t xml:space="preserve"> primarily operates service in the four urbanized areas (UZAs) of Santa Cruz, Watsonvil</w:t>
      </w:r>
      <w:r>
        <w:rPr>
          <w:bCs/>
        </w:rPr>
        <w:t>le, Capitola, and Scotts Valley.</w:t>
      </w:r>
    </w:p>
  </w:footnote>
  <w:footnote w:id="2">
    <w:p w:rsidR="00925CD2" w:rsidRPr="006C5361" w:rsidRDefault="00925CD2" w:rsidP="00C126C1">
      <w:pPr>
        <w:pStyle w:val="FootnoteText"/>
        <w:rPr>
          <w:bCs/>
        </w:rPr>
      </w:pPr>
      <w:r w:rsidRPr="003C2C02">
        <w:rPr>
          <w:bCs/>
          <w:vertAlign w:val="superscript"/>
        </w:rPr>
        <w:footnoteRef/>
      </w:r>
      <w:r w:rsidRPr="003C2C02">
        <w:rPr>
          <w:bCs/>
        </w:rPr>
        <w:t xml:space="preserve"> Per the 2000 and 2010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2" w:rsidRDefault="00925CD2">
    <w:pPr>
      <w:pStyle w:val="Header"/>
    </w:pPr>
  </w:p>
  <w:p w:rsidR="00925CD2" w:rsidRDefault="00925C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2" w:rsidRDefault="00925C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6005A8"/>
    <w:multiLevelType w:val="hybridMultilevel"/>
    <w:tmpl w:val="5B2E4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903258"/>
    <w:multiLevelType w:val="hybridMultilevel"/>
    <w:tmpl w:val="34FC0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50605E"/>
    <w:multiLevelType w:val="hybridMultilevel"/>
    <w:tmpl w:val="9F8AE164"/>
    <w:lvl w:ilvl="0" w:tplc="EA0457B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6">
    <w:nsid w:val="12DB065A"/>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75B38EA"/>
    <w:multiLevelType w:val="hybridMultilevel"/>
    <w:tmpl w:val="385E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353B6"/>
    <w:multiLevelType w:val="hybridMultilevel"/>
    <w:tmpl w:val="5246C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F225F39"/>
    <w:multiLevelType w:val="hybridMultilevel"/>
    <w:tmpl w:val="F63288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2BB7F49"/>
    <w:multiLevelType w:val="hybridMultilevel"/>
    <w:tmpl w:val="E5C6877A"/>
    <w:lvl w:ilvl="0" w:tplc="A796BAF0">
      <w:start w:val="1"/>
      <w:numFmt w:val="bullet"/>
      <w:lvlText w:val=""/>
      <w:lvlJc w:val="left"/>
      <w:pPr>
        <w:tabs>
          <w:tab w:val="num" w:pos="1080"/>
        </w:tabs>
        <w:ind w:left="1080" w:hanging="360"/>
      </w:pPr>
      <w:rPr>
        <w:rFonts w:ascii="Symbol" w:hAnsi="Symbol" w:hint="default"/>
      </w:rPr>
    </w:lvl>
    <w:lvl w:ilvl="1" w:tplc="7F28A4B6">
      <w:start w:val="1"/>
      <w:numFmt w:val="bullet"/>
      <w:lvlText w:val=""/>
      <w:lvlJc w:val="left"/>
      <w:pPr>
        <w:ind w:left="2160" w:hanging="72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B6B3FA7"/>
    <w:multiLevelType w:val="hybridMultilevel"/>
    <w:tmpl w:val="5BC2AEEC"/>
    <w:lvl w:ilvl="0" w:tplc="60B470A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1C7324B"/>
    <w:multiLevelType w:val="hybridMultilevel"/>
    <w:tmpl w:val="6AB8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F15E19"/>
    <w:multiLevelType w:val="singleLevel"/>
    <w:tmpl w:val="33E073C4"/>
    <w:lvl w:ilvl="0">
      <w:start w:val="1"/>
      <w:numFmt w:val="lowerLetter"/>
      <w:lvlText w:val="%1."/>
      <w:lvlJc w:val="left"/>
      <w:pPr>
        <w:tabs>
          <w:tab w:val="num" w:pos="360"/>
        </w:tabs>
        <w:ind w:left="360" w:hanging="360"/>
      </w:pPr>
    </w:lvl>
  </w:abstractNum>
  <w:abstractNum w:abstractNumId="15">
    <w:nsid w:val="4C04072D"/>
    <w:multiLevelType w:val="hybridMultilevel"/>
    <w:tmpl w:val="9D82FBF8"/>
    <w:lvl w:ilvl="0" w:tplc="0409000F">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6">
    <w:nsid w:val="4F2C23AF"/>
    <w:multiLevelType w:val="hybridMultilevel"/>
    <w:tmpl w:val="77068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67E4A"/>
    <w:multiLevelType w:val="hybridMultilevel"/>
    <w:tmpl w:val="71902D78"/>
    <w:lvl w:ilvl="0" w:tplc="88860EF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08D72EE"/>
    <w:multiLevelType w:val="hybridMultilevel"/>
    <w:tmpl w:val="C1CC23D4"/>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52C34422"/>
    <w:multiLevelType w:val="hybridMultilevel"/>
    <w:tmpl w:val="43EA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6165D5"/>
    <w:multiLevelType w:val="hybridMultilevel"/>
    <w:tmpl w:val="C85E6DEC"/>
    <w:lvl w:ilvl="0" w:tplc="04090019">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6565C87"/>
    <w:multiLevelType w:val="hybridMultilevel"/>
    <w:tmpl w:val="EB84BCF2"/>
    <w:lvl w:ilvl="0" w:tplc="356CE102">
      <w:start w:val="1"/>
      <w:numFmt w:val="bullet"/>
      <w:lvlText w:val=""/>
      <w:lvlJc w:val="left"/>
      <w:pPr>
        <w:tabs>
          <w:tab w:val="num" w:pos="720"/>
        </w:tabs>
        <w:ind w:left="720" w:hanging="360"/>
      </w:pPr>
      <w:rPr>
        <w:rFonts w:ascii="Symbol" w:hAnsi="Symbol" w:hint="default"/>
      </w:rPr>
    </w:lvl>
    <w:lvl w:ilvl="1" w:tplc="85024394" w:tentative="1">
      <w:start w:val="1"/>
      <w:numFmt w:val="bullet"/>
      <w:lvlText w:val="o"/>
      <w:lvlJc w:val="left"/>
      <w:pPr>
        <w:tabs>
          <w:tab w:val="num" w:pos="1440"/>
        </w:tabs>
        <w:ind w:left="1440" w:hanging="360"/>
      </w:pPr>
      <w:rPr>
        <w:rFonts w:ascii="Courier New" w:hAnsi="Courier New" w:hint="default"/>
      </w:rPr>
    </w:lvl>
    <w:lvl w:ilvl="2" w:tplc="13EA3F30" w:tentative="1">
      <w:start w:val="1"/>
      <w:numFmt w:val="bullet"/>
      <w:lvlText w:val=""/>
      <w:lvlJc w:val="left"/>
      <w:pPr>
        <w:tabs>
          <w:tab w:val="num" w:pos="2160"/>
        </w:tabs>
        <w:ind w:left="2160" w:hanging="360"/>
      </w:pPr>
      <w:rPr>
        <w:rFonts w:ascii="Wingdings" w:hAnsi="Wingdings" w:hint="default"/>
      </w:rPr>
    </w:lvl>
    <w:lvl w:ilvl="3" w:tplc="A7481E64" w:tentative="1">
      <w:start w:val="1"/>
      <w:numFmt w:val="bullet"/>
      <w:lvlText w:val=""/>
      <w:lvlJc w:val="left"/>
      <w:pPr>
        <w:tabs>
          <w:tab w:val="num" w:pos="2880"/>
        </w:tabs>
        <w:ind w:left="2880" w:hanging="360"/>
      </w:pPr>
      <w:rPr>
        <w:rFonts w:ascii="Symbol" w:hAnsi="Symbol" w:hint="default"/>
      </w:rPr>
    </w:lvl>
    <w:lvl w:ilvl="4" w:tplc="33DAA20E" w:tentative="1">
      <w:start w:val="1"/>
      <w:numFmt w:val="bullet"/>
      <w:lvlText w:val="o"/>
      <w:lvlJc w:val="left"/>
      <w:pPr>
        <w:tabs>
          <w:tab w:val="num" w:pos="3600"/>
        </w:tabs>
        <w:ind w:left="3600" w:hanging="360"/>
      </w:pPr>
      <w:rPr>
        <w:rFonts w:ascii="Courier New" w:hAnsi="Courier New" w:hint="default"/>
      </w:rPr>
    </w:lvl>
    <w:lvl w:ilvl="5" w:tplc="9808077E" w:tentative="1">
      <w:start w:val="1"/>
      <w:numFmt w:val="bullet"/>
      <w:lvlText w:val=""/>
      <w:lvlJc w:val="left"/>
      <w:pPr>
        <w:tabs>
          <w:tab w:val="num" w:pos="4320"/>
        </w:tabs>
        <w:ind w:left="4320" w:hanging="360"/>
      </w:pPr>
      <w:rPr>
        <w:rFonts w:ascii="Wingdings" w:hAnsi="Wingdings" w:hint="default"/>
      </w:rPr>
    </w:lvl>
    <w:lvl w:ilvl="6" w:tplc="F06ABC98" w:tentative="1">
      <w:start w:val="1"/>
      <w:numFmt w:val="bullet"/>
      <w:lvlText w:val=""/>
      <w:lvlJc w:val="left"/>
      <w:pPr>
        <w:tabs>
          <w:tab w:val="num" w:pos="5040"/>
        </w:tabs>
        <w:ind w:left="5040" w:hanging="360"/>
      </w:pPr>
      <w:rPr>
        <w:rFonts w:ascii="Symbol" w:hAnsi="Symbol" w:hint="default"/>
      </w:rPr>
    </w:lvl>
    <w:lvl w:ilvl="7" w:tplc="B2D06116" w:tentative="1">
      <w:start w:val="1"/>
      <w:numFmt w:val="bullet"/>
      <w:lvlText w:val="o"/>
      <w:lvlJc w:val="left"/>
      <w:pPr>
        <w:tabs>
          <w:tab w:val="num" w:pos="5760"/>
        </w:tabs>
        <w:ind w:left="5760" w:hanging="360"/>
      </w:pPr>
      <w:rPr>
        <w:rFonts w:ascii="Courier New" w:hAnsi="Courier New" w:hint="default"/>
      </w:rPr>
    </w:lvl>
    <w:lvl w:ilvl="8" w:tplc="11AC6A98" w:tentative="1">
      <w:start w:val="1"/>
      <w:numFmt w:val="bullet"/>
      <w:lvlText w:val=""/>
      <w:lvlJc w:val="left"/>
      <w:pPr>
        <w:tabs>
          <w:tab w:val="num" w:pos="6480"/>
        </w:tabs>
        <w:ind w:left="6480" w:hanging="360"/>
      </w:pPr>
      <w:rPr>
        <w:rFonts w:ascii="Wingdings" w:hAnsi="Wingdings" w:hint="default"/>
      </w:rPr>
    </w:lvl>
  </w:abstractNum>
  <w:abstractNum w:abstractNumId="22">
    <w:nsid w:val="5C2541F7"/>
    <w:multiLevelType w:val="hybridMultilevel"/>
    <w:tmpl w:val="CCC0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216E3A"/>
    <w:multiLevelType w:val="hybridMultilevel"/>
    <w:tmpl w:val="EA0EC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E02983"/>
    <w:multiLevelType w:val="hybridMultilevel"/>
    <w:tmpl w:val="6A68B36E"/>
    <w:lvl w:ilvl="0" w:tplc="8D72CC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E225CF9"/>
    <w:multiLevelType w:val="hybridMultilevel"/>
    <w:tmpl w:val="ADE4846A"/>
    <w:lvl w:ilvl="0" w:tplc="7514EE22">
      <w:start w:val="1"/>
      <w:numFmt w:val="bullet"/>
      <w:lvlText w:val=""/>
      <w:lvlJc w:val="left"/>
      <w:pPr>
        <w:ind w:left="360" w:hanging="360"/>
      </w:pPr>
      <w:rPr>
        <w:rFonts w:ascii="Symbol" w:hAnsi="Symbol" w:hint="default"/>
      </w:rPr>
    </w:lvl>
    <w:lvl w:ilvl="1" w:tplc="2DA6800A">
      <w:start w:val="1"/>
      <w:numFmt w:val="bullet"/>
      <w:lvlText w:val=""/>
      <w:lvlJc w:val="left"/>
      <w:pPr>
        <w:ind w:left="1080" w:hanging="360"/>
      </w:pPr>
      <w:rPr>
        <w:rFonts w:ascii="Symbol" w:hAnsi="Symbol" w:hint="default"/>
      </w:rPr>
    </w:lvl>
    <w:lvl w:ilvl="2" w:tplc="7F880BBA" w:tentative="1">
      <w:start w:val="1"/>
      <w:numFmt w:val="lowerRoman"/>
      <w:lvlText w:val="%3."/>
      <w:lvlJc w:val="right"/>
      <w:pPr>
        <w:ind w:left="1800" w:hanging="180"/>
      </w:pPr>
    </w:lvl>
    <w:lvl w:ilvl="3" w:tplc="340C3016" w:tentative="1">
      <w:start w:val="1"/>
      <w:numFmt w:val="decimal"/>
      <w:lvlText w:val="%4."/>
      <w:lvlJc w:val="left"/>
      <w:pPr>
        <w:ind w:left="2520" w:hanging="360"/>
      </w:pPr>
    </w:lvl>
    <w:lvl w:ilvl="4" w:tplc="17428804" w:tentative="1">
      <w:start w:val="1"/>
      <w:numFmt w:val="lowerLetter"/>
      <w:lvlText w:val="%5."/>
      <w:lvlJc w:val="left"/>
      <w:pPr>
        <w:ind w:left="3240" w:hanging="360"/>
      </w:pPr>
    </w:lvl>
    <w:lvl w:ilvl="5" w:tplc="AAC84D70" w:tentative="1">
      <w:start w:val="1"/>
      <w:numFmt w:val="lowerRoman"/>
      <w:lvlText w:val="%6."/>
      <w:lvlJc w:val="right"/>
      <w:pPr>
        <w:ind w:left="3960" w:hanging="180"/>
      </w:pPr>
    </w:lvl>
    <w:lvl w:ilvl="6" w:tplc="1A2AFB92" w:tentative="1">
      <w:start w:val="1"/>
      <w:numFmt w:val="decimal"/>
      <w:lvlText w:val="%7."/>
      <w:lvlJc w:val="left"/>
      <w:pPr>
        <w:ind w:left="4680" w:hanging="360"/>
      </w:pPr>
    </w:lvl>
    <w:lvl w:ilvl="7" w:tplc="B35A373A" w:tentative="1">
      <w:start w:val="1"/>
      <w:numFmt w:val="lowerLetter"/>
      <w:lvlText w:val="%8."/>
      <w:lvlJc w:val="left"/>
      <w:pPr>
        <w:ind w:left="5400" w:hanging="360"/>
      </w:pPr>
    </w:lvl>
    <w:lvl w:ilvl="8" w:tplc="F3AEF8F4" w:tentative="1">
      <w:start w:val="1"/>
      <w:numFmt w:val="lowerRoman"/>
      <w:lvlText w:val="%9."/>
      <w:lvlJc w:val="right"/>
      <w:pPr>
        <w:ind w:left="6120" w:hanging="180"/>
      </w:pPr>
    </w:lvl>
  </w:abstractNum>
  <w:abstractNum w:abstractNumId="26">
    <w:nsid w:val="799C2CA9"/>
    <w:multiLevelType w:val="singleLevel"/>
    <w:tmpl w:val="F33A9BAE"/>
    <w:lvl w:ilvl="0">
      <w:start w:val="1"/>
      <w:numFmt w:val="upperRoman"/>
      <w:pStyle w:val="BHLevel1"/>
      <w:lvlText w:val="%1."/>
      <w:lvlJc w:val="left"/>
      <w:pPr>
        <w:tabs>
          <w:tab w:val="num" w:pos="720"/>
        </w:tabs>
        <w:ind w:left="720" w:hanging="720"/>
      </w:pPr>
      <w:rPr>
        <w:rFonts w:ascii="Times New Roman" w:hAnsi="Times New Roman" w:hint="default"/>
        <w:b/>
        <w:i w:val="0"/>
        <w:sz w:val="28"/>
        <w:u w:val="none"/>
      </w:rPr>
    </w:lvl>
  </w:abstractNum>
  <w:num w:numId="1">
    <w:abstractNumId w:val="9"/>
  </w:num>
  <w:num w:numId="2">
    <w:abstractNumId w:val="1"/>
  </w:num>
  <w:num w:numId="3">
    <w:abstractNumId w:val="0"/>
  </w:num>
  <w:num w:numId="4">
    <w:abstractNumId w:val="14"/>
  </w:num>
  <w:num w:numId="5">
    <w:abstractNumId w:val="5"/>
  </w:num>
  <w:num w:numId="6">
    <w:abstractNumId w:val="21"/>
  </w:num>
  <w:num w:numId="7">
    <w:abstractNumId w:val="20"/>
  </w:num>
  <w:num w:numId="8">
    <w:abstractNumId w:val="15"/>
  </w:num>
  <w:num w:numId="9">
    <w:abstractNumId w:val="18"/>
  </w:num>
  <w:num w:numId="10">
    <w:abstractNumId w:val="26"/>
  </w:num>
  <w:num w:numId="11">
    <w:abstractNumId w:val="23"/>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2"/>
  </w:num>
  <w:num w:numId="20">
    <w:abstractNumId w:val="25"/>
  </w:num>
  <w:num w:numId="21">
    <w:abstractNumId w:val="19"/>
  </w:num>
  <w:num w:numId="22">
    <w:abstractNumId w:val="16"/>
  </w:num>
  <w:num w:numId="23">
    <w:abstractNumId w:val="7"/>
  </w:num>
  <w:num w:numId="24">
    <w:abstractNumId w:val="24"/>
  </w:num>
  <w:num w:numId="25">
    <w:abstractNumId w:val="12"/>
  </w:num>
  <w:num w:numId="26">
    <w:abstractNumId w:val="17"/>
  </w:num>
  <w:num w:numId="27">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F14106"/>
    <w:rsid w:val="000019B7"/>
    <w:rsid w:val="00002E69"/>
    <w:rsid w:val="00003CF5"/>
    <w:rsid w:val="000055D5"/>
    <w:rsid w:val="000065FB"/>
    <w:rsid w:val="00006681"/>
    <w:rsid w:val="00007891"/>
    <w:rsid w:val="00010922"/>
    <w:rsid w:val="00014997"/>
    <w:rsid w:val="00015E41"/>
    <w:rsid w:val="0001726C"/>
    <w:rsid w:val="000229BA"/>
    <w:rsid w:val="00023664"/>
    <w:rsid w:val="0002421D"/>
    <w:rsid w:val="00024D21"/>
    <w:rsid w:val="00024E21"/>
    <w:rsid w:val="00025BEE"/>
    <w:rsid w:val="000330A2"/>
    <w:rsid w:val="00035671"/>
    <w:rsid w:val="00040594"/>
    <w:rsid w:val="0004231E"/>
    <w:rsid w:val="00042F82"/>
    <w:rsid w:val="0004419D"/>
    <w:rsid w:val="00044C33"/>
    <w:rsid w:val="000476A3"/>
    <w:rsid w:val="00047825"/>
    <w:rsid w:val="00050F9C"/>
    <w:rsid w:val="000518E4"/>
    <w:rsid w:val="00051D0C"/>
    <w:rsid w:val="00054DB9"/>
    <w:rsid w:val="00055114"/>
    <w:rsid w:val="000611BB"/>
    <w:rsid w:val="00061754"/>
    <w:rsid w:val="00062693"/>
    <w:rsid w:val="00064AF5"/>
    <w:rsid w:val="000658ED"/>
    <w:rsid w:val="000670FA"/>
    <w:rsid w:val="000671C0"/>
    <w:rsid w:val="0006796C"/>
    <w:rsid w:val="00072039"/>
    <w:rsid w:val="000734CE"/>
    <w:rsid w:val="00080B01"/>
    <w:rsid w:val="00081DC2"/>
    <w:rsid w:val="000830C6"/>
    <w:rsid w:val="00083FEF"/>
    <w:rsid w:val="00085F3E"/>
    <w:rsid w:val="00086FBD"/>
    <w:rsid w:val="00092BF0"/>
    <w:rsid w:val="00094092"/>
    <w:rsid w:val="00096508"/>
    <w:rsid w:val="000A1004"/>
    <w:rsid w:val="000A56BF"/>
    <w:rsid w:val="000A65D4"/>
    <w:rsid w:val="000A675A"/>
    <w:rsid w:val="000A771A"/>
    <w:rsid w:val="000A7888"/>
    <w:rsid w:val="000B086E"/>
    <w:rsid w:val="000B0ED9"/>
    <w:rsid w:val="000B2EE6"/>
    <w:rsid w:val="000B3C66"/>
    <w:rsid w:val="000B5317"/>
    <w:rsid w:val="000B5D92"/>
    <w:rsid w:val="000B5F0F"/>
    <w:rsid w:val="000B62C1"/>
    <w:rsid w:val="000B6B86"/>
    <w:rsid w:val="000C13DC"/>
    <w:rsid w:val="000C2D13"/>
    <w:rsid w:val="000C450A"/>
    <w:rsid w:val="000C57CE"/>
    <w:rsid w:val="000C5AF1"/>
    <w:rsid w:val="000D0924"/>
    <w:rsid w:val="000D1D98"/>
    <w:rsid w:val="000D3659"/>
    <w:rsid w:val="000D5A73"/>
    <w:rsid w:val="000E0EDD"/>
    <w:rsid w:val="000E23F3"/>
    <w:rsid w:val="000E39FF"/>
    <w:rsid w:val="000E4B1E"/>
    <w:rsid w:val="000E6F5D"/>
    <w:rsid w:val="000E7143"/>
    <w:rsid w:val="000E748D"/>
    <w:rsid w:val="000E76AF"/>
    <w:rsid w:val="000F1A88"/>
    <w:rsid w:val="000F1C0E"/>
    <w:rsid w:val="000F1C7F"/>
    <w:rsid w:val="000F65B1"/>
    <w:rsid w:val="000F7E7B"/>
    <w:rsid w:val="000F7F86"/>
    <w:rsid w:val="001033FC"/>
    <w:rsid w:val="001035FE"/>
    <w:rsid w:val="001041FC"/>
    <w:rsid w:val="001050CE"/>
    <w:rsid w:val="001055A6"/>
    <w:rsid w:val="001123AE"/>
    <w:rsid w:val="00115C26"/>
    <w:rsid w:val="00117180"/>
    <w:rsid w:val="00117DFD"/>
    <w:rsid w:val="001219DB"/>
    <w:rsid w:val="001226FE"/>
    <w:rsid w:val="00124AEA"/>
    <w:rsid w:val="00124C35"/>
    <w:rsid w:val="00130731"/>
    <w:rsid w:val="0013137D"/>
    <w:rsid w:val="001332FF"/>
    <w:rsid w:val="00134B44"/>
    <w:rsid w:val="0013524E"/>
    <w:rsid w:val="00135803"/>
    <w:rsid w:val="00136B66"/>
    <w:rsid w:val="00142881"/>
    <w:rsid w:val="001455FE"/>
    <w:rsid w:val="00145C5E"/>
    <w:rsid w:val="001469A1"/>
    <w:rsid w:val="001479AA"/>
    <w:rsid w:val="00150920"/>
    <w:rsid w:val="00150F0E"/>
    <w:rsid w:val="0015693C"/>
    <w:rsid w:val="00156F2E"/>
    <w:rsid w:val="00157AAA"/>
    <w:rsid w:val="00164468"/>
    <w:rsid w:val="00164B0B"/>
    <w:rsid w:val="001650B4"/>
    <w:rsid w:val="001668FE"/>
    <w:rsid w:val="0016772D"/>
    <w:rsid w:val="001712C1"/>
    <w:rsid w:val="00173183"/>
    <w:rsid w:val="00174DCA"/>
    <w:rsid w:val="00175368"/>
    <w:rsid w:val="00176420"/>
    <w:rsid w:val="00180653"/>
    <w:rsid w:val="00181AC1"/>
    <w:rsid w:val="0018514E"/>
    <w:rsid w:val="00185CC6"/>
    <w:rsid w:val="00186683"/>
    <w:rsid w:val="00186943"/>
    <w:rsid w:val="00191FC1"/>
    <w:rsid w:val="0019298E"/>
    <w:rsid w:val="00194105"/>
    <w:rsid w:val="00194ABE"/>
    <w:rsid w:val="001951D0"/>
    <w:rsid w:val="001953D9"/>
    <w:rsid w:val="001954EA"/>
    <w:rsid w:val="001A7D85"/>
    <w:rsid w:val="001B17E0"/>
    <w:rsid w:val="001B41AF"/>
    <w:rsid w:val="001B4F97"/>
    <w:rsid w:val="001B5E5D"/>
    <w:rsid w:val="001B6247"/>
    <w:rsid w:val="001B7A76"/>
    <w:rsid w:val="001C03A3"/>
    <w:rsid w:val="001C03D3"/>
    <w:rsid w:val="001C3EC5"/>
    <w:rsid w:val="001D0C8E"/>
    <w:rsid w:val="001D229E"/>
    <w:rsid w:val="001D3B84"/>
    <w:rsid w:val="001D549B"/>
    <w:rsid w:val="001D64DC"/>
    <w:rsid w:val="001E0ADE"/>
    <w:rsid w:val="001E1445"/>
    <w:rsid w:val="001E2593"/>
    <w:rsid w:val="001E4AB5"/>
    <w:rsid w:val="001E7873"/>
    <w:rsid w:val="001F1DAD"/>
    <w:rsid w:val="001F1FE3"/>
    <w:rsid w:val="001F319D"/>
    <w:rsid w:val="001F5ED7"/>
    <w:rsid w:val="001F6025"/>
    <w:rsid w:val="001F6C5E"/>
    <w:rsid w:val="00200483"/>
    <w:rsid w:val="002014D3"/>
    <w:rsid w:val="0020300B"/>
    <w:rsid w:val="00206213"/>
    <w:rsid w:val="002109AF"/>
    <w:rsid w:val="00210A0B"/>
    <w:rsid w:val="00210E88"/>
    <w:rsid w:val="00212C5B"/>
    <w:rsid w:val="00212E96"/>
    <w:rsid w:val="00213759"/>
    <w:rsid w:val="00213EBB"/>
    <w:rsid w:val="00214183"/>
    <w:rsid w:val="002150EA"/>
    <w:rsid w:val="00220244"/>
    <w:rsid w:val="002207BE"/>
    <w:rsid w:val="002221EF"/>
    <w:rsid w:val="002235F3"/>
    <w:rsid w:val="00224031"/>
    <w:rsid w:val="00225B6A"/>
    <w:rsid w:val="0022753A"/>
    <w:rsid w:val="00230026"/>
    <w:rsid w:val="002327EC"/>
    <w:rsid w:val="002351CC"/>
    <w:rsid w:val="00235BFD"/>
    <w:rsid w:val="00236054"/>
    <w:rsid w:val="00236583"/>
    <w:rsid w:val="00236E81"/>
    <w:rsid w:val="0024275D"/>
    <w:rsid w:val="0024308F"/>
    <w:rsid w:val="00243C23"/>
    <w:rsid w:val="002458F6"/>
    <w:rsid w:val="00250751"/>
    <w:rsid w:val="0025092F"/>
    <w:rsid w:val="00253555"/>
    <w:rsid w:val="0025411A"/>
    <w:rsid w:val="00254388"/>
    <w:rsid w:val="00255EE1"/>
    <w:rsid w:val="002566B9"/>
    <w:rsid w:val="002615D5"/>
    <w:rsid w:val="00261C1A"/>
    <w:rsid w:val="00263244"/>
    <w:rsid w:val="00264F2C"/>
    <w:rsid w:val="00265AD2"/>
    <w:rsid w:val="00267954"/>
    <w:rsid w:val="002733A7"/>
    <w:rsid w:val="00275D93"/>
    <w:rsid w:val="00276399"/>
    <w:rsid w:val="00280B5B"/>
    <w:rsid w:val="00281A4B"/>
    <w:rsid w:val="00281EFB"/>
    <w:rsid w:val="00283218"/>
    <w:rsid w:val="0029024E"/>
    <w:rsid w:val="00290F08"/>
    <w:rsid w:val="0029253F"/>
    <w:rsid w:val="002947FC"/>
    <w:rsid w:val="00295271"/>
    <w:rsid w:val="0029648B"/>
    <w:rsid w:val="00297581"/>
    <w:rsid w:val="002A00FE"/>
    <w:rsid w:val="002A1F4A"/>
    <w:rsid w:val="002A2B85"/>
    <w:rsid w:val="002A3DCC"/>
    <w:rsid w:val="002B0DFD"/>
    <w:rsid w:val="002B1B4D"/>
    <w:rsid w:val="002B6C30"/>
    <w:rsid w:val="002C041C"/>
    <w:rsid w:val="002C07D3"/>
    <w:rsid w:val="002C2651"/>
    <w:rsid w:val="002C4E6D"/>
    <w:rsid w:val="002C51A5"/>
    <w:rsid w:val="002D2C84"/>
    <w:rsid w:val="002D7A56"/>
    <w:rsid w:val="002E10E7"/>
    <w:rsid w:val="002E4775"/>
    <w:rsid w:val="002E58E4"/>
    <w:rsid w:val="002E59F8"/>
    <w:rsid w:val="002F0F66"/>
    <w:rsid w:val="002F1687"/>
    <w:rsid w:val="002F227D"/>
    <w:rsid w:val="002F4689"/>
    <w:rsid w:val="00300EFE"/>
    <w:rsid w:val="00302B6A"/>
    <w:rsid w:val="00305B86"/>
    <w:rsid w:val="00305C83"/>
    <w:rsid w:val="0030644F"/>
    <w:rsid w:val="00315837"/>
    <w:rsid w:val="00316A97"/>
    <w:rsid w:val="003178C0"/>
    <w:rsid w:val="00317E9A"/>
    <w:rsid w:val="00322714"/>
    <w:rsid w:val="00322AD3"/>
    <w:rsid w:val="00323B3C"/>
    <w:rsid w:val="00324B07"/>
    <w:rsid w:val="00325C0B"/>
    <w:rsid w:val="003277C8"/>
    <w:rsid w:val="003320A8"/>
    <w:rsid w:val="00333126"/>
    <w:rsid w:val="0033491F"/>
    <w:rsid w:val="003353D0"/>
    <w:rsid w:val="00335E1D"/>
    <w:rsid w:val="00337DFC"/>
    <w:rsid w:val="00342959"/>
    <w:rsid w:val="00342A13"/>
    <w:rsid w:val="00347579"/>
    <w:rsid w:val="003503D1"/>
    <w:rsid w:val="003537F0"/>
    <w:rsid w:val="003544D9"/>
    <w:rsid w:val="00354B4B"/>
    <w:rsid w:val="003567EC"/>
    <w:rsid w:val="00363338"/>
    <w:rsid w:val="003634C0"/>
    <w:rsid w:val="003639ED"/>
    <w:rsid w:val="00365435"/>
    <w:rsid w:val="00367096"/>
    <w:rsid w:val="00372163"/>
    <w:rsid w:val="00373A00"/>
    <w:rsid w:val="003743B9"/>
    <w:rsid w:val="003759EA"/>
    <w:rsid w:val="0037611B"/>
    <w:rsid w:val="003764C4"/>
    <w:rsid w:val="0037750C"/>
    <w:rsid w:val="0038078B"/>
    <w:rsid w:val="0038345D"/>
    <w:rsid w:val="003900E6"/>
    <w:rsid w:val="003952C8"/>
    <w:rsid w:val="003953B5"/>
    <w:rsid w:val="003A1836"/>
    <w:rsid w:val="003A3CEB"/>
    <w:rsid w:val="003A78A3"/>
    <w:rsid w:val="003B06B0"/>
    <w:rsid w:val="003B11B7"/>
    <w:rsid w:val="003B2BD2"/>
    <w:rsid w:val="003B5DDA"/>
    <w:rsid w:val="003B62E5"/>
    <w:rsid w:val="003B6E93"/>
    <w:rsid w:val="003B7372"/>
    <w:rsid w:val="003C0AEE"/>
    <w:rsid w:val="003C1A2F"/>
    <w:rsid w:val="003C1A5C"/>
    <w:rsid w:val="003C2C02"/>
    <w:rsid w:val="003C2C05"/>
    <w:rsid w:val="003C2DB0"/>
    <w:rsid w:val="003C3B5A"/>
    <w:rsid w:val="003C6118"/>
    <w:rsid w:val="003C67A8"/>
    <w:rsid w:val="003C68B7"/>
    <w:rsid w:val="003D19DD"/>
    <w:rsid w:val="003D229E"/>
    <w:rsid w:val="003D6D76"/>
    <w:rsid w:val="003E12F2"/>
    <w:rsid w:val="003E35EA"/>
    <w:rsid w:val="003E37D4"/>
    <w:rsid w:val="003E483E"/>
    <w:rsid w:val="003E576A"/>
    <w:rsid w:val="003E6F4B"/>
    <w:rsid w:val="003E70DC"/>
    <w:rsid w:val="003E78A5"/>
    <w:rsid w:val="003F1E79"/>
    <w:rsid w:val="003F38BD"/>
    <w:rsid w:val="00401342"/>
    <w:rsid w:val="00401E04"/>
    <w:rsid w:val="00404B66"/>
    <w:rsid w:val="00407122"/>
    <w:rsid w:val="00411599"/>
    <w:rsid w:val="00411E45"/>
    <w:rsid w:val="00412BE0"/>
    <w:rsid w:val="00412DD6"/>
    <w:rsid w:val="004155AD"/>
    <w:rsid w:val="00417A9F"/>
    <w:rsid w:val="0042128D"/>
    <w:rsid w:val="00422A30"/>
    <w:rsid w:val="00422C7F"/>
    <w:rsid w:val="004277A3"/>
    <w:rsid w:val="00430B26"/>
    <w:rsid w:val="00431D48"/>
    <w:rsid w:val="004320B6"/>
    <w:rsid w:val="00434AC5"/>
    <w:rsid w:val="00436B64"/>
    <w:rsid w:val="004404B6"/>
    <w:rsid w:val="00440AC6"/>
    <w:rsid w:val="004424C8"/>
    <w:rsid w:val="00443A26"/>
    <w:rsid w:val="00444848"/>
    <w:rsid w:val="00451F35"/>
    <w:rsid w:val="004522A2"/>
    <w:rsid w:val="004532F2"/>
    <w:rsid w:val="00453607"/>
    <w:rsid w:val="00454C11"/>
    <w:rsid w:val="00455321"/>
    <w:rsid w:val="004557BD"/>
    <w:rsid w:val="00456253"/>
    <w:rsid w:val="00460183"/>
    <w:rsid w:val="00460E3B"/>
    <w:rsid w:val="0046273D"/>
    <w:rsid w:val="00462D6A"/>
    <w:rsid w:val="00465FFF"/>
    <w:rsid w:val="004665B2"/>
    <w:rsid w:val="00474E7F"/>
    <w:rsid w:val="00474FAB"/>
    <w:rsid w:val="004779B6"/>
    <w:rsid w:val="00477B1A"/>
    <w:rsid w:val="00480FD7"/>
    <w:rsid w:val="0048219F"/>
    <w:rsid w:val="004822AC"/>
    <w:rsid w:val="00485289"/>
    <w:rsid w:val="00486038"/>
    <w:rsid w:val="00486ABD"/>
    <w:rsid w:val="0048725D"/>
    <w:rsid w:val="004914B7"/>
    <w:rsid w:val="0049198D"/>
    <w:rsid w:val="0049243E"/>
    <w:rsid w:val="00492858"/>
    <w:rsid w:val="004A1D8F"/>
    <w:rsid w:val="004A28B7"/>
    <w:rsid w:val="004A30F5"/>
    <w:rsid w:val="004A3E37"/>
    <w:rsid w:val="004A4156"/>
    <w:rsid w:val="004A6F01"/>
    <w:rsid w:val="004A7496"/>
    <w:rsid w:val="004B00F7"/>
    <w:rsid w:val="004B1545"/>
    <w:rsid w:val="004B446C"/>
    <w:rsid w:val="004B4661"/>
    <w:rsid w:val="004B4B73"/>
    <w:rsid w:val="004B4E49"/>
    <w:rsid w:val="004B54C0"/>
    <w:rsid w:val="004B5E77"/>
    <w:rsid w:val="004B6E6E"/>
    <w:rsid w:val="004C1CCF"/>
    <w:rsid w:val="004C1F75"/>
    <w:rsid w:val="004C3A89"/>
    <w:rsid w:val="004D001C"/>
    <w:rsid w:val="004D03C1"/>
    <w:rsid w:val="004D1E50"/>
    <w:rsid w:val="004D1FBA"/>
    <w:rsid w:val="004D4E0D"/>
    <w:rsid w:val="004D4F10"/>
    <w:rsid w:val="004D7B63"/>
    <w:rsid w:val="004E2EF7"/>
    <w:rsid w:val="004E4A96"/>
    <w:rsid w:val="004E6F7F"/>
    <w:rsid w:val="004F0A85"/>
    <w:rsid w:val="004F0DEB"/>
    <w:rsid w:val="004F1897"/>
    <w:rsid w:val="004F6378"/>
    <w:rsid w:val="005004EC"/>
    <w:rsid w:val="005016A5"/>
    <w:rsid w:val="00502FB7"/>
    <w:rsid w:val="00505A57"/>
    <w:rsid w:val="005078A4"/>
    <w:rsid w:val="005100E7"/>
    <w:rsid w:val="0051146A"/>
    <w:rsid w:val="005117CC"/>
    <w:rsid w:val="00511A21"/>
    <w:rsid w:val="00512311"/>
    <w:rsid w:val="00513CDD"/>
    <w:rsid w:val="00514D72"/>
    <w:rsid w:val="0051603A"/>
    <w:rsid w:val="005163DF"/>
    <w:rsid w:val="00516E1B"/>
    <w:rsid w:val="00520E0B"/>
    <w:rsid w:val="005223CA"/>
    <w:rsid w:val="00523022"/>
    <w:rsid w:val="00524579"/>
    <w:rsid w:val="0052544A"/>
    <w:rsid w:val="00526CAA"/>
    <w:rsid w:val="00530051"/>
    <w:rsid w:val="005305BB"/>
    <w:rsid w:val="00533171"/>
    <w:rsid w:val="0053731C"/>
    <w:rsid w:val="00540AE7"/>
    <w:rsid w:val="00541B4B"/>
    <w:rsid w:val="005438EA"/>
    <w:rsid w:val="005457E5"/>
    <w:rsid w:val="005468B2"/>
    <w:rsid w:val="00550C55"/>
    <w:rsid w:val="00551518"/>
    <w:rsid w:val="00552C6A"/>
    <w:rsid w:val="00553625"/>
    <w:rsid w:val="005603C3"/>
    <w:rsid w:val="00561623"/>
    <w:rsid w:val="0056210B"/>
    <w:rsid w:val="005621EA"/>
    <w:rsid w:val="005624F9"/>
    <w:rsid w:val="00562955"/>
    <w:rsid w:val="00563732"/>
    <w:rsid w:val="005640A2"/>
    <w:rsid w:val="0056538A"/>
    <w:rsid w:val="00567B4B"/>
    <w:rsid w:val="00571591"/>
    <w:rsid w:val="00571619"/>
    <w:rsid w:val="005759B7"/>
    <w:rsid w:val="005772CD"/>
    <w:rsid w:val="00577B50"/>
    <w:rsid w:val="00577BF9"/>
    <w:rsid w:val="00577C32"/>
    <w:rsid w:val="005807C5"/>
    <w:rsid w:val="0058310F"/>
    <w:rsid w:val="00584474"/>
    <w:rsid w:val="00584F51"/>
    <w:rsid w:val="005910BC"/>
    <w:rsid w:val="00594BE0"/>
    <w:rsid w:val="00596328"/>
    <w:rsid w:val="0059658D"/>
    <w:rsid w:val="005A0372"/>
    <w:rsid w:val="005A1372"/>
    <w:rsid w:val="005A1473"/>
    <w:rsid w:val="005A29B0"/>
    <w:rsid w:val="005A29C8"/>
    <w:rsid w:val="005A5B15"/>
    <w:rsid w:val="005A6C65"/>
    <w:rsid w:val="005B389A"/>
    <w:rsid w:val="005B6E53"/>
    <w:rsid w:val="005C0553"/>
    <w:rsid w:val="005C0F46"/>
    <w:rsid w:val="005C2A8D"/>
    <w:rsid w:val="005C483E"/>
    <w:rsid w:val="005D02DD"/>
    <w:rsid w:val="005D02EB"/>
    <w:rsid w:val="005D2D43"/>
    <w:rsid w:val="005D76CC"/>
    <w:rsid w:val="005E03C5"/>
    <w:rsid w:val="005E2261"/>
    <w:rsid w:val="005E2DBB"/>
    <w:rsid w:val="005E5045"/>
    <w:rsid w:val="005E6701"/>
    <w:rsid w:val="005E7646"/>
    <w:rsid w:val="005E7A10"/>
    <w:rsid w:val="005F1E85"/>
    <w:rsid w:val="005F291D"/>
    <w:rsid w:val="005F690B"/>
    <w:rsid w:val="00601921"/>
    <w:rsid w:val="00602064"/>
    <w:rsid w:val="00603D8E"/>
    <w:rsid w:val="00605A3F"/>
    <w:rsid w:val="006060FA"/>
    <w:rsid w:val="006062E3"/>
    <w:rsid w:val="006071F2"/>
    <w:rsid w:val="00610CD0"/>
    <w:rsid w:val="00610E83"/>
    <w:rsid w:val="0061121D"/>
    <w:rsid w:val="00612019"/>
    <w:rsid w:val="00613C0F"/>
    <w:rsid w:val="00616566"/>
    <w:rsid w:val="00616D5E"/>
    <w:rsid w:val="00617FED"/>
    <w:rsid w:val="0062149F"/>
    <w:rsid w:val="00622C18"/>
    <w:rsid w:val="00622D14"/>
    <w:rsid w:val="00623D99"/>
    <w:rsid w:val="00624205"/>
    <w:rsid w:val="00625AFC"/>
    <w:rsid w:val="00633AC3"/>
    <w:rsid w:val="00634B82"/>
    <w:rsid w:val="00634C60"/>
    <w:rsid w:val="006352F4"/>
    <w:rsid w:val="006358DB"/>
    <w:rsid w:val="00636BE6"/>
    <w:rsid w:val="00637B48"/>
    <w:rsid w:val="00637D83"/>
    <w:rsid w:val="0064099D"/>
    <w:rsid w:val="00642F9A"/>
    <w:rsid w:val="006438EB"/>
    <w:rsid w:val="006439E4"/>
    <w:rsid w:val="006511CB"/>
    <w:rsid w:val="00651DDB"/>
    <w:rsid w:val="00656B60"/>
    <w:rsid w:val="00661E48"/>
    <w:rsid w:val="00663A6D"/>
    <w:rsid w:val="00664598"/>
    <w:rsid w:val="00664D72"/>
    <w:rsid w:val="00664E30"/>
    <w:rsid w:val="0066635E"/>
    <w:rsid w:val="00666E96"/>
    <w:rsid w:val="00670EB2"/>
    <w:rsid w:val="0067153D"/>
    <w:rsid w:val="00671962"/>
    <w:rsid w:val="00673237"/>
    <w:rsid w:val="00673B34"/>
    <w:rsid w:val="006767A4"/>
    <w:rsid w:val="006768F3"/>
    <w:rsid w:val="006773B4"/>
    <w:rsid w:val="00680605"/>
    <w:rsid w:val="00680E7B"/>
    <w:rsid w:val="0068742C"/>
    <w:rsid w:val="006926F0"/>
    <w:rsid w:val="00693350"/>
    <w:rsid w:val="00693CE0"/>
    <w:rsid w:val="00693EC2"/>
    <w:rsid w:val="00694D53"/>
    <w:rsid w:val="00696B8C"/>
    <w:rsid w:val="00697D12"/>
    <w:rsid w:val="006A01C3"/>
    <w:rsid w:val="006A0E22"/>
    <w:rsid w:val="006A22AF"/>
    <w:rsid w:val="006A6F01"/>
    <w:rsid w:val="006A71E7"/>
    <w:rsid w:val="006A7348"/>
    <w:rsid w:val="006B00F6"/>
    <w:rsid w:val="006B1181"/>
    <w:rsid w:val="006B26A6"/>
    <w:rsid w:val="006B2E7F"/>
    <w:rsid w:val="006B3D97"/>
    <w:rsid w:val="006B4675"/>
    <w:rsid w:val="006B6109"/>
    <w:rsid w:val="006C0B61"/>
    <w:rsid w:val="006C274C"/>
    <w:rsid w:val="006C2D53"/>
    <w:rsid w:val="006C37A0"/>
    <w:rsid w:val="006C4CAF"/>
    <w:rsid w:val="006C5361"/>
    <w:rsid w:val="006C663A"/>
    <w:rsid w:val="006D085C"/>
    <w:rsid w:val="006D09E0"/>
    <w:rsid w:val="006D3B06"/>
    <w:rsid w:val="006D47E3"/>
    <w:rsid w:val="006D4F26"/>
    <w:rsid w:val="006D6D20"/>
    <w:rsid w:val="006D6DF0"/>
    <w:rsid w:val="006E2763"/>
    <w:rsid w:val="006E28FE"/>
    <w:rsid w:val="006E40A8"/>
    <w:rsid w:val="006E5577"/>
    <w:rsid w:val="006E57FF"/>
    <w:rsid w:val="006E621A"/>
    <w:rsid w:val="006E6C7C"/>
    <w:rsid w:val="006E7F1B"/>
    <w:rsid w:val="006F00F4"/>
    <w:rsid w:val="006F0682"/>
    <w:rsid w:val="006F0AF4"/>
    <w:rsid w:val="006F2694"/>
    <w:rsid w:val="006F3013"/>
    <w:rsid w:val="006F4A20"/>
    <w:rsid w:val="006F7FFA"/>
    <w:rsid w:val="007009A5"/>
    <w:rsid w:val="007028B7"/>
    <w:rsid w:val="00703761"/>
    <w:rsid w:val="007050F6"/>
    <w:rsid w:val="007051AE"/>
    <w:rsid w:val="00706E4C"/>
    <w:rsid w:val="00710946"/>
    <w:rsid w:val="00713553"/>
    <w:rsid w:val="00715E8B"/>
    <w:rsid w:val="00716062"/>
    <w:rsid w:val="00720B1A"/>
    <w:rsid w:val="00722475"/>
    <w:rsid w:val="00722B2A"/>
    <w:rsid w:val="00724AFC"/>
    <w:rsid w:val="00724CD0"/>
    <w:rsid w:val="007250A7"/>
    <w:rsid w:val="00725A45"/>
    <w:rsid w:val="00725BCD"/>
    <w:rsid w:val="00725F9F"/>
    <w:rsid w:val="0072734B"/>
    <w:rsid w:val="00730697"/>
    <w:rsid w:val="007306F1"/>
    <w:rsid w:val="00732494"/>
    <w:rsid w:val="007331D7"/>
    <w:rsid w:val="00733A47"/>
    <w:rsid w:val="00734CAA"/>
    <w:rsid w:val="0073657B"/>
    <w:rsid w:val="00740F66"/>
    <w:rsid w:val="00742593"/>
    <w:rsid w:val="00742E3B"/>
    <w:rsid w:val="00745F60"/>
    <w:rsid w:val="00746000"/>
    <w:rsid w:val="00746F1E"/>
    <w:rsid w:val="00750162"/>
    <w:rsid w:val="00750E12"/>
    <w:rsid w:val="00751820"/>
    <w:rsid w:val="00752593"/>
    <w:rsid w:val="00752B4E"/>
    <w:rsid w:val="007549FE"/>
    <w:rsid w:val="007554DE"/>
    <w:rsid w:val="00755562"/>
    <w:rsid w:val="00757272"/>
    <w:rsid w:val="00760267"/>
    <w:rsid w:val="00760735"/>
    <w:rsid w:val="007612EC"/>
    <w:rsid w:val="00762F36"/>
    <w:rsid w:val="00773044"/>
    <w:rsid w:val="00773130"/>
    <w:rsid w:val="00776C10"/>
    <w:rsid w:val="00777BBE"/>
    <w:rsid w:val="007807A6"/>
    <w:rsid w:val="007809A9"/>
    <w:rsid w:val="007851AF"/>
    <w:rsid w:val="00787B1F"/>
    <w:rsid w:val="00791C68"/>
    <w:rsid w:val="00791EB5"/>
    <w:rsid w:val="00792F89"/>
    <w:rsid w:val="00793C06"/>
    <w:rsid w:val="00795A09"/>
    <w:rsid w:val="00795E45"/>
    <w:rsid w:val="007A4FD0"/>
    <w:rsid w:val="007A6572"/>
    <w:rsid w:val="007A6C29"/>
    <w:rsid w:val="007C38C5"/>
    <w:rsid w:val="007C3CA4"/>
    <w:rsid w:val="007C4FFE"/>
    <w:rsid w:val="007C6DB1"/>
    <w:rsid w:val="007C7F41"/>
    <w:rsid w:val="007D6036"/>
    <w:rsid w:val="007D6219"/>
    <w:rsid w:val="007E2E62"/>
    <w:rsid w:val="007E3CBB"/>
    <w:rsid w:val="007E58AD"/>
    <w:rsid w:val="007E62E8"/>
    <w:rsid w:val="007E6DFB"/>
    <w:rsid w:val="007F238D"/>
    <w:rsid w:val="007F2CC8"/>
    <w:rsid w:val="007F2F49"/>
    <w:rsid w:val="007F741E"/>
    <w:rsid w:val="007F7D22"/>
    <w:rsid w:val="00802484"/>
    <w:rsid w:val="00807357"/>
    <w:rsid w:val="0080784D"/>
    <w:rsid w:val="00807EBC"/>
    <w:rsid w:val="008100CB"/>
    <w:rsid w:val="008121C5"/>
    <w:rsid w:val="00814CBE"/>
    <w:rsid w:val="00816E4D"/>
    <w:rsid w:val="00820328"/>
    <w:rsid w:val="0082394A"/>
    <w:rsid w:val="00824E6D"/>
    <w:rsid w:val="00825829"/>
    <w:rsid w:val="0082748E"/>
    <w:rsid w:val="00827CBD"/>
    <w:rsid w:val="00832B4C"/>
    <w:rsid w:val="008330FB"/>
    <w:rsid w:val="008333DD"/>
    <w:rsid w:val="008335BD"/>
    <w:rsid w:val="00834417"/>
    <w:rsid w:val="00835B40"/>
    <w:rsid w:val="008420C1"/>
    <w:rsid w:val="00845435"/>
    <w:rsid w:val="00846313"/>
    <w:rsid w:val="0084726A"/>
    <w:rsid w:val="00851125"/>
    <w:rsid w:val="008519C9"/>
    <w:rsid w:val="00852C4E"/>
    <w:rsid w:val="00852FA1"/>
    <w:rsid w:val="0085661C"/>
    <w:rsid w:val="008605CB"/>
    <w:rsid w:val="00861914"/>
    <w:rsid w:val="00863084"/>
    <w:rsid w:val="00864D74"/>
    <w:rsid w:val="00866337"/>
    <w:rsid w:val="0086698E"/>
    <w:rsid w:val="008715F4"/>
    <w:rsid w:val="00871649"/>
    <w:rsid w:val="00872213"/>
    <w:rsid w:val="0087499D"/>
    <w:rsid w:val="00876269"/>
    <w:rsid w:val="008851C0"/>
    <w:rsid w:val="00887221"/>
    <w:rsid w:val="00892577"/>
    <w:rsid w:val="00893991"/>
    <w:rsid w:val="00893A43"/>
    <w:rsid w:val="00893BCA"/>
    <w:rsid w:val="0089456C"/>
    <w:rsid w:val="0089762C"/>
    <w:rsid w:val="008A3C0D"/>
    <w:rsid w:val="008A5E79"/>
    <w:rsid w:val="008A60E2"/>
    <w:rsid w:val="008B106E"/>
    <w:rsid w:val="008B2510"/>
    <w:rsid w:val="008B4934"/>
    <w:rsid w:val="008B49BE"/>
    <w:rsid w:val="008B4B3C"/>
    <w:rsid w:val="008B61FD"/>
    <w:rsid w:val="008C0F1F"/>
    <w:rsid w:val="008C1061"/>
    <w:rsid w:val="008C1C31"/>
    <w:rsid w:val="008C25F7"/>
    <w:rsid w:val="008C3DD1"/>
    <w:rsid w:val="008C528D"/>
    <w:rsid w:val="008C59EE"/>
    <w:rsid w:val="008C6590"/>
    <w:rsid w:val="008C69E2"/>
    <w:rsid w:val="008D07A2"/>
    <w:rsid w:val="008D1286"/>
    <w:rsid w:val="008D14A1"/>
    <w:rsid w:val="008D1B20"/>
    <w:rsid w:val="008D3551"/>
    <w:rsid w:val="008D64EC"/>
    <w:rsid w:val="008E045D"/>
    <w:rsid w:val="008E06FC"/>
    <w:rsid w:val="008E0D9F"/>
    <w:rsid w:val="008E289D"/>
    <w:rsid w:val="008E3063"/>
    <w:rsid w:val="008E514F"/>
    <w:rsid w:val="008E6F00"/>
    <w:rsid w:val="008F0120"/>
    <w:rsid w:val="008F772F"/>
    <w:rsid w:val="00901209"/>
    <w:rsid w:val="00901710"/>
    <w:rsid w:val="00905C65"/>
    <w:rsid w:val="009065D9"/>
    <w:rsid w:val="00911479"/>
    <w:rsid w:val="009118BE"/>
    <w:rsid w:val="00913B7A"/>
    <w:rsid w:val="00914E76"/>
    <w:rsid w:val="00916238"/>
    <w:rsid w:val="00916DBF"/>
    <w:rsid w:val="00917FFD"/>
    <w:rsid w:val="009208E6"/>
    <w:rsid w:val="00923C2D"/>
    <w:rsid w:val="009257BB"/>
    <w:rsid w:val="00925CD2"/>
    <w:rsid w:val="00925F26"/>
    <w:rsid w:val="009315F0"/>
    <w:rsid w:val="00931BC1"/>
    <w:rsid w:val="00933287"/>
    <w:rsid w:val="009333BD"/>
    <w:rsid w:val="00934380"/>
    <w:rsid w:val="00934513"/>
    <w:rsid w:val="009371C0"/>
    <w:rsid w:val="00937619"/>
    <w:rsid w:val="0094009B"/>
    <w:rsid w:val="009417AE"/>
    <w:rsid w:val="009449A9"/>
    <w:rsid w:val="00945EEA"/>
    <w:rsid w:val="00946B72"/>
    <w:rsid w:val="00947294"/>
    <w:rsid w:val="00951E5B"/>
    <w:rsid w:val="00953139"/>
    <w:rsid w:val="009537E4"/>
    <w:rsid w:val="00955031"/>
    <w:rsid w:val="00955040"/>
    <w:rsid w:val="00956314"/>
    <w:rsid w:val="00956A26"/>
    <w:rsid w:val="00957ABD"/>
    <w:rsid w:val="009622F3"/>
    <w:rsid w:val="009726DF"/>
    <w:rsid w:val="00972C7C"/>
    <w:rsid w:val="0097347D"/>
    <w:rsid w:val="009734DD"/>
    <w:rsid w:val="00974787"/>
    <w:rsid w:val="0098263F"/>
    <w:rsid w:val="00984ABC"/>
    <w:rsid w:val="009855F9"/>
    <w:rsid w:val="00986C18"/>
    <w:rsid w:val="0099457A"/>
    <w:rsid w:val="0099521B"/>
    <w:rsid w:val="00995952"/>
    <w:rsid w:val="009A0D26"/>
    <w:rsid w:val="009A51F4"/>
    <w:rsid w:val="009A52A0"/>
    <w:rsid w:val="009B2777"/>
    <w:rsid w:val="009B2C92"/>
    <w:rsid w:val="009B4053"/>
    <w:rsid w:val="009B517F"/>
    <w:rsid w:val="009B588B"/>
    <w:rsid w:val="009C023A"/>
    <w:rsid w:val="009C30A4"/>
    <w:rsid w:val="009C3633"/>
    <w:rsid w:val="009C6AE7"/>
    <w:rsid w:val="009C6DE5"/>
    <w:rsid w:val="009C726E"/>
    <w:rsid w:val="009D17EE"/>
    <w:rsid w:val="009D48C2"/>
    <w:rsid w:val="009D7F43"/>
    <w:rsid w:val="009E0954"/>
    <w:rsid w:val="009E14E6"/>
    <w:rsid w:val="009E4696"/>
    <w:rsid w:val="009E48C9"/>
    <w:rsid w:val="009E7B51"/>
    <w:rsid w:val="009F04DF"/>
    <w:rsid w:val="009F14EA"/>
    <w:rsid w:val="009F1CC3"/>
    <w:rsid w:val="009F243B"/>
    <w:rsid w:val="009F2750"/>
    <w:rsid w:val="009F35B4"/>
    <w:rsid w:val="009F3CC3"/>
    <w:rsid w:val="009F40E6"/>
    <w:rsid w:val="009F4178"/>
    <w:rsid w:val="009F419B"/>
    <w:rsid w:val="009F42D6"/>
    <w:rsid w:val="009F474C"/>
    <w:rsid w:val="009F4856"/>
    <w:rsid w:val="009F5272"/>
    <w:rsid w:val="009F59D5"/>
    <w:rsid w:val="00A00DB0"/>
    <w:rsid w:val="00A0217B"/>
    <w:rsid w:val="00A060BD"/>
    <w:rsid w:val="00A06C27"/>
    <w:rsid w:val="00A06C8F"/>
    <w:rsid w:val="00A0725D"/>
    <w:rsid w:val="00A103D8"/>
    <w:rsid w:val="00A1069B"/>
    <w:rsid w:val="00A113CF"/>
    <w:rsid w:val="00A11DA9"/>
    <w:rsid w:val="00A14D28"/>
    <w:rsid w:val="00A1515A"/>
    <w:rsid w:val="00A203F5"/>
    <w:rsid w:val="00A20DC7"/>
    <w:rsid w:val="00A24CED"/>
    <w:rsid w:val="00A2623C"/>
    <w:rsid w:val="00A26FCC"/>
    <w:rsid w:val="00A2750B"/>
    <w:rsid w:val="00A27D57"/>
    <w:rsid w:val="00A303A0"/>
    <w:rsid w:val="00A31AF3"/>
    <w:rsid w:val="00A33914"/>
    <w:rsid w:val="00A36F9E"/>
    <w:rsid w:val="00A37D4E"/>
    <w:rsid w:val="00A402BD"/>
    <w:rsid w:val="00A43737"/>
    <w:rsid w:val="00A45684"/>
    <w:rsid w:val="00A46C80"/>
    <w:rsid w:val="00A47A4C"/>
    <w:rsid w:val="00A50753"/>
    <w:rsid w:val="00A52499"/>
    <w:rsid w:val="00A550A9"/>
    <w:rsid w:val="00A60F6D"/>
    <w:rsid w:val="00A61832"/>
    <w:rsid w:val="00A6419C"/>
    <w:rsid w:val="00A65290"/>
    <w:rsid w:val="00A65544"/>
    <w:rsid w:val="00A66A8B"/>
    <w:rsid w:val="00A674BE"/>
    <w:rsid w:val="00A67D9F"/>
    <w:rsid w:val="00A72E00"/>
    <w:rsid w:val="00A73EF1"/>
    <w:rsid w:val="00A744E0"/>
    <w:rsid w:val="00A77540"/>
    <w:rsid w:val="00A85402"/>
    <w:rsid w:val="00A91E2E"/>
    <w:rsid w:val="00A91F33"/>
    <w:rsid w:val="00A92686"/>
    <w:rsid w:val="00A9287D"/>
    <w:rsid w:val="00A92E80"/>
    <w:rsid w:val="00A9313C"/>
    <w:rsid w:val="00A94C3C"/>
    <w:rsid w:val="00A978E9"/>
    <w:rsid w:val="00AA18FA"/>
    <w:rsid w:val="00AA59B8"/>
    <w:rsid w:val="00AB0978"/>
    <w:rsid w:val="00AB27CF"/>
    <w:rsid w:val="00AB2F80"/>
    <w:rsid w:val="00AB438F"/>
    <w:rsid w:val="00AC26FC"/>
    <w:rsid w:val="00AC454E"/>
    <w:rsid w:val="00AC47AE"/>
    <w:rsid w:val="00AC527A"/>
    <w:rsid w:val="00AD0841"/>
    <w:rsid w:val="00AD27D2"/>
    <w:rsid w:val="00AD546D"/>
    <w:rsid w:val="00AD572D"/>
    <w:rsid w:val="00AE0D11"/>
    <w:rsid w:val="00AE178C"/>
    <w:rsid w:val="00AE1FF2"/>
    <w:rsid w:val="00AE4197"/>
    <w:rsid w:val="00AE59FA"/>
    <w:rsid w:val="00AE5D94"/>
    <w:rsid w:val="00AF2DAB"/>
    <w:rsid w:val="00AF33EE"/>
    <w:rsid w:val="00AF43F2"/>
    <w:rsid w:val="00AF45BE"/>
    <w:rsid w:val="00AF6217"/>
    <w:rsid w:val="00AF7BCD"/>
    <w:rsid w:val="00B00DDC"/>
    <w:rsid w:val="00B00E32"/>
    <w:rsid w:val="00B022E8"/>
    <w:rsid w:val="00B0393E"/>
    <w:rsid w:val="00B03A95"/>
    <w:rsid w:val="00B04607"/>
    <w:rsid w:val="00B05942"/>
    <w:rsid w:val="00B05D6C"/>
    <w:rsid w:val="00B0663E"/>
    <w:rsid w:val="00B06DF0"/>
    <w:rsid w:val="00B10968"/>
    <w:rsid w:val="00B10EE8"/>
    <w:rsid w:val="00B10EEF"/>
    <w:rsid w:val="00B12A4A"/>
    <w:rsid w:val="00B14E80"/>
    <w:rsid w:val="00B15307"/>
    <w:rsid w:val="00B1765E"/>
    <w:rsid w:val="00B1782E"/>
    <w:rsid w:val="00B26378"/>
    <w:rsid w:val="00B26E51"/>
    <w:rsid w:val="00B27F38"/>
    <w:rsid w:val="00B31BD6"/>
    <w:rsid w:val="00B34DDC"/>
    <w:rsid w:val="00B409E5"/>
    <w:rsid w:val="00B43EAD"/>
    <w:rsid w:val="00B440AF"/>
    <w:rsid w:val="00B45CC4"/>
    <w:rsid w:val="00B46085"/>
    <w:rsid w:val="00B5182E"/>
    <w:rsid w:val="00B52B14"/>
    <w:rsid w:val="00B530EB"/>
    <w:rsid w:val="00B53DC8"/>
    <w:rsid w:val="00B551F4"/>
    <w:rsid w:val="00B5587A"/>
    <w:rsid w:val="00B55B8D"/>
    <w:rsid w:val="00B57586"/>
    <w:rsid w:val="00B60412"/>
    <w:rsid w:val="00B60A72"/>
    <w:rsid w:val="00B61446"/>
    <w:rsid w:val="00B61713"/>
    <w:rsid w:val="00B61D57"/>
    <w:rsid w:val="00B62078"/>
    <w:rsid w:val="00B62CA9"/>
    <w:rsid w:val="00B63217"/>
    <w:rsid w:val="00B701A0"/>
    <w:rsid w:val="00B73748"/>
    <w:rsid w:val="00B741F4"/>
    <w:rsid w:val="00B74DF3"/>
    <w:rsid w:val="00B75288"/>
    <w:rsid w:val="00B7561E"/>
    <w:rsid w:val="00B75CC4"/>
    <w:rsid w:val="00B76830"/>
    <w:rsid w:val="00B86669"/>
    <w:rsid w:val="00B87331"/>
    <w:rsid w:val="00B92A4F"/>
    <w:rsid w:val="00B95DAC"/>
    <w:rsid w:val="00B965EA"/>
    <w:rsid w:val="00BA1E91"/>
    <w:rsid w:val="00BA2449"/>
    <w:rsid w:val="00BA37B1"/>
    <w:rsid w:val="00BA66BF"/>
    <w:rsid w:val="00BA7EFF"/>
    <w:rsid w:val="00BB0694"/>
    <w:rsid w:val="00BB0BC6"/>
    <w:rsid w:val="00BB1BF5"/>
    <w:rsid w:val="00BB2536"/>
    <w:rsid w:val="00BB4130"/>
    <w:rsid w:val="00BB516C"/>
    <w:rsid w:val="00BC0D42"/>
    <w:rsid w:val="00BC214E"/>
    <w:rsid w:val="00BC2C48"/>
    <w:rsid w:val="00BC48C4"/>
    <w:rsid w:val="00BC6B3E"/>
    <w:rsid w:val="00BD0727"/>
    <w:rsid w:val="00BD239B"/>
    <w:rsid w:val="00BD2A16"/>
    <w:rsid w:val="00BD3003"/>
    <w:rsid w:val="00BD3EFF"/>
    <w:rsid w:val="00BD3F8E"/>
    <w:rsid w:val="00BD5529"/>
    <w:rsid w:val="00BD5A0C"/>
    <w:rsid w:val="00BD5D47"/>
    <w:rsid w:val="00BD6B6D"/>
    <w:rsid w:val="00BE19FD"/>
    <w:rsid w:val="00BE43D8"/>
    <w:rsid w:val="00BE48B9"/>
    <w:rsid w:val="00BE4A3F"/>
    <w:rsid w:val="00BE681D"/>
    <w:rsid w:val="00BF0F95"/>
    <w:rsid w:val="00BF0FDB"/>
    <w:rsid w:val="00BF2F25"/>
    <w:rsid w:val="00BF31DE"/>
    <w:rsid w:val="00BF32B0"/>
    <w:rsid w:val="00BF49EA"/>
    <w:rsid w:val="00C00537"/>
    <w:rsid w:val="00C07D18"/>
    <w:rsid w:val="00C10267"/>
    <w:rsid w:val="00C10F1F"/>
    <w:rsid w:val="00C10FA9"/>
    <w:rsid w:val="00C11AF4"/>
    <w:rsid w:val="00C126C1"/>
    <w:rsid w:val="00C13927"/>
    <w:rsid w:val="00C15496"/>
    <w:rsid w:val="00C16B51"/>
    <w:rsid w:val="00C17FFB"/>
    <w:rsid w:val="00C205C8"/>
    <w:rsid w:val="00C22326"/>
    <w:rsid w:val="00C23771"/>
    <w:rsid w:val="00C24C82"/>
    <w:rsid w:val="00C256EB"/>
    <w:rsid w:val="00C2683F"/>
    <w:rsid w:val="00C3070B"/>
    <w:rsid w:val="00C32ED3"/>
    <w:rsid w:val="00C36410"/>
    <w:rsid w:val="00C41B08"/>
    <w:rsid w:val="00C45C9E"/>
    <w:rsid w:val="00C469F1"/>
    <w:rsid w:val="00C5043B"/>
    <w:rsid w:val="00C51A81"/>
    <w:rsid w:val="00C5389E"/>
    <w:rsid w:val="00C546F9"/>
    <w:rsid w:val="00C54E20"/>
    <w:rsid w:val="00C55E76"/>
    <w:rsid w:val="00C57208"/>
    <w:rsid w:val="00C60091"/>
    <w:rsid w:val="00C60450"/>
    <w:rsid w:val="00C60656"/>
    <w:rsid w:val="00C6318B"/>
    <w:rsid w:val="00C634B4"/>
    <w:rsid w:val="00C6444F"/>
    <w:rsid w:val="00C65048"/>
    <w:rsid w:val="00C657B3"/>
    <w:rsid w:val="00C66E50"/>
    <w:rsid w:val="00C7537A"/>
    <w:rsid w:val="00C7727C"/>
    <w:rsid w:val="00C77D87"/>
    <w:rsid w:val="00C77E7E"/>
    <w:rsid w:val="00C805C2"/>
    <w:rsid w:val="00C8069B"/>
    <w:rsid w:val="00C86322"/>
    <w:rsid w:val="00C923AB"/>
    <w:rsid w:val="00C92771"/>
    <w:rsid w:val="00C92D2E"/>
    <w:rsid w:val="00C93222"/>
    <w:rsid w:val="00C93C11"/>
    <w:rsid w:val="00C9437C"/>
    <w:rsid w:val="00C970F3"/>
    <w:rsid w:val="00C97B92"/>
    <w:rsid w:val="00CA085D"/>
    <w:rsid w:val="00CA08A7"/>
    <w:rsid w:val="00CA1585"/>
    <w:rsid w:val="00CA19D8"/>
    <w:rsid w:val="00CA2B66"/>
    <w:rsid w:val="00CA4F4B"/>
    <w:rsid w:val="00CA6D99"/>
    <w:rsid w:val="00CA7C79"/>
    <w:rsid w:val="00CA7EE9"/>
    <w:rsid w:val="00CB33F0"/>
    <w:rsid w:val="00CB4B37"/>
    <w:rsid w:val="00CB542D"/>
    <w:rsid w:val="00CB5A60"/>
    <w:rsid w:val="00CB709A"/>
    <w:rsid w:val="00CC05B6"/>
    <w:rsid w:val="00CC22D0"/>
    <w:rsid w:val="00CC3819"/>
    <w:rsid w:val="00CC3BF8"/>
    <w:rsid w:val="00CC3FBE"/>
    <w:rsid w:val="00CC47CA"/>
    <w:rsid w:val="00CC66E1"/>
    <w:rsid w:val="00CC76F3"/>
    <w:rsid w:val="00CD27BD"/>
    <w:rsid w:val="00CD7869"/>
    <w:rsid w:val="00CE0DFD"/>
    <w:rsid w:val="00CE30DF"/>
    <w:rsid w:val="00CE346C"/>
    <w:rsid w:val="00CE35EC"/>
    <w:rsid w:val="00CE61A7"/>
    <w:rsid w:val="00CE7670"/>
    <w:rsid w:val="00CF14F9"/>
    <w:rsid w:val="00CF1DF2"/>
    <w:rsid w:val="00CF236D"/>
    <w:rsid w:val="00CF4D72"/>
    <w:rsid w:val="00D021E2"/>
    <w:rsid w:val="00D022B2"/>
    <w:rsid w:val="00D03052"/>
    <w:rsid w:val="00D05C78"/>
    <w:rsid w:val="00D0750E"/>
    <w:rsid w:val="00D13CCD"/>
    <w:rsid w:val="00D159E9"/>
    <w:rsid w:val="00D26B02"/>
    <w:rsid w:val="00D27416"/>
    <w:rsid w:val="00D3053F"/>
    <w:rsid w:val="00D30B30"/>
    <w:rsid w:val="00D32894"/>
    <w:rsid w:val="00D374A1"/>
    <w:rsid w:val="00D37B8C"/>
    <w:rsid w:val="00D4154E"/>
    <w:rsid w:val="00D424B0"/>
    <w:rsid w:val="00D45841"/>
    <w:rsid w:val="00D4641A"/>
    <w:rsid w:val="00D46449"/>
    <w:rsid w:val="00D4696B"/>
    <w:rsid w:val="00D50A8F"/>
    <w:rsid w:val="00D51CEF"/>
    <w:rsid w:val="00D51E24"/>
    <w:rsid w:val="00D526D1"/>
    <w:rsid w:val="00D52E7C"/>
    <w:rsid w:val="00D52F5B"/>
    <w:rsid w:val="00D5524B"/>
    <w:rsid w:val="00D57688"/>
    <w:rsid w:val="00D6090A"/>
    <w:rsid w:val="00D6129E"/>
    <w:rsid w:val="00D61943"/>
    <w:rsid w:val="00D625B8"/>
    <w:rsid w:val="00D732D6"/>
    <w:rsid w:val="00D73550"/>
    <w:rsid w:val="00D735CC"/>
    <w:rsid w:val="00D7612B"/>
    <w:rsid w:val="00D7762B"/>
    <w:rsid w:val="00D77862"/>
    <w:rsid w:val="00D82A13"/>
    <w:rsid w:val="00D8356C"/>
    <w:rsid w:val="00D8465E"/>
    <w:rsid w:val="00D84791"/>
    <w:rsid w:val="00D86230"/>
    <w:rsid w:val="00D8658B"/>
    <w:rsid w:val="00D9084A"/>
    <w:rsid w:val="00D93B96"/>
    <w:rsid w:val="00D94012"/>
    <w:rsid w:val="00D952A3"/>
    <w:rsid w:val="00D953EA"/>
    <w:rsid w:val="00D96504"/>
    <w:rsid w:val="00DA107B"/>
    <w:rsid w:val="00DA2D01"/>
    <w:rsid w:val="00DA4A62"/>
    <w:rsid w:val="00DA6237"/>
    <w:rsid w:val="00DA6510"/>
    <w:rsid w:val="00DB0412"/>
    <w:rsid w:val="00DB098B"/>
    <w:rsid w:val="00DB2213"/>
    <w:rsid w:val="00DB472F"/>
    <w:rsid w:val="00DB53A8"/>
    <w:rsid w:val="00DB5921"/>
    <w:rsid w:val="00DB599D"/>
    <w:rsid w:val="00DB7637"/>
    <w:rsid w:val="00DB77DA"/>
    <w:rsid w:val="00DC03C9"/>
    <w:rsid w:val="00DC093D"/>
    <w:rsid w:val="00DC0DD7"/>
    <w:rsid w:val="00DC231A"/>
    <w:rsid w:val="00DC3AEF"/>
    <w:rsid w:val="00DC5337"/>
    <w:rsid w:val="00DC6BC0"/>
    <w:rsid w:val="00DD1189"/>
    <w:rsid w:val="00DD252E"/>
    <w:rsid w:val="00DD4180"/>
    <w:rsid w:val="00DD5942"/>
    <w:rsid w:val="00DD6DB6"/>
    <w:rsid w:val="00DE0674"/>
    <w:rsid w:val="00DE15E2"/>
    <w:rsid w:val="00DE45D2"/>
    <w:rsid w:val="00DE4E00"/>
    <w:rsid w:val="00DE56A2"/>
    <w:rsid w:val="00DE6139"/>
    <w:rsid w:val="00DE6801"/>
    <w:rsid w:val="00DE71F1"/>
    <w:rsid w:val="00DE75FB"/>
    <w:rsid w:val="00DF052F"/>
    <w:rsid w:val="00DF1E61"/>
    <w:rsid w:val="00DF6DD5"/>
    <w:rsid w:val="00DF6F25"/>
    <w:rsid w:val="00E00DB7"/>
    <w:rsid w:val="00E01A2F"/>
    <w:rsid w:val="00E03477"/>
    <w:rsid w:val="00E047DD"/>
    <w:rsid w:val="00E06C47"/>
    <w:rsid w:val="00E10723"/>
    <w:rsid w:val="00E10A1F"/>
    <w:rsid w:val="00E17792"/>
    <w:rsid w:val="00E22E02"/>
    <w:rsid w:val="00E2301C"/>
    <w:rsid w:val="00E312B2"/>
    <w:rsid w:val="00E334B8"/>
    <w:rsid w:val="00E339CD"/>
    <w:rsid w:val="00E34860"/>
    <w:rsid w:val="00E36D52"/>
    <w:rsid w:val="00E41845"/>
    <w:rsid w:val="00E42A40"/>
    <w:rsid w:val="00E434D0"/>
    <w:rsid w:val="00E44C42"/>
    <w:rsid w:val="00E467E8"/>
    <w:rsid w:val="00E46B09"/>
    <w:rsid w:val="00E4793C"/>
    <w:rsid w:val="00E47B97"/>
    <w:rsid w:val="00E5385F"/>
    <w:rsid w:val="00E54FB0"/>
    <w:rsid w:val="00E57A31"/>
    <w:rsid w:val="00E61632"/>
    <w:rsid w:val="00E6278F"/>
    <w:rsid w:val="00E638CF"/>
    <w:rsid w:val="00E646D4"/>
    <w:rsid w:val="00E66E39"/>
    <w:rsid w:val="00E718F7"/>
    <w:rsid w:val="00E7226D"/>
    <w:rsid w:val="00E7300A"/>
    <w:rsid w:val="00E75576"/>
    <w:rsid w:val="00E80E06"/>
    <w:rsid w:val="00E81B56"/>
    <w:rsid w:val="00E83840"/>
    <w:rsid w:val="00E84124"/>
    <w:rsid w:val="00E84554"/>
    <w:rsid w:val="00E84E61"/>
    <w:rsid w:val="00E8757E"/>
    <w:rsid w:val="00E90433"/>
    <w:rsid w:val="00E91757"/>
    <w:rsid w:val="00E955A1"/>
    <w:rsid w:val="00E95667"/>
    <w:rsid w:val="00E95E46"/>
    <w:rsid w:val="00E95F7A"/>
    <w:rsid w:val="00E97520"/>
    <w:rsid w:val="00E97751"/>
    <w:rsid w:val="00EA0F06"/>
    <w:rsid w:val="00EA3382"/>
    <w:rsid w:val="00EA3AE2"/>
    <w:rsid w:val="00EA6A45"/>
    <w:rsid w:val="00EB0C19"/>
    <w:rsid w:val="00EB135C"/>
    <w:rsid w:val="00EB2159"/>
    <w:rsid w:val="00EB48B9"/>
    <w:rsid w:val="00EC1C1B"/>
    <w:rsid w:val="00EC261F"/>
    <w:rsid w:val="00EC4510"/>
    <w:rsid w:val="00EC453A"/>
    <w:rsid w:val="00EC485C"/>
    <w:rsid w:val="00EC50B2"/>
    <w:rsid w:val="00EC5DA5"/>
    <w:rsid w:val="00EC6DF1"/>
    <w:rsid w:val="00EC72DF"/>
    <w:rsid w:val="00ED25B7"/>
    <w:rsid w:val="00ED3439"/>
    <w:rsid w:val="00ED36A4"/>
    <w:rsid w:val="00ED36F7"/>
    <w:rsid w:val="00ED3B33"/>
    <w:rsid w:val="00ED4068"/>
    <w:rsid w:val="00ED543E"/>
    <w:rsid w:val="00ED5A85"/>
    <w:rsid w:val="00ED5B3C"/>
    <w:rsid w:val="00ED5D32"/>
    <w:rsid w:val="00ED77C1"/>
    <w:rsid w:val="00EE009B"/>
    <w:rsid w:val="00EE07A7"/>
    <w:rsid w:val="00EE4AB5"/>
    <w:rsid w:val="00EE4E9C"/>
    <w:rsid w:val="00EE6C42"/>
    <w:rsid w:val="00EF1215"/>
    <w:rsid w:val="00EF29BF"/>
    <w:rsid w:val="00EF2C37"/>
    <w:rsid w:val="00F018CF"/>
    <w:rsid w:val="00F02858"/>
    <w:rsid w:val="00F02C3F"/>
    <w:rsid w:val="00F045AF"/>
    <w:rsid w:val="00F04B62"/>
    <w:rsid w:val="00F0500E"/>
    <w:rsid w:val="00F05AEC"/>
    <w:rsid w:val="00F069AA"/>
    <w:rsid w:val="00F112AB"/>
    <w:rsid w:val="00F13B22"/>
    <w:rsid w:val="00F14106"/>
    <w:rsid w:val="00F1486D"/>
    <w:rsid w:val="00F14EE6"/>
    <w:rsid w:val="00F1730E"/>
    <w:rsid w:val="00F17763"/>
    <w:rsid w:val="00F21F0C"/>
    <w:rsid w:val="00F239D9"/>
    <w:rsid w:val="00F2420C"/>
    <w:rsid w:val="00F25E29"/>
    <w:rsid w:val="00F268E0"/>
    <w:rsid w:val="00F31383"/>
    <w:rsid w:val="00F33500"/>
    <w:rsid w:val="00F352FA"/>
    <w:rsid w:val="00F35742"/>
    <w:rsid w:val="00F41584"/>
    <w:rsid w:val="00F41AF8"/>
    <w:rsid w:val="00F46E13"/>
    <w:rsid w:val="00F473DF"/>
    <w:rsid w:val="00F51431"/>
    <w:rsid w:val="00F51C59"/>
    <w:rsid w:val="00F526AF"/>
    <w:rsid w:val="00F53281"/>
    <w:rsid w:val="00F53E01"/>
    <w:rsid w:val="00F54869"/>
    <w:rsid w:val="00F57221"/>
    <w:rsid w:val="00F61EAF"/>
    <w:rsid w:val="00F6415B"/>
    <w:rsid w:val="00F64955"/>
    <w:rsid w:val="00F66453"/>
    <w:rsid w:val="00F730A3"/>
    <w:rsid w:val="00F76C84"/>
    <w:rsid w:val="00F80A8D"/>
    <w:rsid w:val="00F80E07"/>
    <w:rsid w:val="00F81344"/>
    <w:rsid w:val="00F84150"/>
    <w:rsid w:val="00F84BD3"/>
    <w:rsid w:val="00F84E06"/>
    <w:rsid w:val="00F87C3E"/>
    <w:rsid w:val="00F90C53"/>
    <w:rsid w:val="00F91C0A"/>
    <w:rsid w:val="00F93D42"/>
    <w:rsid w:val="00F96221"/>
    <w:rsid w:val="00F97516"/>
    <w:rsid w:val="00FA162D"/>
    <w:rsid w:val="00FA3F3B"/>
    <w:rsid w:val="00FB6631"/>
    <w:rsid w:val="00FC1A3B"/>
    <w:rsid w:val="00FC2DD3"/>
    <w:rsid w:val="00FC5775"/>
    <w:rsid w:val="00FC6992"/>
    <w:rsid w:val="00FC7C7E"/>
    <w:rsid w:val="00FD1CFD"/>
    <w:rsid w:val="00FD5932"/>
    <w:rsid w:val="00FD5ABA"/>
    <w:rsid w:val="00FD68FC"/>
    <w:rsid w:val="00FD73B9"/>
    <w:rsid w:val="00FE1098"/>
    <w:rsid w:val="00FE3BEF"/>
    <w:rsid w:val="00FE655D"/>
    <w:rsid w:val="00FE6DC1"/>
    <w:rsid w:val="00FE74C2"/>
    <w:rsid w:val="00FE7A14"/>
    <w:rsid w:val="00FF17E0"/>
    <w:rsid w:val="00FF455A"/>
    <w:rsid w:val="00FF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2" w:uiPriority="0"/>
    <w:lsdException w:name="List Bullet 4"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uiPriority w:val="99"/>
    <w:rsid w:val="00CB4B37"/>
    <w:pPr>
      <w:tabs>
        <w:tab w:val="center" w:pos="4320"/>
        <w:tab w:val="right" w:pos="8640"/>
      </w:tabs>
    </w:pPr>
  </w:style>
  <w:style w:type="paragraph" w:styleId="Footer">
    <w:name w:val="footer"/>
    <w:basedOn w:val="Normal"/>
    <w:link w:val="FooterChar"/>
    <w:uiPriority w:val="99"/>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5"/>
      </w:numPr>
      <w:spacing w:before="240" w:after="240"/>
      <w:outlineLvl w:val="1"/>
    </w:pPr>
    <w:rPr>
      <w:b/>
      <w:sz w:val="24"/>
      <w:u w:val="single"/>
    </w:rPr>
  </w:style>
  <w:style w:type="paragraph" w:customStyle="1" w:styleId="BHLevel1">
    <w:name w:val="BHLevel1"/>
    <w:basedOn w:val="Normal"/>
    <w:next w:val="Normal"/>
    <w:rsid w:val="00CB4B37"/>
    <w:pPr>
      <w:numPr>
        <w:numId w:val="10"/>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uiPriority w:val="99"/>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 w:type="character" w:customStyle="1" w:styleId="FooterChar">
    <w:name w:val="Footer Char"/>
    <w:basedOn w:val="DefaultParagraphFont"/>
    <w:link w:val="Footer"/>
    <w:uiPriority w:val="99"/>
    <w:rsid w:val="00F2420C"/>
  </w:style>
  <w:style w:type="paragraph" w:styleId="EndnoteText">
    <w:name w:val="endnote text"/>
    <w:basedOn w:val="Normal"/>
    <w:link w:val="EndnoteTextChar"/>
    <w:uiPriority w:val="99"/>
    <w:semiHidden/>
    <w:unhideWhenUsed/>
    <w:rsid w:val="0020300B"/>
  </w:style>
  <w:style w:type="character" w:customStyle="1" w:styleId="EndnoteTextChar">
    <w:name w:val="Endnote Text Char"/>
    <w:basedOn w:val="DefaultParagraphFont"/>
    <w:link w:val="EndnoteText"/>
    <w:uiPriority w:val="99"/>
    <w:semiHidden/>
    <w:rsid w:val="0020300B"/>
  </w:style>
  <w:style w:type="character" w:styleId="EndnoteReference">
    <w:name w:val="endnote reference"/>
    <w:basedOn w:val="DefaultParagraphFont"/>
    <w:uiPriority w:val="99"/>
    <w:semiHidden/>
    <w:unhideWhenUsed/>
    <w:rsid w:val="002030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2" w:uiPriority="0"/>
    <w:lsdException w:name="List Bullet 4"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uiPriority w:val="99"/>
    <w:rsid w:val="00CB4B37"/>
    <w:pPr>
      <w:tabs>
        <w:tab w:val="center" w:pos="4320"/>
        <w:tab w:val="right" w:pos="8640"/>
      </w:tabs>
    </w:pPr>
  </w:style>
  <w:style w:type="paragraph" w:styleId="Footer">
    <w:name w:val="footer"/>
    <w:basedOn w:val="Normal"/>
    <w:link w:val="FooterChar"/>
    <w:uiPriority w:val="99"/>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14"/>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uiPriority w:val="99"/>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 w:type="character" w:customStyle="1" w:styleId="FooterChar">
    <w:name w:val="Footer Char"/>
    <w:basedOn w:val="DefaultParagraphFont"/>
    <w:link w:val="Footer"/>
    <w:uiPriority w:val="99"/>
    <w:rsid w:val="00F2420C"/>
  </w:style>
  <w:style w:type="paragraph" w:styleId="EndnoteText">
    <w:name w:val="endnote text"/>
    <w:basedOn w:val="Normal"/>
    <w:link w:val="EndnoteTextChar"/>
    <w:uiPriority w:val="99"/>
    <w:semiHidden/>
    <w:unhideWhenUsed/>
    <w:rsid w:val="0020300B"/>
  </w:style>
  <w:style w:type="character" w:customStyle="1" w:styleId="EndnoteTextChar">
    <w:name w:val="Endnote Text Char"/>
    <w:basedOn w:val="DefaultParagraphFont"/>
    <w:link w:val="EndnoteText"/>
    <w:uiPriority w:val="99"/>
    <w:semiHidden/>
    <w:rsid w:val="0020300B"/>
  </w:style>
  <w:style w:type="character" w:styleId="EndnoteReference">
    <w:name w:val="endnote reference"/>
    <w:basedOn w:val="DefaultParagraphFont"/>
    <w:uiPriority w:val="99"/>
    <w:semiHidden/>
    <w:unhideWhenUsed/>
    <w:rsid w:val="0020300B"/>
    <w:rPr>
      <w:vertAlign w:val="superscript"/>
    </w:rPr>
  </w:style>
</w:styles>
</file>

<file path=word/webSettings.xml><?xml version="1.0" encoding="utf-8"?>
<w:webSettings xmlns:r="http://schemas.openxmlformats.org/officeDocument/2006/relationships" xmlns:w="http://schemas.openxmlformats.org/wordprocessingml/2006/main">
  <w:divs>
    <w:div w:id="99450667">
      <w:bodyDiv w:val="1"/>
      <w:marLeft w:val="0"/>
      <w:marRight w:val="0"/>
      <w:marTop w:val="0"/>
      <w:marBottom w:val="0"/>
      <w:divBdr>
        <w:top w:val="none" w:sz="0" w:space="0" w:color="auto"/>
        <w:left w:val="none" w:sz="0" w:space="0" w:color="auto"/>
        <w:bottom w:val="none" w:sz="0" w:space="0" w:color="auto"/>
        <w:right w:val="none" w:sz="0" w:space="0" w:color="auto"/>
      </w:divBdr>
    </w:div>
    <w:div w:id="111487573">
      <w:bodyDiv w:val="1"/>
      <w:marLeft w:val="0"/>
      <w:marRight w:val="0"/>
      <w:marTop w:val="0"/>
      <w:marBottom w:val="0"/>
      <w:divBdr>
        <w:top w:val="none" w:sz="0" w:space="0" w:color="auto"/>
        <w:left w:val="none" w:sz="0" w:space="0" w:color="auto"/>
        <w:bottom w:val="none" w:sz="0" w:space="0" w:color="auto"/>
        <w:right w:val="none" w:sz="0" w:space="0" w:color="auto"/>
      </w:divBdr>
    </w:div>
    <w:div w:id="140074272">
      <w:bodyDiv w:val="1"/>
      <w:marLeft w:val="0"/>
      <w:marRight w:val="0"/>
      <w:marTop w:val="0"/>
      <w:marBottom w:val="0"/>
      <w:divBdr>
        <w:top w:val="none" w:sz="0" w:space="0" w:color="auto"/>
        <w:left w:val="none" w:sz="0" w:space="0" w:color="auto"/>
        <w:bottom w:val="none" w:sz="0" w:space="0" w:color="auto"/>
        <w:right w:val="none" w:sz="0" w:space="0" w:color="auto"/>
      </w:divBdr>
    </w:div>
    <w:div w:id="307591066">
      <w:bodyDiv w:val="1"/>
      <w:marLeft w:val="0"/>
      <w:marRight w:val="0"/>
      <w:marTop w:val="0"/>
      <w:marBottom w:val="0"/>
      <w:divBdr>
        <w:top w:val="none" w:sz="0" w:space="0" w:color="auto"/>
        <w:left w:val="none" w:sz="0" w:space="0" w:color="auto"/>
        <w:bottom w:val="none" w:sz="0" w:space="0" w:color="auto"/>
        <w:right w:val="none" w:sz="0" w:space="0" w:color="auto"/>
      </w:divBdr>
      <w:divsChild>
        <w:div w:id="72090801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sChild>
                <w:div w:id="118257229">
                  <w:marLeft w:val="0"/>
                  <w:marRight w:val="0"/>
                  <w:marTop w:val="0"/>
                  <w:marBottom w:val="0"/>
                  <w:divBdr>
                    <w:top w:val="none" w:sz="0" w:space="0" w:color="auto"/>
                    <w:left w:val="none" w:sz="0" w:space="0" w:color="auto"/>
                    <w:bottom w:val="none" w:sz="0" w:space="0" w:color="auto"/>
                    <w:right w:val="none" w:sz="0" w:space="0" w:color="auto"/>
                  </w:divBdr>
                  <w:divsChild>
                    <w:div w:id="426658671">
                      <w:marLeft w:val="0"/>
                      <w:marRight w:val="0"/>
                      <w:marTop w:val="0"/>
                      <w:marBottom w:val="0"/>
                      <w:divBdr>
                        <w:top w:val="none" w:sz="0" w:space="0" w:color="auto"/>
                        <w:left w:val="none" w:sz="0" w:space="0" w:color="auto"/>
                        <w:bottom w:val="none" w:sz="0" w:space="0" w:color="auto"/>
                        <w:right w:val="none" w:sz="0" w:space="0" w:color="auto"/>
                      </w:divBdr>
                      <w:divsChild>
                        <w:div w:id="15625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50967">
      <w:bodyDiv w:val="1"/>
      <w:marLeft w:val="0"/>
      <w:marRight w:val="0"/>
      <w:marTop w:val="0"/>
      <w:marBottom w:val="0"/>
      <w:divBdr>
        <w:top w:val="none" w:sz="0" w:space="0" w:color="auto"/>
        <w:left w:val="none" w:sz="0" w:space="0" w:color="auto"/>
        <w:bottom w:val="none" w:sz="0" w:space="0" w:color="auto"/>
        <w:right w:val="none" w:sz="0" w:space="0" w:color="auto"/>
      </w:divBdr>
    </w:div>
    <w:div w:id="532691590">
      <w:bodyDiv w:val="1"/>
      <w:marLeft w:val="0"/>
      <w:marRight w:val="0"/>
      <w:marTop w:val="0"/>
      <w:marBottom w:val="0"/>
      <w:divBdr>
        <w:top w:val="none" w:sz="0" w:space="0" w:color="auto"/>
        <w:left w:val="none" w:sz="0" w:space="0" w:color="auto"/>
        <w:bottom w:val="none" w:sz="0" w:space="0" w:color="auto"/>
        <w:right w:val="none" w:sz="0" w:space="0" w:color="auto"/>
      </w:divBdr>
    </w:div>
    <w:div w:id="607351013">
      <w:bodyDiv w:val="1"/>
      <w:marLeft w:val="0"/>
      <w:marRight w:val="0"/>
      <w:marTop w:val="0"/>
      <w:marBottom w:val="0"/>
      <w:divBdr>
        <w:top w:val="none" w:sz="0" w:space="0" w:color="auto"/>
        <w:left w:val="none" w:sz="0" w:space="0" w:color="auto"/>
        <w:bottom w:val="none" w:sz="0" w:space="0" w:color="auto"/>
        <w:right w:val="none" w:sz="0" w:space="0" w:color="auto"/>
      </w:divBdr>
    </w:div>
    <w:div w:id="609245302">
      <w:bodyDiv w:val="1"/>
      <w:marLeft w:val="0"/>
      <w:marRight w:val="0"/>
      <w:marTop w:val="0"/>
      <w:marBottom w:val="0"/>
      <w:divBdr>
        <w:top w:val="none" w:sz="0" w:space="0" w:color="auto"/>
        <w:left w:val="none" w:sz="0" w:space="0" w:color="auto"/>
        <w:bottom w:val="none" w:sz="0" w:space="0" w:color="auto"/>
        <w:right w:val="none" w:sz="0" w:space="0" w:color="auto"/>
      </w:divBdr>
    </w:div>
    <w:div w:id="711148507">
      <w:bodyDiv w:val="1"/>
      <w:marLeft w:val="0"/>
      <w:marRight w:val="0"/>
      <w:marTop w:val="0"/>
      <w:marBottom w:val="0"/>
      <w:divBdr>
        <w:top w:val="none" w:sz="0" w:space="0" w:color="auto"/>
        <w:left w:val="none" w:sz="0" w:space="0" w:color="auto"/>
        <w:bottom w:val="none" w:sz="0" w:space="0" w:color="auto"/>
        <w:right w:val="none" w:sz="0" w:space="0" w:color="auto"/>
      </w:divBdr>
    </w:div>
    <w:div w:id="895630076">
      <w:bodyDiv w:val="1"/>
      <w:marLeft w:val="0"/>
      <w:marRight w:val="0"/>
      <w:marTop w:val="0"/>
      <w:marBottom w:val="0"/>
      <w:divBdr>
        <w:top w:val="none" w:sz="0" w:space="0" w:color="auto"/>
        <w:left w:val="none" w:sz="0" w:space="0" w:color="auto"/>
        <w:bottom w:val="none" w:sz="0" w:space="0" w:color="auto"/>
        <w:right w:val="none" w:sz="0" w:space="0" w:color="auto"/>
      </w:divBdr>
    </w:div>
    <w:div w:id="1056972162">
      <w:bodyDiv w:val="1"/>
      <w:marLeft w:val="0"/>
      <w:marRight w:val="0"/>
      <w:marTop w:val="0"/>
      <w:marBottom w:val="0"/>
      <w:divBdr>
        <w:top w:val="none" w:sz="0" w:space="0" w:color="auto"/>
        <w:left w:val="none" w:sz="0" w:space="0" w:color="auto"/>
        <w:bottom w:val="none" w:sz="0" w:space="0" w:color="auto"/>
        <w:right w:val="none" w:sz="0" w:space="0" w:color="auto"/>
      </w:divBdr>
      <w:divsChild>
        <w:div w:id="248775638">
          <w:marLeft w:val="0"/>
          <w:marRight w:val="0"/>
          <w:marTop w:val="0"/>
          <w:marBottom w:val="0"/>
          <w:divBdr>
            <w:top w:val="none" w:sz="0" w:space="0" w:color="auto"/>
            <w:left w:val="none" w:sz="0" w:space="0" w:color="auto"/>
            <w:bottom w:val="none" w:sz="0" w:space="0" w:color="auto"/>
            <w:right w:val="none" w:sz="0" w:space="0" w:color="auto"/>
          </w:divBdr>
          <w:divsChild>
            <w:div w:id="109011612">
              <w:marLeft w:val="0"/>
              <w:marRight w:val="0"/>
              <w:marTop w:val="0"/>
              <w:marBottom w:val="0"/>
              <w:divBdr>
                <w:top w:val="none" w:sz="0" w:space="0" w:color="auto"/>
                <w:left w:val="none" w:sz="0" w:space="0" w:color="auto"/>
                <w:bottom w:val="none" w:sz="0" w:space="0" w:color="auto"/>
                <w:right w:val="none" w:sz="0" w:space="0" w:color="auto"/>
              </w:divBdr>
              <w:divsChild>
                <w:div w:id="1715546705">
                  <w:marLeft w:val="0"/>
                  <w:marRight w:val="0"/>
                  <w:marTop w:val="0"/>
                  <w:marBottom w:val="0"/>
                  <w:divBdr>
                    <w:top w:val="none" w:sz="0" w:space="0" w:color="auto"/>
                    <w:left w:val="none" w:sz="0" w:space="0" w:color="auto"/>
                    <w:bottom w:val="none" w:sz="0" w:space="0" w:color="auto"/>
                    <w:right w:val="none" w:sz="0" w:space="0" w:color="auto"/>
                  </w:divBdr>
                  <w:divsChild>
                    <w:div w:id="801314683">
                      <w:marLeft w:val="0"/>
                      <w:marRight w:val="0"/>
                      <w:marTop w:val="0"/>
                      <w:marBottom w:val="0"/>
                      <w:divBdr>
                        <w:top w:val="none" w:sz="0" w:space="0" w:color="auto"/>
                        <w:left w:val="none" w:sz="0" w:space="0" w:color="auto"/>
                        <w:bottom w:val="none" w:sz="0" w:space="0" w:color="auto"/>
                        <w:right w:val="none" w:sz="0" w:space="0" w:color="auto"/>
                      </w:divBdr>
                      <w:divsChild>
                        <w:div w:id="1338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17091">
      <w:bodyDiv w:val="1"/>
      <w:marLeft w:val="0"/>
      <w:marRight w:val="0"/>
      <w:marTop w:val="0"/>
      <w:marBottom w:val="0"/>
      <w:divBdr>
        <w:top w:val="none" w:sz="0" w:space="0" w:color="auto"/>
        <w:left w:val="none" w:sz="0" w:space="0" w:color="auto"/>
        <w:bottom w:val="none" w:sz="0" w:space="0" w:color="auto"/>
        <w:right w:val="none" w:sz="0" w:space="0" w:color="auto"/>
      </w:divBdr>
    </w:div>
    <w:div w:id="1193882697">
      <w:bodyDiv w:val="1"/>
      <w:marLeft w:val="0"/>
      <w:marRight w:val="0"/>
      <w:marTop w:val="0"/>
      <w:marBottom w:val="0"/>
      <w:divBdr>
        <w:top w:val="none" w:sz="0" w:space="0" w:color="auto"/>
        <w:left w:val="none" w:sz="0" w:space="0" w:color="auto"/>
        <w:bottom w:val="none" w:sz="0" w:space="0" w:color="auto"/>
        <w:right w:val="none" w:sz="0" w:space="0" w:color="auto"/>
      </w:divBdr>
      <w:divsChild>
        <w:div w:id="188111179">
          <w:marLeft w:val="0"/>
          <w:marRight w:val="0"/>
          <w:marTop w:val="0"/>
          <w:marBottom w:val="0"/>
          <w:divBdr>
            <w:top w:val="none" w:sz="0" w:space="0" w:color="auto"/>
            <w:left w:val="none" w:sz="0" w:space="0" w:color="auto"/>
            <w:bottom w:val="none" w:sz="0" w:space="0" w:color="auto"/>
            <w:right w:val="none" w:sz="0" w:space="0" w:color="auto"/>
          </w:divBdr>
          <w:divsChild>
            <w:div w:id="2082556536">
              <w:marLeft w:val="0"/>
              <w:marRight w:val="0"/>
              <w:marTop w:val="0"/>
              <w:marBottom w:val="0"/>
              <w:divBdr>
                <w:top w:val="none" w:sz="0" w:space="0" w:color="auto"/>
                <w:left w:val="none" w:sz="0" w:space="0" w:color="auto"/>
                <w:bottom w:val="none" w:sz="0" w:space="0" w:color="auto"/>
                <w:right w:val="none" w:sz="0" w:space="0" w:color="auto"/>
              </w:divBdr>
              <w:divsChild>
                <w:div w:id="1196651922">
                  <w:marLeft w:val="0"/>
                  <w:marRight w:val="0"/>
                  <w:marTop w:val="0"/>
                  <w:marBottom w:val="0"/>
                  <w:divBdr>
                    <w:top w:val="none" w:sz="0" w:space="0" w:color="auto"/>
                    <w:left w:val="none" w:sz="0" w:space="0" w:color="auto"/>
                    <w:bottom w:val="none" w:sz="0" w:space="0" w:color="auto"/>
                    <w:right w:val="none" w:sz="0" w:space="0" w:color="auto"/>
                  </w:divBdr>
                  <w:divsChild>
                    <w:div w:id="246961467">
                      <w:marLeft w:val="0"/>
                      <w:marRight w:val="0"/>
                      <w:marTop w:val="0"/>
                      <w:marBottom w:val="0"/>
                      <w:divBdr>
                        <w:top w:val="none" w:sz="0" w:space="0" w:color="auto"/>
                        <w:left w:val="none" w:sz="0" w:space="0" w:color="auto"/>
                        <w:bottom w:val="none" w:sz="0" w:space="0" w:color="auto"/>
                        <w:right w:val="none" w:sz="0" w:space="0" w:color="auto"/>
                      </w:divBdr>
                      <w:divsChild>
                        <w:div w:id="20556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766">
      <w:bodyDiv w:val="1"/>
      <w:marLeft w:val="0"/>
      <w:marRight w:val="0"/>
      <w:marTop w:val="0"/>
      <w:marBottom w:val="0"/>
      <w:divBdr>
        <w:top w:val="none" w:sz="0" w:space="0" w:color="auto"/>
        <w:left w:val="none" w:sz="0" w:space="0" w:color="auto"/>
        <w:bottom w:val="none" w:sz="0" w:space="0" w:color="auto"/>
        <w:right w:val="none" w:sz="0" w:space="0" w:color="auto"/>
      </w:divBdr>
      <w:divsChild>
        <w:div w:id="2007901135">
          <w:marLeft w:val="0"/>
          <w:marRight w:val="0"/>
          <w:marTop w:val="0"/>
          <w:marBottom w:val="0"/>
          <w:divBdr>
            <w:top w:val="none" w:sz="0" w:space="0" w:color="auto"/>
            <w:left w:val="none" w:sz="0" w:space="0" w:color="auto"/>
            <w:bottom w:val="none" w:sz="0" w:space="0" w:color="auto"/>
            <w:right w:val="none" w:sz="0" w:space="0" w:color="auto"/>
          </w:divBdr>
          <w:divsChild>
            <w:div w:id="84546317">
              <w:marLeft w:val="0"/>
              <w:marRight w:val="0"/>
              <w:marTop w:val="0"/>
              <w:marBottom w:val="0"/>
              <w:divBdr>
                <w:top w:val="none" w:sz="0" w:space="0" w:color="auto"/>
                <w:left w:val="none" w:sz="0" w:space="0" w:color="auto"/>
                <w:bottom w:val="none" w:sz="0" w:space="0" w:color="auto"/>
                <w:right w:val="none" w:sz="0" w:space="0" w:color="auto"/>
              </w:divBdr>
              <w:divsChild>
                <w:div w:id="2083671012">
                  <w:marLeft w:val="0"/>
                  <w:marRight w:val="0"/>
                  <w:marTop w:val="0"/>
                  <w:marBottom w:val="0"/>
                  <w:divBdr>
                    <w:top w:val="none" w:sz="0" w:space="0" w:color="auto"/>
                    <w:left w:val="none" w:sz="0" w:space="0" w:color="auto"/>
                    <w:bottom w:val="none" w:sz="0" w:space="0" w:color="auto"/>
                    <w:right w:val="none" w:sz="0" w:space="0" w:color="auto"/>
                  </w:divBdr>
                  <w:divsChild>
                    <w:div w:id="689843260">
                      <w:marLeft w:val="0"/>
                      <w:marRight w:val="0"/>
                      <w:marTop w:val="0"/>
                      <w:marBottom w:val="0"/>
                      <w:divBdr>
                        <w:top w:val="none" w:sz="0" w:space="0" w:color="auto"/>
                        <w:left w:val="none" w:sz="0" w:space="0" w:color="auto"/>
                        <w:bottom w:val="none" w:sz="0" w:space="0" w:color="auto"/>
                        <w:right w:val="none" w:sz="0" w:space="0" w:color="auto"/>
                      </w:divBdr>
                      <w:divsChild>
                        <w:div w:id="558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7670">
      <w:bodyDiv w:val="1"/>
      <w:marLeft w:val="0"/>
      <w:marRight w:val="0"/>
      <w:marTop w:val="0"/>
      <w:marBottom w:val="0"/>
      <w:divBdr>
        <w:top w:val="none" w:sz="0" w:space="0" w:color="auto"/>
        <w:left w:val="none" w:sz="0" w:space="0" w:color="auto"/>
        <w:bottom w:val="none" w:sz="0" w:space="0" w:color="auto"/>
        <w:right w:val="none" w:sz="0" w:space="0" w:color="auto"/>
      </w:divBdr>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
    <w:div w:id="1670135452">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2631">
          <w:marLeft w:val="0"/>
          <w:marRight w:val="0"/>
          <w:marTop w:val="0"/>
          <w:marBottom w:val="0"/>
          <w:divBdr>
            <w:top w:val="none" w:sz="0" w:space="0" w:color="auto"/>
            <w:left w:val="none" w:sz="0" w:space="0" w:color="auto"/>
            <w:bottom w:val="none" w:sz="0" w:space="0" w:color="auto"/>
            <w:right w:val="none" w:sz="0" w:space="0" w:color="auto"/>
          </w:divBdr>
          <w:divsChild>
            <w:div w:id="431054581">
              <w:marLeft w:val="0"/>
              <w:marRight w:val="0"/>
              <w:marTop w:val="0"/>
              <w:marBottom w:val="0"/>
              <w:divBdr>
                <w:top w:val="none" w:sz="0" w:space="0" w:color="auto"/>
                <w:left w:val="none" w:sz="0" w:space="0" w:color="auto"/>
                <w:bottom w:val="none" w:sz="0" w:space="0" w:color="auto"/>
                <w:right w:val="none" w:sz="0" w:space="0" w:color="auto"/>
              </w:divBdr>
              <w:divsChild>
                <w:div w:id="1253706857">
                  <w:marLeft w:val="0"/>
                  <w:marRight w:val="0"/>
                  <w:marTop w:val="0"/>
                  <w:marBottom w:val="0"/>
                  <w:divBdr>
                    <w:top w:val="none" w:sz="0" w:space="0" w:color="auto"/>
                    <w:left w:val="none" w:sz="0" w:space="0" w:color="auto"/>
                    <w:bottom w:val="none" w:sz="0" w:space="0" w:color="auto"/>
                    <w:right w:val="none" w:sz="0" w:space="0" w:color="auto"/>
                  </w:divBdr>
                  <w:divsChild>
                    <w:div w:id="933976299">
                      <w:marLeft w:val="0"/>
                      <w:marRight w:val="0"/>
                      <w:marTop w:val="0"/>
                      <w:marBottom w:val="0"/>
                      <w:divBdr>
                        <w:top w:val="none" w:sz="0" w:space="0" w:color="auto"/>
                        <w:left w:val="none" w:sz="0" w:space="0" w:color="auto"/>
                        <w:bottom w:val="none" w:sz="0" w:space="0" w:color="auto"/>
                        <w:right w:val="none" w:sz="0" w:space="0" w:color="auto"/>
                      </w:divBdr>
                      <w:divsChild>
                        <w:div w:id="1279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90141">
      <w:bodyDiv w:val="1"/>
      <w:marLeft w:val="0"/>
      <w:marRight w:val="0"/>
      <w:marTop w:val="0"/>
      <w:marBottom w:val="0"/>
      <w:divBdr>
        <w:top w:val="none" w:sz="0" w:space="0" w:color="auto"/>
        <w:left w:val="none" w:sz="0" w:space="0" w:color="auto"/>
        <w:bottom w:val="none" w:sz="0" w:space="0" w:color="auto"/>
        <w:right w:val="none" w:sz="0" w:space="0" w:color="auto"/>
      </w:divBdr>
    </w:div>
    <w:div w:id="2001230171">
      <w:bodyDiv w:val="1"/>
      <w:marLeft w:val="0"/>
      <w:marRight w:val="0"/>
      <w:marTop w:val="0"/>
      <w:marBottom w:val="0"/>
      <w:divBdr>
        <w:top w:val="none" w:sz="0" w:space="0" w:color="auto"/>
        <w:left w:val="none" w:sz="0" w:space="0" w:color="auto"/>
        <w:bottom w:val="none" w:sz="0" w:space="0" w:color="auto"/>
        <w:right w:val="none" w:sz="0" w:space="0" w:color="auto"/>
      </w:divBdr>
      <w:divsChild>
        <w:div w:id="1059940883">
          <w:marLeft w:val="0"/>
          <w:marRight w:val="0"/>
          <w:marTop w:val="0"/>
          <w:marBottom w:val="0"/>
          <w:divBdr>
            <w:top w:val="none" w:sz="0" w:space="0" w:color="auto"/>
            <w:left w:val="none" w:sz="0" w:space="0" w:color="auto"/>
            <w:bottom w:val="none" w:sz="0" w:space="0" w:color="auto"/>
            <w:right w:val="none" w:sz="0" w:space="0" w:color="auto"/>
          </w:divBdr>
          <w:divsChild>
            <w:div w:id="1571387469">
              <w:marLeft w:val="0"/>
              <w:marRight w:val="0"/>
              <w:marTop w:val="0"/>
              <w:marBottom w:val="0"/>
              <w:divBdr>
                <w:top w:val="none" w:sz="0" w:space="0" w:color="auto"/>
                <w:left w:val="none" w:sz="0" w:space="0" w:color="auto"/>
                <w:bottom w:val="none" w:sz="0" w:space="0" w:color="auto"/>
                <w:right w:val="none" w:sz="0" w:space="0" w:color="auto"/>
              </w:divBdr>
              <w:divsChild>
                <w:div w:id="1628778048">
                  <w:marLeft w:val="0"/>
                  <w:marRight w:val="0"/>
                  <w:marTop w:val="0"/>
                  <w:marBottom w:val="0"/>
                  <w:divBdr>
                    <w:top w:val="none" w:sz="0" w:space="0" w:color="auto"/>
                    <w:left w:val="none" w:sz="0" w:space="0" w:color="auto"/>
                    <w:bottom w:val="none" w:sz="0" w:space="0" w:color="auto"/>
                    <w:right w:val="none" w:sz="0" w:space="0" w:color="auto"/>
                  </w:divBdr>
                  <w:divsChild>
                    <w:div w:id="1812209669">
                      <w:marLeft w:val="0"/>
                      <w:marRight w:val="0"/>
                      <w:marTop w:val="0"/>
                      <w:marBottom w:val="0"/>
                      <w:divBdr>
                        <w:top w:val="none" w:sz="0" w:space="0" w:color="auto"/>
                        <w:left w:val="none" w:sz="0" w:space="0" w:color="auto"/>
                        <w:bottom w:val="none" w:sz="0" w:space="0" w:color="auto"/>
                        <w:right w:val="none" w:sz="0" w:space="0" w:color="auto"/>
                      </w:divBdr>
                      <w:divsChild>
                        <w:div w:id="2223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4996">
      <w:bodyDiv w:val="1"/>
      <w:marLeft w:val="0"/>
      <w:marRight w:val="0"/>
      <w:marTop w:val="0"/>
      <w:marBottom w:val="0"/>
      <w:divBdr>
        <w:top w:val="none" w:sz="0" w:space="0" w:color="auto"/>
        <w:left w:val="none" w:sz="0" w:space="0" w:color="auto"/>
        <w:bottom w:val="none" w:sz="0" w:space="0" w:color="auto"/>
        <w:right w:val="none" w:sz="0" w:space="0" w:color="auto"/>
      </w:divBdr>
    </w:div>
    <w:div w:id="20702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aitken@scmtd.com" TargetMode="External"/><Relationship Id="rId18" Type="http://schemas.openxmlformats.org/officeDocument/2006/relationships/hyperlink" Target="mailto:awarnock@scmtd.com" TargetMode="External"/><Relationship Id="rId26" Type="http://schemas.openxmlformats.org/officeDocument/2006/relationships/hyperlink" Target="mailto:rslater@scmtd.com" TargetMode="External"/><Relationship Id="rId3" Type="http://schemas.openxmlformats.org/officeDocument/2006/relationships/styles" Target="styles.xml"/><Relationship Id="rId21" Type="http://schemas.openxmlformats.org/officeDocument/2006/relationships/hyperlink" Target="mailto:cfliesle@scmtd.com"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lwhite@scmtd.com" TargetMode="External"/><Relationship Id="rId17" Type="http://schemas.openxmlformats.org/officeDocument/2006/relationships/hyperlink" Target="mailto:mferrick@scmtd.com" TargetMode="External"/><Relationship Id="rId25" Type="http://schemas.openxmlformats.org/officeDocument/2006/relationships/hyperlink" Target="mailto:rcotter@scmtd.com" TargetMode="External"/><Relationship Id="rId33" Type="http://schemas.openxmlformats.org/officeDocument/2006/relationships/footer" Target="footer4.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caguirre@scmtd.com" TargetMode="External"/><Relationship Id="rId20" Type="http://schemas.openxmlformats.org/officeDocument/2006/relationships/hyperlink" Target="mailto:efriedri@scmtd.com" TargetMode="External"/><Relationship Id="rId29" Type="http://schemas.openxmlformats.org/officeDocument/2006/relationships/hyperlink" Target="mailto:llongnec@scmt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thiltner@scmtd.com"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kegley@scmtd.com" TargetMode="External"/><Relationship Id="rId23" Type="http://schemas.openxmlformats.org/officeDocument/2006/relationships/hyperlink" Target="mailto:tbeatty@scmtd.com" TargetMode="External"/><Relationship Id="rId28" Type="http://schemas.openxmlformats.org/officeDocument/2006/relationships/hyperlink" Target="mailto:purcik@scmtd.com"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dmoreau@scmtd.com" TargetMode="External"/><Relationship Id="rId31" Type="http://schemas.openxmlformats.org/officeDocument/2006/relationships/hyperlink" Target="mailto:gregory.campbell@thedmpgroup.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gallagher@scmtd.com" TargetMode="External"/><Relationship Id="rId22" Type="http://schemas.openxmlformats.org/officeDocument/2006/relationships/hyperlink" Target="mailto:fcheng@scmtd.com" TargetMode="External"/><Relationship Id="rId27" Type="http://schemas.openxmlformats.org/officeDocument/2006/relationships/hyperlink" Target="mailto:paviles@scmtd.com" TargetMode="External"/><Relationship Id="rId30" Type="http://schemas.openxmlformats.org/officeDocument/2006/relationships/hyperlink" Target="mailto:donald.lucas@thedmpgroup.com"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D3C7-E807-4D26-9A8C-5EB276E5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8921</Words>
  <Characters>52021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Microsoft</Company>
  <LinksUpToDate>false</LinksUpToDate>
  <CharactersWithSpaces>60821</CharactersWithSpaces>
  <SharedDoc>false</SharedDoc>
  <HLinks>
    <vt:vector size="6" baseType="variant">
      <vt:variant>
        <vt:i4>8192127</vt:i4>
      </vt:variant>
      <vt:variant>
        <vt:i4>63</vt:i4>
      </vt:variant>
      <vt:variant>
        <vt:i4>0</vt:i4>
      </vt:variant>
      <vt:variant>
        <vt:i4>5</vt:i4>
      </vt:variant>
      <vt:variant>
        <vt:lpwstr>http://hawaii.gov/dot/administration/ocr/title6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anita.heard</cp:lastModifiedBy>
  <cp:revision>2</cp:revision>
  <cp:lastPrinted>2012-01-03T13:31:00Z</cp:lastPrinted>
  <dcterms:created xsi:type="dcterms:W3CDTF">2012-01-03T14:02:00Z</dcterms:created>
  <dcterms:modified xsi:type="dcterms:W3CDTF">2012-01-03T14:02:00Z</dcterms:modified>
</cp:coreProperties>
</file>