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8D" w:rsidRDefault="00F80A8D">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80A8D" w:rsidRDefault="00F80A8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6C274C" w:rsidRDefault="006C274C"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Utah Department of Transportation (UDOT)</w:t>
      </w:r>
    </w:p>
    <w:p w:rsidR="00F80A8D" w:rsidRDefault="006C274C"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Salt Lake City, Utah</w:t>
      </w:r>
    </w:p>
    <w:p w:rsidR="00F80A8D" w:rsidRDefault="00F80A8D">
      <w:pPr>
        <w:spacing w:line="480" w:lineRule="auto"/>
        <w:jc w:val="center"/>
        <w:rPr>
          <w:b/>
          <w:sz w:val="28"/>
        </w:rPr>
      </w:pPr>
    </w:p>
    <w:p w:rsidR="00F80A8D" w:rsidRDefault="00E05C6F">
      <w:pPr>
        <w:spacing w:line="480" w:lineRule="auto"/>
        <w:jc w:val="center"/>
        <w:rPr>
          <w:b/>
          <w:sz w:val="28"/>
        </w:rPr>
      </w:pPr>
      <w:r>
        <w:rPr>
          <w:b/>
          <w:sz w:val="28"/>
        </w:rPr>
        <w:t>Final</w:t>
      </w:r>
      <w:r w:rsidR="00F80A8D">
        <w:rPr>
          <w:b/>
          <w:sz w:val="28"/>
        </w:rPr>
        <w:t xml:space="preserve"> Report</w:t>
      </w:r>
    </w:p>
    <w:p w:rsidR="00F80A8D" w:rsidRDefault="00E05C6F">
      <w:pPr>
        <w:spacing w:line="480" w:lineRule="auto"/>
        <w:jc w:val="center"/>
        <w:rPr>
          <w:sz w:val="24"/>
        </w:rPr>
      </w:pPr>
      <w:r>
        <w:rPr>
          <w:b/>
          <w:sz w:val="28"/>
        </w:rPr>
        <w:t>November</w:t>
      </w:r>
      <w:r w:rsidR="00742E3B">
        <w:rPr>
          <w:b/>
          <w:sz w:val="28"/>
        </w:rPr>
        <w:t xml:space="preserve"> 2010</w:t>
      </w:r>
    </w:p>
    <w:p w:rsidR="00F80A8D" w:rsidRDefault="00F80A8D" w:rsidP="00693350">
      <w:pPr>
        <w:jc w:val="center"/>
        <w:rPr>
          <w:b/>
          <w:sz w:val="28"/>
          <w:szCs w:val="28"/>
        </w:rPr>
      </w:pPr>
      <w:r>
        <w:rPr>
          <w:b/>
          <w:sz w:val="28"/>
          <w:szCs w:val="28"/>
        </w:rPr>
        <w:t>Prepared For</w:t>
      </w:r>
    </w:p>
    <w:p w:rsidR="00F80A8D" w:rsidRDefault="00F80A8D">
      <w:pPr>
        <w:jc w:val="center"/>
        <w:rPr>
          <w:b/>
          <w:sz w:val="28"/>
          <w:szCs w:val="28"/>
        </w:rPr>
      </w:pPr>
    </w:p>
    <w:p w:rsidR="00F80A8D" w:rsidRDefault="00F80A8D">
      <w:pPr>
        <w:jc w:val="center"/>
        <w:rPr>
          <w:b/>
          <w:sz w:val="28"/>
          <w:szCs w:val="28"/>
        </w:rPr>
      </w:pPr>
      <w:smartTag w:uri="urn:schemas-microsoft-com:office:smarttags" w:element="country-region">
        <w:smartTag w:uri="urn:schemas-microsoft-com:office:smarttags" w:element="place">
          <w:r>
            <w:rPr>
              <w:b/>
              <w:sz w:val="28"/>
              <w:szCs w:val="28"/>
            </w:rPr>
            <w:t>U.S.</w:t>
          </w:r>
        </w:smartTag>
      </w:smartTag>
      <w:r>
        <w:rPr>
          <w:b/>
          <w:sz w:val="28"/>
          <w:szCs w:val="28"/>
        </w:rPr>
        <w:t xml:space="preserve"> DEPARTMENT OF TRANSPORATION</w:t>
      </w:r>
    </w:p>
    <w:p w:rsidR="00F80A8D" w:rsidRDefault="00F80A8D">
      <w:pPr>
        <w:jc w:val="center"/>
        <w:rPr>
          <w:b/>
          <w:sz w:val="28"/>
          <w:szCs w:val="28"/>
        </w:rPr>
      </w:pPr>
      <w:r>
        <w:rPr>
          <w:b/>
          <w:sz w:val="28"/>
          <w:szCs w:val="28"/>
        </w:rPr>
        <w:t>FEDERAL TRANSIT ADMINISTRATION</w:t>
      </w:r>
    </w:p>
    <w:p w:rsidR="00F80A8D" w:rsidRDefault="00F80A8D">
      <w:pPr>
        <w:jc w:val="center"/>
        <w:rPr>
          <w:b/>
          <w:sz w:val="24"/>
        </w:rPr>
      </w:pPr>
      <w:r>
        <w:rPr>
          <w:b/>
          <w:sz w:val="28"/>
          <w:szCs w:val="28"/>
        </w:rPr>
        <w:t>OFFICE OF CIVIL RIGHTS</w:t>
      </w:r>
    </w:p>
    <w:p w:rsidR="00F80A8D" w:rsidRDefault="00F80A8D">
      <w:pPr>
        <w:jc w:val="center"/>
        <w:rPr>
          <w:sz w:val="24"/>
        </w:rPr>
      </w:pPr>
    </w:p>
    <w:p w:rsidR="00F80A8D" w:rsidRDefault="00F80A8D">
      <w:pPr>
        <w:jc w:val="center"/>
        <w:rPr>
          <w:sz w:val="24"/>
        </w:rPr>
      </w:pPr>
    </w:p>
    <w:p w:rsidR="00F80A8D" w:rsidRDefault="00F80A8D">
      <w:pPr>
        <w:jc w:val="center"/>
        <w:rPr>
          <w:sz w:val="24"/>
        </w:rPr>
      </w:pPr>
    </w:p>
    <w:p w:rsidR="00F80A8D" w:rsidRDefault="00F80A8D" w:rsidP="00035671">
      <w:pPr>
        <w:ind w:right="-720"/>
        <w:rPr>
          <w:sz w:val="24"/>
        </w:rPr>
      </w:pPr>
    </w:p>
    <w:p w:rsidR="00F80A8D" w:rsidRDefault="00F80A8D">
      <w:pPr>
        <w:rPr>
          <w:sz w:val="24"/>
        </w:rPr>
      </w:pPr>
    </w:p>
    <w:p w:rsidR="00F80A8D" w:rsidRDefault="00F80A8D">
      <w:pPr>
        <w:jc w:val="center"/>
        <w:rPr>
          <w:b/>
          <w:sz w:val="28"/>
          <w:szCs w:val="28"/>
        </w:rPr>
      </w:pPr>
      <w:r>
        <w:rPr>
          <w:b/>
          <w:sz w:val="28"/>
          <w:szCs w:val="28"/>
        </w:rPr>
        <w:t>Prepared By</w:t>
      </w:r>
    </w:p>
    <w:p w:rsidR="00F80A8D" w:rsidRDefault="00F80A8D">
      <w:pPr>
        <w:jc w:val="center"/>
        <w:rPr>
          <w:b/>
          <w:sz w:val="28"/>
          <w:szCs w:val="28"/>
        </w:rPr>
      </w:pPr>
    </w:p>
    <w:p w:rsidR="00F80A8D" w:rsidRDefault="00F80A8D">
      <w:pPr>
        <w:jc w:val="center"/>
        <w:rPr>
          <w:b/>
          <w:sz w:val="28"/>
          <w:szCs w:val="28"/>
        </w:rPr>
      </w:pPr>
      <w:r>
        <w:rPr>
          <w:b/>
          <w:sz w:val="28"/>
          <w:szCs w:val="28"/>
        </w:rPr>
        <w:t>THE DMP GROUP, LLC</w:t>
      </w:r>
    </w:p>
    <w:p w:rsidR="00F80A8D" w:rsidRDefault="00CA1585">
      <w:pPr>
        <w:jc w:val="center"/>
        <w:rPr>
          <w:b/>
          <w:sz w:val="28"/>
          <w:szCs w:val="28"/>
        </w:rPr>
      </w:pPr>
      <w:r>
        <w:rPr>
          <w:b/>
          <w:sz w:val="28"/>
          <w:szCs w:val="28"/>
        </w:rPr>
        <w:t>5600 Colorado Avenue NW</w:t>
      </w:r>
    </w:p>
    <w:p w:rsidR="00F80A8D" w:rsidRDefault="00CA1585">
      <w:pPr>
        <w:jc w:val="center"/>
        <w:rPr>
          <w:b/>
          <w:sz w:val="28"/>
          <w:szCs w:val="28"/>
        </w:rPr>
      </w:pPr>
      <w:r>
        <w:rPr>
          <w:b/>
          <w:sz w:val="28"/>
          <w:szCs w:val="28"/>
        </w:rPr>
        <w:t>Washington, DC 20011</w:t>
      </w:r>
    </w:p>
    <w:p w:rsidR="00F80A8D" w:rsidRDefault="00F80A8D">
      <w:pPr>
        <w:jc w:val="center"/>
        <w:rPr>
          <w:b/>
          <w:sz w:val="28"/>
          <w:szCs w:val="28"/>
        </w:rPr>
      </w:pPr>
    </w:p>
    <w:p w:rsidR="00F80A8D" w:rsidRDefault="00F80A8D">
      <w:pPr>
        <w:jc w:val="center"/>
        <w:rPr>
          <w:b/>
          <w:i/>
          <w:iCs/>
          <w:sz w:val="24"/>
          <w:u w:val="single"/>
        </w:rPr>
      </w:pPr>
    </w:p>
    <w:p w:rsidR="00F80A8D" w:rsidRDefault="00F80A8D">
      <w:pPr>
        <w:jc w:val="center"/>
        <w:rPr>
          <w:sz w:val="24"/>
        </w:rPr>
      </w:pPr>
      <w:r>
        <w:rPr>
          <w:b/>
          <w:sz w:val="24"/>
        </w:rPr>
        <w:br w:type="page"/>
      </w:r>
    </w:p>
    <w:p w:rsidR="00F80A8D" w:rsidRDefault="00F80A8D">
      <w:pPr>
        <w:jc w:val="center"/>
        <w:rPr>
          <w:sz w:val="28"/>
          <w:u w:val="single"/>
        </w:rPr>
      </w:pPr>
      <w:r>
        <w:rPr>
          <w:sz w:val="28"/>
          <w:u w:val="single"/>
        </w:rPr>
        <w:lastRenderedPageBreak/>
        <w:t>Table of Contents</w:t>
      </w:r>
    </w:p>
    <w:p w:rsidR="00F80A8D" w:rsidRDefault="00F80A8D">
      <w:pPr>
        <w:jc w:val="center"/>
        <w:rPr>
          <w:sz w:val="28"/>
          <w:u w:val="single"/>
        </w:rPr>
      </w:pPr>
    </w:p>
    <w:p w:rsidR="00F80A8D" w:rsidRDefault="00F80A8D">
      <w:pPr>
        <w:jc w:val="center"/>
        <w:rPr>
          <w:sz w:val="28"/>
          <w:u w:val="single"/>
        </w:rPr>
      </w:pPr>
    </w:p>
    <w:p w:rsidR="00D526D1" w:rsidRDefault="00E46099">
      <w:pPr>
        <w:pStyle w:val="TOC1"/>
        <w:rPr>
          <w:rFonts w:ascii="Calibri" w:hAnsi="Calibri"/>
          <w:b w:val="0"/>
          <w:sz w:val="22"/>
          <w:szCs w:val="22"/>
        </w:rPr>
      </w:pPr>
      <w:r w:rsidRPr="00E46099">
        <w:rPr>
          <w:sz w:val="28"/>
          <w:szCs w:val="28"/>
        </w:rPr>
        <w:fldChar w:fldCharType="begin"/>
      </w:r>
      <w:r w:rsidR="004D1FBA">
        <w:rPr>
          <w:sz w:val="28"/>
          <w:szCs w:val="28"/>
        </w:rPr>
        <w:instrText xml:space="preserve"> TOC \o "1-2" </w:instrText>
      </w:r>
      <w:r w:rsidRPr="00E46099">
        <w:rPr>
          <w:sz w:val="28"/>
          <w:szCs w:val="28"/>
        </w:rPr>
        <w:fldChar w:fldCharType="separate"/>
      </w:r>
      <w:r w:rsidR="00D526D1" w:rsidRPr="00F320F1">
        <w:t>I.</w:t>
      </w:r>
      <w:r w:rsidR="00D526D1">
        <w:rPr>
          <w:rFonts w:ascii="Calibri" w:hAnsi="Calibri"/>
          <w:b w:val="0"/>
          <w:sz w:val="22"/>
          <w:szCs w:val="22"/>
        </w:rPr>
        <w:tab/>
      </w:r>
      <w:r w:rsidR="00D526D1">
        <w:t>GENERAL INFORMATION</w:t>
      </w:r>
      <w:r w:rsidR="00D526D1">
        <w:tab/>
      </w:r>
      <w:r>
        <w:fldChar w:fldCharType="begin"/>
      </w:r>
      <w:r w:rsidR="00D526D1">
        <w:instrText xml:space="preserve"> PAGEREF _Toc253152147 \h </w:instrText>
      </w:r>
      <w:r>
        <w:fldChar w:fldCharType="separate"/>
      </w:r>
      <w:r w:rsidR="00B5280B">
        <w:t>1</w:t>
      </w:r>
      <w:r>
        <w:fldChar w:fldCharType="end"/>
      </w:r>
    </w:p>
    <w:p w:rsidR="00D526D1" w:rsidRDefault="00D526D1">
      <w:pPr>
        <w:pStyle w:val="TOC1"/>
        <w:rPr>
          <w:rFonts w:ascii="Calibri" w:hAnsi="Calibri"/>
          <w:b w:val="0"/>
          <w:sz w:val="22"/>
          <w:szCs w:val="22"/>
        </w:rPr>
      </w:pPr>
      <w:r w:rsidRPr="00F320F1">
        <w:t>II.</w:t>
      </w:r>
      <w:r>
        <w:rPr>
          <w:rFonts w:ascii="Calibri" w:hAnsi="Calibri"/>
          <w:b w:val="0"/>
          <w:sz w:val="22"/>
          <w:szCs w:val="22"/>
        </w:rPr>
        <w:tab/>
      </w:r>
      <w:r>
        <w:t>JURISDICTION AND AUTHORITIES</w:t>
      </w:r>
      <w:r>
        <w:tab/>
      </w:r>
      <w:r w:rsidR="00E46099">
        <w:fldChar w:fldCharType="begin"/>
      </w:r>
      <w:r>
        <w:instrText xml:space="preserve"> PAGEREF _Toc253152148 \h </w:instrText>
      </w:r>
      <w:r w:rsidR="00E46099">
        <w:fldChar w:fldCharType="separate"/>
      </w:r>
      <w:r w:rsidR="00B5280B">
        <w:t>2</w:t>
      </w:r>
      <w:r w:rsidR="00E46099">
        <w:fldChar w:fldCharType="end"/>
      </w:r>
    </w:p>
    <w:p w:rsidR="00D526D1" w:rsidRDefault="00D526D1">
      <w:pPr>
        <w:pStyle w:val="TOC1"/>
        <w:rPr>
          <w:rFonts w:ascii="Calibri" w:hAnsi="Calibri"/>
          <w:b w:val="0"/>
          <w:sz w:val="22"/>
          <w:szCs w:val="22"/>
        </w:rPr>
      </w:pPr>
      <w:r w:rsidRPr="00F320F1">
        <w:t>III.</w:t>
      </w:r>
      <w:r>
        <w:rPr>
          <w:rFonts w:ascii="Calibri" w:hAnsi="Calibri"/>
          <w:b w:val="0"/>
          <w:sz w:val="22"/>
          <w:szCs w:val="22"/>
        </w:rPr>
        <w:tab/>
      </w:r>
      <w:r>
        <w:t>PURPOSE AND OBJECTIVES</w:t>
      </w:r>
      <w:r>
        <w:tab/>
      </w:r>
      <w:r w:rsidR="00E46099">
        <w:fldChar w:fldCharType="begin"/>
      </w:r>
      <w:r>
        <w:instrText xml:space="preserve"> PAGEREF _Toc253152149 \h </w:instrText>
      </w:r>
      <w:r w:rsidR="00E46099">
        <w:fldChar w:fldCharType="separate"/>
      </w:r>
      <w:r w:rsidR="00B5280B">
        <w:t>3</w:t>
      </w:r>
      <w:r w:rsidR="00E46099">
        <w:fldChar w:fldCharType="end"/>
      </w:r>
    </w:p>
    <w:p w:rsidR="00D526D1" w:rsidRDefault="00D526D1">
      <w:pPr>
        <w:pStyle w:val="TOC1"/>
        <w:rPr>
          <w:rFonts w:ascii="Calibri" w:hAnsi="Calibri"/>
          <w:b w:val="0"/>
          <w:sz w:val="22"/>
          <w:szCs w:val="22"/>
        </w:rPr>
      </w:pPr>
      <w:r w:rsidRPr="00F320F1">
        <w:t>IV.</w:t>
      </w:r>
      <w:r>
        <w:rPr>
          <w:rFonts w:ascii="Calibri" w:hAnsi="Calibri"/>
          <w:b w:val="0"/>
          <w:sz w:val="22"/>
          <w:szCs w:val="22"/>
        </w:rPr>
        <w:tab/>
      </w:r>
      <w:r>
        <w:t>BACKGROUND INFORMATION</w:t>
      </w:r>
      <w:r>
        <w:tab/>
      </w:r>
      <w:r w:rsidR="00E46099">
        <w:fldChar w:fldCharType="begin"/>
      </w:r>
      <w:r>
        <w:instrText xml:space="preserve"> PAGEREF _Toc253152150 \h </w:instrText>
      </w:r>
      <w:r w:rsidR="00E46099">
        <w:fldChar w:fldCharType="separate"/>
      </w:r>
      <w:r w:rsidR="00B5280B">
        <w:t>5</w:t>
      </w:r>
      <w:r w:rsidR="00E46099">
        <w:fldChar w:fldCharType="end"/>
      </w:r>
    </w:p>
    <w:p w:rsidR="00D526D1" w:rsidRDefault="00D526D1">
      <w:pPr>
        <w:pStyle w:val="TOC1"/>
        <w:rPr>
          <w:rFonts w:ascii="Calibri" w:hAnsi="Calibri"/>
          <w:b w:val="0"/>
          <w:sz w:val="22"/>
          <w:szCs w:val="22"/>
        </w:rPr>
      </w:pPr>
      <w:r w:rsidRPr="00F320F1">
        <w:t>V.</w:t>
      </w:r>
      <w:r>
        <w:rPr>
          <w:rFonts w:ascii="Calibri" w:hAnsi="Calibri"/>
          <w:b w:val="0"/>
          <w:sz w:val="22"/>
          <w:szCs w:val="22"/>
        </w:rPr>
        <w:tab/>
      </w:r>
      <w:r>
        <w:t>SCOPE AND METHODOLOGY</w:t>
      </w:r>
      <w:r>
        <w:tab/>
      </w:r>
      <w:r w:rsidR="00E46099">
        <w:fldChar w:fldCharType="begin"/>
      </w:r>
      <w:r>
        <w:instrText xml:space="preserve"> PAGEREF _Toc253152151 \h </w:instrText>
      </w:r>
      <w:r w:rsidR="00E46099">
        <w:fldChar w:fldCharType="separate"/>
      </w:r>
      <w:r w:rsidR="00B5280B">
        <w:t>9</w:t>
      </w:r>
      <w:r w:rsidR="00E46099">
        <w:fldChar w:fldCharType="end"/>
      </w:r>
    </w:p>
    <w:p w:rsidR="00D526D1" w:rsidRDefault="00D526D1">
      <w:pPr>
        <w:pStyle w:val="TOC1"/>
        <w:rPr>
          <w:rFonts w:ascii="Calibri" w:hAnsi="Calibri"/>
          <w:b w:val="0"/>
          <w:sz w:val="22"/>
          <w:szCs w:val="22"/>
        </w:rPr>
      </w:pPr>
      <w:r w:rsidRPr="00F320F1">
        <w:t xml:space="preserve">VI. </w:t>
      </w:r>
      <w:r>
        <w:rPr>
          <w:rFonts w:ascii="Calibri" w:hAnsi="Calibri"/>
          <w:b w:val="0"/>
          <w:sz w:val="22"/>
          <w:szCs w:val="22"/>
        </w:rPr>
        <w:tab/>
      </w:r>
      <w:r>
        <w:t>FINDINGS AND RECOMMENDATIONS</w:t>
      </w:r>
      <w:r>
        <w:tab/>
      </w:r>
      <w:r w:rsidR="00E46099">
        <w:fldChar w:fldCharType="begin"/>
      </w:r>
      <w:r>
        <w:instrText xml:space="preserve"> PAGEREF _Toc253152152 \h </w:instrText>
      </w:r>
      <w:r w:rsidR="00E46099">
        <w:fldChar w:fldCharType="separate"/>
      </w:r>
      <w:r w:rsidR="00B5280B">
        <w:t>15</w:t>
      </w:r>
      <w:r w:rsidR="00E46099">
        <w:fldChar w:fldCharType="end"/>
      </w:r>
    </w:p>
    <w:p w:rsidR="00D526D1" w:rsidRDefault="00D526D1">
      <w:pPr>
        <w:pStyle w:val="TOC2"/>
        <w:rPr>
          <w:rFonts w:ascii="Calibri" w:hAnsi="Calibri"/>
          <w:sz w:val="22"/>
          <w:szCs w:val="22"/>
        </w:rPr>
      </w:pPr>
      <w:r w:rsidRPr="00F320F1">
        <w:t>1.</w:t>
      </w:r>
      <w:r>
        <w:rPr>
          <w:rFonts w:ascii="Calibri" w:hAnsi="Calibri"/>
          <w:sz w:val="22"/>
          <w:szCs w:val="22"/>
        </w:rPr>
        <w:tab/>
      </w:r>
      <w:r>
        <w:t>Inclusive Public Participation</w:t>
      </w:r>
      <w:r>
        <w:tab/>
      </w:r>
      <w:r w:rsidR="00E46099">
        <w:fldChar w:fldCharType="begin"/>
      </w:r>
      <w:r>
        <w:instrText xml:space="preserve"> PAGEREF _Toc253152153 \h </w:instrText>
      </w:r>
      <w:r w:rsidR="00E46099">
        <w:fldChar w:fldCharType="separate"/>
      </w:r>
      <w:r w:rsidR="00B5280B">
        <w:t>15</w:t>
      </w:r>
      <w:r w:rsidR="00E46099">
        <w:fldChar w:fldCharType="end"/>
      </w:r>
    </w:p>
    <w:p w:rsidR="00D526D1" w:rsidRDefault="00D526D1">
      <w:pPr>
        <w:pStyle w:val="TOC2"/>
        <w:rPr>
          <w:rFonts w:ascii="Calibri" w:hAnsi="Calibri"/>
          <w:sz w:val="22"/>
          <w:szCs w:val="22"/>
        </w:rPr>
      </w:pPr>
      <w:r w:rsidRPr="00F320F1">
        <w:t>2.</w:t>
      </w:r>
      <w:r>
        <w:rPr>
          <w:rFonts w:ascii="Calibri" w:hAnsi="Calibri"/>
          <w:sz w:val="22"/>
          <w:szCs w:val="22"/>
        </w:rPr>
        <w:tab/>
      </w:r>
      <w:r>
        <w:t>Language Access to LEP Persons</w:t>
      </w:r>
      <w:r>
        <w:tab/>
      </w:r>
      <w:r w:rsidR="00E46099">
        <w:fldChar w:fldCharType="begin"/>
      </w:r>
      <w:r>
        <w:instrText xml:space="preserve"> PAGEREF _Toc253152154 \h </w:instrText>
      </w:r>
      <w:r w:rsidR="00E46099">
        <w:fldChar w:fldCharType="separate"/>
      </w:r>
      <w:r w:rsidR="00B5280B">
        <w:t>19</w:t>
      </w:r>
      <w:r w:rsidR="00E46099">
        <w:fldChar w:fldCharType="end"/>
      </w:r>
    </w:p>
    <w:p w:rsidR="00D526D1" w:rsidRDefault="00D526D1">
      <w:pPr>
        <w:pStyle w:val="TOC2"/>
        <w:rPr>
          <w:rFonts w:ascii="Calibri" w:hAnsi="Calibri"/>
          <w:sz w:val="22"/>
          <w:szCs w:val="22"/>
        </w:rPr>
      </w:pPr>
      <w:r w:rsidRPr="00F320F1">
        <w:t>3.</w:t>
      </w:r>
      <w:r>
        <w:rPr>
          <w:rFonts w:ascii="Calibri" w:hAnsi="Calibri"/>
          <w:sz w:val="22"/>
          <w:szCs w:val="22"/>
        </w:rPr>
        <w:tab/>
      </w:r>
      <w:r>
        <w:t>Title VI Complaint Procedures</w:t>
      </w:r>
      <w:r>
        <w:tab/>
      </w:r>
      <w:r w:rsidR="00E46099">
        <w:fldChar w:fldCharType="begin"/>
      </w:r>
      <w:r>
        <w:instrText xml:space="preserve"> PAGEREF _Toc253152155 \h </w:instrText>
      </w:r>
      <w:r w:rsidR="00E46099">
        <w:fldChar w:fldCharType="separate"/>
      </w:r>
      <w:r w:rsidR="00B5280B">
        <w:t>20</w:t>
      </w:r>
      <w:r w:rsidR="00E46099">
        <w:fldChar w:fldCharType="end"/>
      </w:r>
    </w:p>
    <w:p w:rsidR="00D526D1" w:rsidRDefault="00D526D1">
      <w:pPr>
        <w:pStyle w:val="TOC2"/>
        <w:rPr>
          <w:rFonts w:ascii="Calibri" w:hAnsi="Calibri"/>
          <w:sz w:val="22"/>
          <w:szCs w:val="22"/>
        </w:rPr>
      </w:pPr>
      <w:r w:rsidRPr="00F320F1">
        <w:t>4.</w:t>
      </w:r>
      <w:r>
        <w:rPr>
          <w:rFonts w:ascii="Calibri" w:hAnsi="Calibri"/>
          <w:sz w:val="22"/>
          <w:szCs w:val="22"/>
        </w:rPr>
        <w:tab/>
      </w:r>
      <w:r>
        <w:t>Record of Title VI Investigations, Complaints, and Lawsuits</w:t>
      </w:r>
      <w:r>
        <w:tab/>
      </w:r>
      <w:r w:rsidR="00E46099">
        <w:fldChar w:fldCharType="begin"/>
      </w:r>
      <w:r>
        <w:instrText xml:space="preserve"> PAGEREF _Toc253152156 \h </w:instrText>
      </w:r>
      <w:r w:rsidR="00E46099">
        <w:fldChar w:fldCharType="separate"/>
      </w:r>
      <w:r w:rsidR="00B5280B">
        <w:t>21</w:t>
      </w:r>
      <w:r w:rsidR="00E46099">
        <w:fldChar w:fldCharType="end"/>
      </w:r>
    </w:p>
    <w:p w:rsidR="00D526D1" w:rsidRDefault="00D526D1">
      <w:pPr>
        <w:pStyle w:val="TOC2"/>
        <w:rPr>
          <w:rFonts w:ascii="Calibri" w:hAnsi="Calibri"/>
          <w:sz w:val="22"/>
          <w:szCs w:val="22"/>
        </w:rPr>
      </w:pPr>
      <w:r w:rsidRPr="00F320F1">
        <w:t>5.</w:t>
      </w:r>
      <w:r>
        <w:rPr>
          <w:rFonts w:ascii="Calibri" w:hAnsi="Calibri"/>
          <w:sz w:val="22"/>
          <w:szCs w:val="22"/>
        </w:rPr>
        <w:tab/>
      </w:r>
      <w:r>
        <w:t>Notice to Beneficiaries of Protection Under Title VI</w:t>
      </w:r>
      <w:r>
        <w:tab/>
      </w:r>
      <w:r w:rsidR="00E46099">
        <w:fldChar w:fldCharType="begin"/>
      </w:r>
      <w:r>
        <w:instrText xml:space="preserve"> PAGEREF _Toc253152157 \h </w:instrText>
      </w:r>
      <w:r w:rsidR="00E46099">
        <w:fldChar w:fldCharType="separate"/>
      </w:r>
      <w:r w:rsidR="00B5280B">
        <w:t>23</w:t>
      </w:r>
      <w:r w:rsidR="00E46099">
        <w:fldChar w:fldCharType="end"/>
      </w:r>
    </w:p>
    <w:p w:rsidR="00D526D1" w:rsidRDefault="00D526D1">
      <w:pPr>
        <w:pStyle w:val="TOC2"/>
        <w:rPr>
          <w:rFonts w:ascii="Calibri" w:hAnsi="Calibri"/>
          <w:sz w:val="22"/>
          <w:szCs w:val="22"/>
        </w:rPr>
      </w:pPr>
      <w:r w:rsidRPr="00F320F1">
        <w:t>6.</w:t>
      </w:r>
      <w:r>
        <w:rPr>
          <w:rFonts w:ascii="Calibri" w:hAnsi="Calibri"/>
          <w:sz w:val="22"/>
          <w:szCs w:val="22"/>
        </w:rPr>
        <w:tab/>
      </w:r>
      <w:r>
        <w:t>Annual Title VI Certification and Assurance</w:t>
      </w:r>
      <w:r>
        <w:tab/>
      </w:r>
      <w:r w:rsidR="00E46099">
        <w:fldChar w:fldCharType="begin"/>
      </w:r>
      <w:r>
        <w:instrText xml:space="preserve"> PAGEREF _Toc253152158 \h </w:instrText>
      </w:r>
      <w:r w:rsidR="00E46099">
        <w:fldChar w:fldCharType="separate"/>
      </w:r>
      <w:r w:rsidR="00B5280B">
        <w:t>26</w:t>
      </w:r>
      <w:r w:rsidR="00E46099">
        <w:fldChar w:fldCharType="end"/>
      </w:r>
    </w:p>
    <w:p w:rsidR="00D526D1" w:rsidRDefault="00D526D1">
      <w:pPr>
        <w:pStyle w:val="TOC2"/>
        <w:rPr>
          <w:rFonts w:ascii="Calibri" w:hAnsi="Calibri"/>
          <w:sz w:val="22"/>
          <w:szCs w:val="22"/>
        </w:rPr>
      </w:pPr>
      <w:r w:rsidRPr="00F320F1">
        <w:t>7.</w:t>
      </w:r>
      <w:r>
        <w:rPr>
          <w:rFonts w:ascii="Calibri" w:hAnsi="Calibri"/>
          <w:sz w:val="22"/>
          <w:szCs w:val="22"/>
        </w:rPr>
        <w:tab/>
      </w:r>
      <w:r>
        <w:t>Environmental Justice Analysis of Construction Projects</w:t>
      </w:r>
      <w:r>
        <w:tab/>
      </w:r>
      <w:r w:rsidR="00E46099">
        <w:fldChar w:fldCharType="begin"/>
      </w:r>
      <w:r>
        <w:instrText xml:space="preserve"> PAGEREF _Toc253152159 \h </w:instrText>
      </w:r>
      <w:r w:rsidR="00E46099">
        <w:fldChar w:fldCharType="separate"/>
      </w:r>
      <w:r w:rsidR="00B5280B">
        <w:t>27</w:t>
      </w:r>
      <w:r w:rsidR="00E46099">
        <w:fldChar w:fldCharType="end"/>
      </w:r>
    </w:p>
    <w:p w:rsidR="00D526D1" w:rsidRDefault="00D526D1">
      <w:pPr>
        <w:pStyle w:val="TOC2"/>
        <w:rPr>
          <w:rFonts w:ascii="Calibri" w:hAnsi="Calibri"/>
          <w:sz w:val="22"/>
          <w:szCs w:val="22"/>
        </w:rPr>
      </w:pPr>
      <w:r w:rsidRPr="00F320F1">
        <w:t>8.</w:t>
      </w:r>
      <w:r>
        <w:rPr>
          <w:rFonts w:ascii="Calibri" w:hAnsi="Calibri"/>
          <w:sz w:val="22"/>
          <w:szCs w:val="22"/>
        </w:rPr>
        <w:tab/>
      </w:r>
      <w:r>
        <w:t>Submit Title VI Program</w:t>
      </w:r>
      <w:r>
        <w:tab/>
      </w:r>
      <w:r w:rsidR="00E46099">
        <w:fldChar w:fldCharType="begin"/>
      </w:r>
      <w:r>
        <w:instrText xml:space="preserve"> PAGEREF _Toc253152160 \h </w:instrText>
      </w:r>
      <w:r w:rsidR="00E46099">
        <w:fldChar w:fldCharType="separate"/>
      </w:r>
      <w:r w:rsidR="00B5280B">
        <w:t>28</w:t>
      </w:r>
      <w:r w:rsidR="00E46099">
        <w:fldChar w:fldCharType="end"/>
      </w:r>
    </w:p>
    <w:p w:rsidR="00D526D1" w:rsidRDefault="00D526D1">
      <w:pPr>
        <w:pStyle w:val="TOC2"/>
        <w:rPr>
          <w:rFonts w:ascii="Calibri" w:hAnsi="Calibri"/>
          <w:sz w:val="22"/>
          <w:szCs w:val="22"/>
        </w:rPr>
      </w:pPr>
      <w:r w:rsidRPr="00F320F1">
        <w:t>9.</w:t>
      </w:r>
      <w:r>
        <w:rPr>
          <w:rFonts w:ascii="Calibri" w:hAnsi="Calibri"/>
          <w:sz w:val="22"/>
          <w:szCs w:val="22"/>
        </w:rPr>
        <w:tab/>
      </w:r>
      <w:r>
        <w:t>Statewide Planning Activities</w:t>
      </w:r>
      <w:r>
        <w:tab/>
      </w:r>
      <w:r w:rsidR="00E46099">
        <w:fldChar w:fldCharType="begin"/>
      </w:r>
      <w:r>
        <w:instrText xml:space="preserve"> PAGEREF _Toc253152161 \h </w:instrText>
      </w:r>
      <w:r w:rsidR="00E46099">
        <w:fldChar w:fldCharType="separate"/>
      </w:r>
      <w:r w:rsidR="00B5280B">
        <w:t>31</w:t>
      </w:r>
      <w:r w:rsidR="00E46099">
        <w:fldChar w:fldCharType="end"/>
      </w:r>
    </w:p>
    <w:p w:rsidR="00D526D1" w:rsidRDefault="00D526D1">
      <w:pPr>
        <w:pStyle w:val="TOC2"/>
        <w:rPr>
          <w:rFonts w:ascii="Calibri" w:hAnsi="Calibri"/>
          <w:sz w:val="22"/>
          <w:szCs w:val="22"/>
        </w:rPr>
      </w:pPr>
      <w:r w:rsidRPr="00F320F1">
        <w:t>10.</w:t>
      </w:r>
      <w:r>
        <w:rPr>
          <w:rFonts w:ascii="Calibri" w:hAnsi="Calibri"/>
          <w:sz w:val="22"/>
          <w:szCs w:val="22"/>
        </w:rPr>
        <w:tab/>
      </w:r>
      <w:r>
        <w:t>Program Administration</w:t>
      </w:r>
      <w:r>
        <w:tab/>
      </w:r>
      <w:r w:rsidR="00E46099">
        <w:fldChar w:fldCharType="begin"/>
      </w:r>
      <w:r>
        <w:instrText xml:space="preserve"> PAGEREF _Toc253152162 \h </w:instrText>
      </w:r>
      <w:r w:rsidR="00E46099">
        <w:fldChar w:fldCharType="separate"/>
      </w:r>
      <w:r w:rsidR="00B5280B">
        <w:t>32</w:t>
      </w:r>
      <w:r w:rsidR="00E46099">
        <w:fldChar w:fldCharType="end"/>
      </w:r>
    </w:p>
    <w:p w:rsidR="00D526D1" w:rsidRDefault="00D526D1">
      <w:pPr>
        <w:pStyle w:val="TOC2"/>
        <w:rPr>
          <w:rFonts w:ascii="Calibri" w:hAnsi="Calibri"/>
          <w:sz w:val="22"/>
          <w:szCs w:val="22"/>
        </w:rPr>
      </w:pPr>
      <w:r w:rsidRPr="00F320F1">
        <w:t>11.</w:t>
      </w:r>
      <w:r>
        <w:rPr>
          <w:rFonts w:ascii="Calibri" w:hAnsi="Calibri"/>
          <w:sz w:val="22"/>
          <w:szCs w:val="22"/>
        </w:rPr>
        <w:tab/>
      </w:r>
      <w:r>
        <w:t>Providing Assistance to Subrecipients</w:t>
      </w:r>
      <w:r>
        <w:tab/>
      </w:r>
      <w:r w:rsidR="00E46099">
        <w:fldChar w:fldCharType="begin"/>
      </w:r>
      <w:r>
        <w:instrText xml:space="preserve"> PAGEREF _Toc253152163 \h </w:instrText>
      </w:r>
      <w:r w:rsidR="00E46099">
        <w:fldChar w:fldCharType="separate"/>
      </w:r>
      <w:r w:rsidR="00B5280B">
        <w:t>36</w:t>
      </w:r>
      <w:r w:rsidR="00E46099">
        <w:fldChar w:fldCharType="end"/>
      </w:r>
    </w:p>
    <w:p w:rsidR="00D526D1" w:rsidRDefault="00D526D1">
      <w:pPr>
        <w:pStyle w:val="TOC2"/>
        <w:rPr>
          <w:rFonts w:ascii="Calibri" w:hAnsi="Calibri"/>
          <w:sz w:val="22"/>
          <w:szCs w:val="22"/>
        </w:rPr>
      </w:pPr>
      <w:r w:rsidRPr="00F320F1">
        <w:t>12.</w:t>
      </w:r>
      <w:r>
        <w:rPr>
          <w:rFonts w:ascii="Calibri" w:hAnsi="Calibri"/>
          <w:sz w:val="22"/>
          <w:szCs w:val="22"/>
        </w:rPr>
        <w:tab/>
      </w:r>
      <w:r>
        <w:t>Monitoring Subrecipients</w:t>
      </w:r>
      <w:r>
        <w:tab/>
      </w:r>
      <w:r w:rsidR="00E46099">
        <w:fldChar w:fldCharType="begin"/>
      </w:r>
      <w:r>
        <w:instrText xml:space="preserve"> PAGEREF _Toc253152164 \h </w:instrText>
      </w:r>
      <w:r w:rsidR="00E46099">
        <w:fldChar w:fldCharType="separate"/>
      </w:r>
      <w:r w:rsidR="00B5280B">
        <w:t>38</w:t>
      </w:r>
      <w:r w:rsidR="00E46099">
        <w:fldChar w:fldCharType="end"/>
      </w:r>
    </w:p>
    <w:p w:rsidR="00D526D1" w:rsidRDefault="00D526D1">
      <w:pPr>
        <w:pStyle w:val="TOC1"/>
        <w:rPr>
          <w:rFonts w:ascii="Calibri" w:hAnsi="Calibri"/>
          <w:b w:val="0"/>
          <w:sz w:val="22"/>
          <w:szCs w:val="22"/>
        </w:rPr>
      </w:pPr>
      <w:r w:rsidRPr="00F320F1">
        <w:t>VII.</w:t>
      </w:r>
      <w:r>
        <w:rPr>
          <w:rFonts w:ascii="Calibri" w:hAnsi="Calibri"/>
          <w:b w:val="0"/>
          <w:sz w:val="22"/>
          <w:szCs w:val="22"/>
        </w:rPr>
        <w:tab/>
      </w:r>
      <w:r>
        <w:t>SUMMARY OF FINDINGS AND CORRECTIVE ACTIONS</w:t>
      </w:r>
      <w:r>
        <w:tab/>
      </w:r>
      <w:r w:rsidR="00E46099">
        <w:fldChar w:fldCharType="begin"/>
      </w:r>
      <w:r>
        <w:instrText xml:space="preserve"> PAGEREF _Toc253152165 \h </w:instrText>
      </w:r>
      <w:r w:rsidR="00E46099">
        <w:fldChar w:fldCharType="separate"/>
      </w:r>
      <w:r w:rsidR="00B5280B">
        <w:t>40</w:t>
      </w:r>
      <w:r w:rsidR="00E46099">
        <w:fldChar w:fldCharType="end"/>
      </w:r>
    </w:p>
    <w:p w:rsidR="00D526D1" w:rsidRDefault="00D526D1">
      <w:pPr>
        <w:pStyle w:val="TOC1"/>
        <w:rPr>
          <w:rFonts w:ascii="Calibri" w:hAnsi="Calibri"/>
          <w:b w:val="0"/>
          <w:sz w:val="22"/>
          <w:szCs w:val="22"/>
        </w:rPr>
      </w:pPr>
      <w:r w:rsidRPr="00F320F1">
        <w:t>VIII.</w:t>
      </w:r>
      <w:r>
        <w:rPr>
          <w:rFonts w:ascii="Calibri" w:hAnsi="Calibri"/>
          <w:b w:val="0"/>
          <w:sz w:val="22"/>
          <w:szCs w:val="22"/>
        </w:rPr>
        <w:tab/>
      </w:r>
      <w:r>
        <w:t>ATTENDEES</w:t>
      </w:r>
      <w:r>
        <w:tab/>
      </w:r>
      <w:r w:rsidR="00E46099">
        <w:fldChar w:fldCharType="begin"/>
      </w:r>
      <w:r>
        <w:instrText xml:space="preserve"> PAGEREF _Toc253152166 \h </w:instrText>
      </w:r>
      <w:r w:rsidR="00E46099">
        <w:fldChar w:fldCharType="separate"/>
      </w:r>
      <w:r w:rsidR="00B5280B">
        <w:t>44</w:t>
      </w:r>
      <w:r w:rsidR="00E46099">
        <w:fldChar w:fldCharType="end"/>
      </w:r>
    </w:p>
    <w:p w:rsidR="00F80A8D" w:rsidRDefault="00E46099" w:rsidP="009A52A0">
      <w:pPr>
        <w:pStyle w:val="TOC1"/>
        <w:sectPr w:rsidR="00F80A8D" w:rsidSect="00035671">
          <w:headerReference w:type="default" r:id="rId8"/>
          <w:footerReference w:type="even" r:id="rId9"/>
          <w:footerReference w:type="default" r:id="rId10"/>
          <w:footerReference w:type="first" r:id="rId11"/>
          <w:pgSz w:w="12240" w:h="15840" w:code="1"/>
          <w:pgMar w:top="1440" w:right="1440" w:bottom="1440" w:left="1440" w:header="720" w:footer="144" w:gutter="0"/>
          <w:pgNumType w:start="1"/>
          <w:cols w:space="720"/>
          <w:titlePg/>
          <w:docGrid w:linePitch="272"/>
        </w:sectPr>
      </w:pPr>
      <w:r>
        <w:fldChar w:fldCharType="end"/>
      </w:r>
    </w:p>
    <w:p w:rsidR="00F80A8D" w:rsidRDefault="00F80A8D">
      <w:pPr>
        <w:pStyle w:val="BHLevel1"/>
        <w:rPr>
          <w:sz w:val="28"/>
          <w:szCs w:val="28"/>
        </w:rPr>
      </w:pPr>
      <w:bookmarkStart w:id="0" w:name="_Toc106790237"/>
      <w:bookmarkStart w:id="1" w:name="_Toc253152147"/>
      <w:r>
        <w:rPr>
          <w:sz w:val="28"/>
          <w:szCs w:val="28"/>
        </w:rPr>
        <w:lastRenderedPageBreak/>
        <w:t>GENERAL INFORMATION</w:t>
      </w:r>
      <w:bookmarkEnd w:id="0"/>
      <w:bookmarkEnd w:id="1"/>
    </w:p>
    <w:p w:rsidR="006C274C" w:rsidRDefault="006C274C">
      <w:pPr>
        <w:ind w:left="2880" w:hanging="2880"/>
        <w:rPr>
          <w:sz w:val="28"/>
        </w:rPr>
      </w:pPr>
    </w:p>
    <w:p w:rsidR="006C274C" w:rsidRDefault="006C274C" w:rsidP="006C274C">
      <w:pPr>
        <w:ind w:left="2880" w:hanging="2880"/>
        <w:rPr>
          <w:sz w:val="28"/>
          <w:szCs w:val="28"/>
        </w:rPr>
      </w:pPr>
      <w:r>
        <w:rPr>
          <w:sz w:val="28"/>
        </w:rPr>
        <w:t>Grant Recipient:</w:t>
      </w:r>
      <w:r>
        <w:rPr>
          <w:sz w:val="28"/>
        </w:rPr>
        <w:tab/>
      </w:r>
      <w:r>
        <w:rPr>
          <w:sz w:val="28"/>
          <w:szCs w:val="28"/>
        </w:rPr>
        <w:t>Utah Department of Transportation (UDOT)</w:t>
      </w:r>
    </w:p>
    <w:p w:rsidR="006C274C" w:rsidRDefault="006C274C" w:rsidP="006C274C">
      <w:pPr>
        <w:rPr>
          <w:sz w:val="28"/>
          <w:szCs w:val="28"/>
        </w:rPr>
      </w:pPr>
    </w:p>
    <w:p w:rsidR="006C274C" w:rsidRDefault="006C274C" w:rsidP="006C274C">
      <w:pPr>
        <w:pStyle w:val="NumberList"/>
        <w:rPr>
          <w:noProof w:val="0"/>
          <w:sz w:val="28"/>
        </w:rPr>
      </w:pPr>
      <w:r>
        <w:rPr>
          <w:noProof w:val="0"/>
          <w:sz w:val="28"/>
        </w:rPr>
        <w:t>City/State:</w:t>
      </w:r>
      <w:r>
        <w:rPr>
          <w:noProof w:val="0"/>
          <w:sz w:val="28"/>
        </w:rPr>
        <w:tab/>
      </w:r>
      <w:r>
        <w:rPr>
          <w:noProof w:val="0"/>
          <w:sz w:val="28"/>
        </w:rPr>
        <w:tab/>
      </w:r>
      <w:r>
        <w:rPr>
          <w:noProof w:val="0"/>
          <w:sz w:val="28"/>
        </w:rPr>
        <w:tab/>
        <w:t>Salt Lake City, Utah</w:t>
      </w:r>
    </w:p>
    <w:p w:rsidR="006C274C" w:rsidRDefault="006C274C" w:rsidP="006C274C">
      <w:pPr>
        <w:rPr>
          <w:sz w:val="28"/>
        </w:rPr>
      </w:pPr>
    </w:p>
    <w:p w:rsidR="006C274C" w:rsidRDefault="006C274C" w:rsidP="006C274C">
      <w:pPr>
        <w:rPr>
          <w:sz w:val="28"/>
        </w:rPr>
      </w:pPr>
      <w:r>
        <w:rPr>
          <w:sz w:val="28"/>
        </w:rPr>
        <w:t>Grantee Number:</w:t>
      </w:r>
      <w:r>
        <w:rPr>
          <w:sz w:val="28"/>
        </w:rPr>
        <w:tab/>
      </w:r>
      <w:r>
        <w:rPr>
          <w:sz w:val="28"/>
        </w:rPr>
        <w:tab/>
        <w:t>1164</w:t>
      </w:r>
    </w:p>
    <w:p w:rsidR="006C274C" w:rsidRDefault="006C274C" w:rsidP="006C274C">
      <w:pPr>
        <w:rPr>
          <w:sz w:val="28"/>
        </w:rPr>
      </w:pPr>
    </w:p>
    <w:p w:rsidR="006C274C" w:rsidRDefault="006C274C" w:rsidP="006C274C">
      <w:pPr>
        <w:rPr>
          <w:rFonts w:cs="Tahoma"/>
          <w:sz w:val="28"/>
          <w:szCs w:val="28"/>
        </w:rPr>
      </w:pPr>
      <w:r>
        <w:rPr>
          <w:sz w:val="28"/>
        </w:rPr>
        <w:t xml:space="preserve">Executive Official:  </w:t>
      </w:r>
      <w:r>
        <w:rPr>
          <w:sz w:val="28"/>
        </w:rPr>
        <w:tab/>
      </w:r>
      <w:r>
        <w:rPr>
          <w:rFonts w:cs="Tahoma"/>
          <w:sz w:val="28"/>
          <w:szCs w:val="28"/>
        </w:rPr>
        <w:t xml:space="preserve">Mr. John R. </w:t>
      </w:r>
      <w:proofErr w:type="spellStart"/>
      <w:r>
        <w:rPr>
          <w:rFonts w:cs="Tahoma"/>
          <w:sz w:val="28"/>
          <w:szCs w:val="28"/>
        </w:rPr>
        <w:t>Njord</w:t>
      </w:r>
      <w:proofErr w:type="spellEnd"/>
      <w:r>
        <w:rPr>
          <w:rFonts w:cs="Tahoma"/>
          <w:sz w:val="28"/>
          <w:szCs w:val="28"/>
        </w:rPr>
        <w:t>, P.E.</w:t>
      </w:r>
    </w:p>
    <w:p w:rsidR="006C274C" w:rsidRDefault="006C274C" w:rsidP="006C274C">
      <w:pPr>
        <w:ind w:left="2880"/>
        <w:rPr>
          <w:rFonts w:cs="Tahoma"/>
          <w:sz w:val="28"/>
          <w:szCs w:val="28"/>
        </w:rPr>
      </w:pPr>
      <w:r>
        <w:rPr>
          <w:rFonts w:cs="Tahoma"/>
          <w:sz w:val="28"/>
          <w:szCs w:val="28"/>
        </w:rPr>
        <w:t>Executive Director</w:t>
      </w:r>
    </w:p>
    <w:p w:rsidR="006C274C" w:rsidRPr="005B389A" w:rsidRDefault="006C274C" w:rsidP="006C274C">
      <w:pPr>
        <w:ind w:left="2880"/>
        <w:rPr>
          <w:rFonts w:cs="Tahoma"/>
          <w:sz w:val="28"/>
          <w:szCs w:val="28"/>
        </w:rPr>
      </w:pPr>
      <w:r>
        <w:rPr>
          <w:rFonts w:cs="Tahoma"/>
          <w:sz w:val="28"/>
          <w:szCs w:val="28"/>
        </w:rPr>
        <w:t>Utah Department of Transportation</w:t>
      </w:r>
    </w:p>
    <w:p w:rsidR="006C274C" w:rsidRPr="005B389A" w:rsidRDefault="006C274C" w:rsidP="006C274C">
      <w:pPr>
        <w:ind w:left="2880"/>
        <w:rPr>
          <w:rFonts w:cs="Tahoma"/>
          <w:sz w:val="28"/>
          <w:szCs w:val="28"/>
        </w:rPr>
      </w:pPr>
      <w:r>
        <w:rPr>
          <w:rFonts w:cs="Tahoma"/>
          <w:sz w:val="28"/>
          <w:szCs w:val="28"/>
        </w:rPr>
        <w:t>4501 South 2700 West</w:t>
      </w:r>
    </w:p>
    <w:p w:rsidR="006C274C" w:rsidRPr="005B389A" w:rsidRDefault="006C274C" w:rsidP="006C274C">
      <w:pPr>
        <w:ind w:left="2880"/>
        <w:rPr>
          <w:rFonts w:cs="Tahoma"/>
          <w:sz w:val="28"/>
          <w:szCs w:val="28"/>
        </w:rPr>
      </w:pPr>
      <w:r>
        <w:rPr>
          <w:rFonts w:cs="Tahoma"/>
          <w:sz w:val="28"/>
          <w:szCs w:val="28"/>
        </w:rPr>
        <w:t>Salt Lake City, UT 84119-5998</w:t>
      </w:r>
    </w:p>
    <w:p w:rsidR="006C274C" w:rsidRDefault="006C274C" w:rsidP="006C274C">
      <w:pPr>
        <w:ind w:left="2880"/>
        <w:jc w:val="both"/>
        <w:rPr>
          <w:sz w:val="28"/>
          <w:szCs w:val="28"/>
        </w:rPr>
      </w:pPr>
    </w:p>
    <w:p w:rsidR="006C274C" w:rsidRDefault="006C274C" w:rsidP="006C274C">
      <w:pPr>
        <w:rPr>
          <w:sz w:val="28"/>
          <w:szCs w:val="28"/>
        </w:rPr>
      </w:pPr>
      <w:r>
        <w:rPr>
          <w:sz w:val="28"/>
          <w:szCs w:val="28"/>
        </w:rPr>
        <w:t>Report Prepared By:</w:t>
      </w:r>
      <w:r>
        <w:rPr>
          <w:sz w:val="28"/>
          <w:szCs w:val="28"/>
        </w:rPr>
        <w:tab/>
      </w:r>
      <w:r w:rsidR="00740062">
        <w:rPr>
          <w:sz w:val="28"/>
          <w:szCs w:val="28"/>
        </w:rPr>
        <w:t>The DMP Group</w:t>
      </w:r>
      <w:r>
        <w:rPr>
          <w:sz w:val="28"/>
          <w:szCs w:val="28"/>
        </w:rPr>
        <w:t>, LLC</w:t>
      </w:r>
    </w:p>
    <w:p w:rsidR="006C274C" w:rsidRDefault="006C274C" w:rsidP="006C274C">
      <w:pPr>
        <w:rPr>
          <w:sz w:val="28"/>
          <w:szCs w:val="28"/>
        </w:rPr>
      </w:pPr>
      <w:r>
        <w:rPr>
          <w:sz w:val="28"/>
          <w:szCs w:val="28"/>
        </w:rPr>
        <w:tab/>
      </w:r>
      <w:r>
        <w:rPr>
          <w:sz w:val="28"/>
          <w:szCs w:val="28"/>
        </w:rPr>
        <w:tab/>
      </w:r>
      <w:r>
        <w:rPr>
          <w:sz w:val="28"/>
          <w:szCs w:val="28"/>
        </w:rPr>
        <w:tab/>
      </w:r>
      <w:r>
        <w:rPr>
          <w:sz w:val="28"/>
          <w:szCs w:val="28"/>
        </w:rPr>
        <w:tab/>
      </w:r>
      <w:r w:rsidR="004C0104">
        <w:rPr>
          <w:sz w:val="28"/>
          <w:szCs w:val="28"/>
        </w:rPr>
        <w:t>5600 Colorado Avenue NW</w:t>
      </w:r>
    </w:p>
    <w:p w:rsidR="006C274C" w:rsidRDefault="006C274C" w:rsidP="006C274C">
      <w:pPr>
        <w:rPr>
          <w:sz w:val="28"/>
          <w:szCs w:val="28"/>
        </w:rPr>
      </w:pPr>
      <w:r>
        <w:rPr>
          <w:sz w:val="28"/>
          <w:szCs w:val="28"/>
        </w:rPr>
        <w:tab/>
      </w:r>
      <w:r>
        <w:rPr>
          <w:sz w:val="28"/>
          <w:szCs w:val="28"/>
        </w:rPr>
        <w:tab/>
      </w:r>
      <w:r>
        <w:rPr>
          <w:sz w:val="28"/>
          <w:szCs w:val="28"/>
        </w:rPr>
        <w:tab/>
      </w:r>
      <w:r>
        <w:rPr>
          <w:sz w:val="28"/>
          <w:szCs w:val="28"/>
        </w:rPr>
        <w:tab/>
      </w:r>
      <w:r w:rsidR="004C0104">
        <w:rPr>
          <w:sz w:val="28"/>
          <w:szCs w:val="28"/>
        </w:rPr>
        <w:t>Washington</w:t>
      </w:r>
      <w:r>
        <w:rPr>
          <w:sz w:val="28"/>
          <w:szCs w:val="28"/>
        </w:rPr>
        <w:t xml:space="preserve">, </w:t>
      </w:r>
      <w:r w:rsidR="004C0104">
        <w:rPr>
          <w:sz w:val="28"/>
          <w:szCs w:val="28"/>
        </w:rPr>
        <w:t>DC</w:t>
      </w:r>
      <w:r>
        <w:rPr>
          <w:sz w:val="28"/>
          <w:szCs w:val="28"/>
        </w:rPr>
        <w:t xml:space="preserve"> 20</w:t>
      </w:r>
      <w:r w:rsidR="004C0104">
        <w:rPr>
          <w:sz w:val="28"/>
          <w:szCs w:val="28"/>
        </w:rPr>
        <w:t>0</w:t>
      </w:r>
      <w:r>
        <w:rPr>
          <w:sz w:val="28"/>
          <w:szCs w:val="28"/>
        </w:rPr>
        <w:t>1</w:t>
      </w:r>
      <w:r w:rsidR="004C0104">
        <w:rPr>
          <w:sz w:val="28"/>
          <w:szCs w:val="28"/>
        </w:rPr>
        <w:t>1</w:t>
      </w:r>
    </w:p>
    <w:p w:rsidR="006C274C" w:rsidRDefault="006C274C" w:rsidP="006C274C">
      <w:pPr>
        <w:rPr>
          <w:sz w:val="28"/>
          <w:szCs w:val="28"/>
        </w:rPr>
      </w:pPr>
    </w:p>
    <w:p w:rsidR="006C274C" w:rsidRDefault="006C274C" w:rsidP="006C274C">
      <w:pPr>
        <w:rPr>
          <w:sz w:val="28"/>
          <w:szCs w:val="28"/>
        </w:rPr>
      </w:pPr>
      <w:r>
        <w:rPr>
          <w:sz w:val="28"/>
          <w:szCs w:val="28"/>
        </w:rPr>
        <w:t>Site Visit Dates:</w:t>
      </w:r>
      <w:r>
        <w:rPr>
          <w:sz w:val="28"/>
          <w:szCs w:val="28"/>
        </w:rPr>
        <w:tab/>
      </w:r>
      <w:r>
        <w:rPr>
          <w:sz w:val="28"/>
          <w:szCs w:val="28"/>
        </w:rPr>
        <w:tab/>
        <w:t>May 3 – 6, 2010</w:t>
      </w:r>
    </w:p>
    <w:p w:rsidR="006C274C" w:rsidRDefault="006C274C" w:rsidP="006C274C">
      <w:pPr>
        <w:rPr>
          <w:sz w:val="28"/>
          <w:szCs w:val="28"/>
        </w:rPr>
      </w:pPr>
    </w:p>
    <w:p w:rsidR="006C274C" w:rsidRDefault="006C274C" w:rsidP="006C274C">
      <w:pPr>
        <w:rPr>
          <w:sz w:val="28"/>
          <w:szCs w:val="28"/>
        </w:rPr>
      </w:pPr>
      <w:r>
        <w:rPr>
          <w:sz w:val="28"/>
          <w:szCs w:val="28"/>
        </w:rPr>
        <w:t xml:space="preserve">Compliance Review </w:t>
      </w:r>
    </w:p>
    <w:p w:rsidR="006C274C" w:rsidRDefault="006C274C" w:rsidP="006C274C">
      <w:pPr>
        <w:rPr>
          <w:sz w:val="28"/>
          <w:szCs w:val="28"/>
        </w:rPr>
      </w:pPr>
      <w:r>
        <w:rPr>
          <w:sz w:val="28"/>
          <w:szCs w:val="28"/>
        </w:rPr>
        <w:t>Team Members:</w:t>
      </w:r>
      <w:r>
        <w:rPr>
          <w:sz w:val="28"/>
          <w:szCs w:val="28"/>
        </w:rPr>
        <w:tab/>
      </w:r>
      <w:r>
        <w:rPr>
          <w:sz w:val="28"/>
          <w:szCs w:val="28"/>
        </w:rPr>
        <w:tab/>
        <w:t>John Potts, Lead Reviewer</w:t>
      </w:r>
    </w:p>
    <w:p w:rsidR="006C274C" w:rsidRDefault="006C274C" w:rsidP="006C274C">
      <w:pPr>
        <w:ind w:left="2160" w:firstLine="720"/>
        <w:rPr>
          <w:sz w:val="28"/>
          <w:szCs w:val="28"/>
        </w:rPr>
      </w:pPr>
      <w:r>
        <w:rPr>
          <w:sz w:val="28"/>
          <w:szCs w:val="28"/>
        </w:rPr>
        <w:t>Dana Lucas, Reviewer</w:t>
      </w:r>
    </w:p>
    <w:p w:rsidR="00F80A8D" w:rsidRDefault="00F80A8D">
      <w:pPr>
        <w:rPr>
          <w:sz w:val="28"/>
          <w:szCs w:val="28"/>
        </w:rPr>
      </w:pPr>
    </w:p>
    <w:p w:rsidR="00F80A8D" w:rsidRPr="005F1E85" w:rsidRDefault="00F80A8D">
      <w:pPr>
        <w:rPr>
          <w:sz w:val="4"/>
          <w:szCs w:val="4"/>
        </w:rPr>
      </w:pPr>
      <w:r>
        <w:rPr>
          <w:sz w:val="28"/>
          <w:szCs w:val="28"/>
        </w:rPr>
        <w:br w:type="page"/>
      </w:r>
    </w:p>
    <w:p w:rsidR="00F80A8D" w:rsidRDefault="00F80A8D">
      <w:pPr>
        <w:pStyle w:val="BHLevel1"/>
        <w:rPr>
          <w:sz w:val="28"/>
          <w:szCs w:val="28"/>
        </w:rPr>
      </w:pPr>
      <w:bookmarkStart w:id="2" w:name="_Toc106790238"/>
      <w:bookmarkStart w:id="3" w:name="_Toc253152148"/>
      <w:r>
        <w:rPr>
          <w:sz w:val="28"/>
          <w:szCs w:val="28"/>
        </w:rPr>
        <w:lastRenderedPageBreak/>
        <w:t>JURISDICTION AND AUTHORITIES</w:t>
      </w:r>
      <w:bookmarkEnd w:id="2"/>
      <w:bookmarkEnd w:id="3"/>
    </w:p>
    <w:p w:rsidR="00F80A8D" w:rsidRDefault="00F80A8D">
      <w:pPr>
        <w:spacing w:line="360" w:lineRule="auto"/>
        <w:rPr>
          <w:sz w:val="28"/>
          <w:szCs w:val="28"/>
        </w:rPr>
      </w:pPr>
    </w:p>
    <w:p w:rsidR="00F80A8D" w:rsidRDefault="00F80A8D">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w:t>
      </w:r>
      <w:r w:rsidR="006C274C">
        <w:rPr>
          <w:sz w:val="28"/>
          <w:szCs w:val="28"/>
        </w:rPr>
        <w:t>Utah</w:t>
      </w:r>
      <w:r w:rsidR="000D0924">
        <w:rPr>
          <w:sz w:val="28"/>
          <w:szCs w:val="28"/>
        </w:rPr>
        <w:t xml:space="preserve"> Department of Transportation</w:t>
      </w:r>
      <w:r w:rsidR="005B389A">
        <w:rPr>
          <w:sz w:val="28"/>
          <w:szCs w:val="28"/>
        </w:rPr>
        <w:t xml:space="preserve"> </w:t>
      </w:r>
      <w:r>
        <w:rPr>
          <w:sz w:val="28"/>
        </w:rPr>
        <w:t>(</w:t>
      </w:r>
      <w:r w:rsidR="006C274C">
        <w:rPr>
          <w:sz w:val="28"/>
        </w:rPr>
        <w:t>UDOT</w:t>
      </w:r>
      <w:r>
        <w:rPr>
          <w:sz w:val="28"/>
        </w:rPr>
        <w:t>)</w:t>
      </w:r>
      <w:r>
        <w:rPr>
          <w:sz w:val="28"/>
          <w:szCs w:val="28"/>
        </w:rPr>
        <w:t xml:space="preserve"> is a recipient of FTA funding assistance and is therefore subject to the Title VI compliance conditions associated with the use of these funds pursuant to the following: </w:t>
      </w:r>
    </w:p>
    <w:p w:rsidR="008C1061" w:rsidRDefault="008C1061">
      <w:pPr>
        <w:spacing w:line="360" w:lineRule="auto"/>
        <w:jc w:val="both"/>
        <w:rPr>
          <w:sz w:val="28"/>
          <w:szCs w:val="28"/>
        </w:rPr>
      </w:pPr>
    </w:p>
    <w:p w:rsidR="00F80A8D" w:rsidRDefault="00F80A8D" w:rsidP="00724AFC">
      <w:pPr>
        <w:numPr>
          <w:ilvl w:val="0"/>
          <w:numId w:val="9"/>
        </w:numPr>
        <w:spacing w:after="120"/>
        <w:jc w:val="both"/>
        <w:rPr>
          <w:sz w:val="28"/>
        </w:rPr>
      </w:pPr>
      <w:r>
        <w:rPr>
          <w:sz w:val="28"/>
        </w:rPr>
        <w:t xml:space="preserve">Title VI of the Civil Rights Act of 1964 (42 U.S.C. Section 2000d). </w:t>
      </w:r>
    </w:p>
    <w:p w:rsidR="00F80A8D" w:rsidRDefault="00F80A8D" w:rsidP="00724AFC">
      <w:pPr>
        <w:numPr>
          <w:ilvl w:val="0"/>
          <w:numId w:val="9"/>
        </w:numPr>
        <w:spacing w:after="120"/>
        <w:jc w:val="both"/>
        <w:rPr>
          <w:sz w:val="28"/>
        </w:rPr>
      </w:pPr>
      <w:r>
        <w:rPr>
          <w:sz w:val="28"/>
        </w:rPr>
        <w:t xml:space="preserve">Federal Transit Laws, as amended (49 U.S.C. Chapter 53 et seq.). </w:t>
      </w:r>
    </w:p>
    <w:p w:rsidR="00F80A8D" w:rsidRDefault="00F80A8D" w:rsidP="00724AFC">
      <w:pPr>
        <w:numPr>
          <w:ilvl w:val="0"/>
          <w:numId w:val="9"/>
        </w:numPr>
        <w:spacing w:after="120"/>
        <w:jc w:val="both"/>
        <w:rPr>
          <w:sz w:val="28"/>
        </w:rPr>
      </w:pPr>
      <w:r>
        <w:rPr>
          <w:sz w:val="28"/>
        </w:rPr>
        <w:t xml:space="preserve">Uniform Relocation Assistance and Real Property Acquisition Policies Act of 1970, as amended (42 U.S.C. 4601, et seq.). </w:t>
      </w:r>
    </w:p>
    <w:p w:rsidR="00F80A8D" w:rsidRDefault="00F80A8D" w:rsidP="00724AFC">
      <w:pPr>
        <w:numPr>
          <w:ilvl w:val="0"/>
          <w:numId w:val="9"/>
        </w:numPr>
        <w:spacing w:after="120"/>
        <w:jc w:val="both"/>
        <w:rPr>
          <w:sz w:val="28"/>
        </w:rPr>
      </w:pPr>
      <w:r>
        <w:rPr>
          <w:sz w:val="28"/>
        </w:rPr>
        <w:t xml:space="preserve">Department of Justice regulation, 28 CFR </w:t>
      </w:r>
      <w:proofErr w:type="gramStart"/>
      <w:r>
        <w:rPr>
          <w:sz w:val="28"/>
        </w:rPr>
        <w:t>part</w:t>
      </w:r>
      <w:proofErr w:type="gramEnd"/>
      <w:r>
        <w:rPr>
          <w:sz w:val="28"/>
        </w:rPr>
        <w:t xml:space="preserve"> 42, Subpart F, “Coordination of Enforcement of Nondiscrimination in Federally-Assisted Programs” (December 1, 1976, unless otherwise noted). </w:t>
      </w:r>
    </w:p>
    <w:p w:rsidR="00F80A8D" w:rsidRDefault="00F80A8D" w:rsidP="00724AFC">
      <w:pPr>
        <w:numPr>
          <w:ilvl w:val="0"/>
          <w:numId w:val="9"/>
        </w:numPr>
        <w:spacing w:after="120"/>
        <w:jc w:val="both"/>
        <w:rPr>
          <w:sz w:val="28"/>
        </w:rPr>
      </w:pPr>
      <w:r>
        <w:rPr>
          <w:sz w:val="28"/>
        </w:rPr>
        <w:t xml:space="preserve">DOT regulation, 49 CFR part 21, “Nondiscrimination in Federally-Assisted Programs of the Department of Transportation—Effectuation of Title VI of the Civil Rights Act of 1964” (June 18, 1970, unless otherwise noted). </w:t>
      </w:r>
    </w:p>
    <w:p w:rsidR="00F80A8D" w:rsidRDefault="00F80A8D" w:rsidP="00724AFC">
      <w:pPr>
        <w:numPr>
          <w:ilvl w:val="0"/>
          <w:numId w:val="9"/>
        </w:numPr>
        <w:spacing w:after="120"/>
        <w:jc w:val="both"/>
        <w:rPr>
          <w:sz w:val="28"/>
        </w:rPr>
      </w:pPr>
      <w:r>
        <w:rPr>
          <w:sz w:val="28"/>
        </w:rPr>
        <w:t>DOT Order 5610.2, “</w:t>
      </w:r>
      <w:smartTag w:uri="urn:schemas-microsoft-com:office:smarttags" w:element="place">
        <w:smartTag w:uri="urn:schemas-microsoft-com:office:smarttags" w:element="country-region">
          <w:r>
            <w:rPr>
              <w:sz w:val="28"/>
            </w:rPr>
            <w:t>U.S.</w:t>
          </w:r>
        </w:smartTag>
      </w:smartTag>
      <w:r>
        <w:rPr>
          <w:sz w:val="28"/>
        </w:rPr>
        <w:t xml:space="preserve"> DOT Order on Environmental Justice to Address Environmental Justice in Minority Populations and Low-Income Populations,” (April 15, 1997). </w:t>
      </w:r>
    </w:p>
    <w:p w:rsidR="00F80A8D" w:rsidRDefault="00F80A8D" w:rsidP="00724AFC">
      <w:pPr>
        <w:numPr>
          <w:ilvl w:val="0"/>
          <w:numId w:val="9"/>
        </w:numPr>
        <w:spacing w:after="120"/>
        <w:jc w:val="both"/>
        <w:rPr>
          <w:sz w:val="28"/>
        </w:rPr>
      </w:pPr>
      <w:r>
        <w:rPr>
          <w:sz w:val="28"/>
        </w:rPr>
        <w:t xml:space="preserve">DOT Policy Guidance Concerning Recipients’ Responsibilities to Limited English Proficient Persons, (December 14, 2005). </w:t>
      </w:r>
    </w:p>
    <w:p w:rsidR="00F80A8D" w:rsidRDefault="00F80A8D" w:rsidP="00724AFC">
      <w:pPr>
        <w:numPr>
          <w:ilvl w:val="0"/>
          <w:numId w:val="9"/>
        </w:numPr>
        <w:jc w:val="both"/>
        <w:rPr>
          <w:bCs/>
          <w:sz w:val="28"/>
          <w:szCs w:val="28"/>
        </w:rPr>
      </w:pPr>
      <w:r>
        <w:rPr>
          <w:sz w:val="28"/>
        </w:rPr>
        <w:t>FTA Circular 4702.1A, “</w:t>
      </w:r>
      <w:r>
        <w:rPr>
          <w:bCs/>
          <w:sz w:val="28"/>
        </w:rPr>
        <w:t xml:space="preserve">Title VI and Title VI-Dependent Guidelines </w:t>
      </w:r>
      <w:proofErr w:type="gramStart"/>
      <w:r>
        <w:rPr>
          <w:bCs/>
          <w:sz w:val="28"/>
        </w:rPr>
        <w:t>For</w:t>
      </w:r>
      <w:proofErr w:type="gramEnd"/>
      <w:r>
        <w:rPr>
          <w:bCs/>
          <w:sz w:val="28"/>
        </w:rPr>
        <w:t xml:space="preserve"> Federal Transit Administration Recipients”, May 17, 2007.</w:t>
      </w:r>
    </w:p>
    <w:p w:rsidR="00F80A8D" w:rsidRDefault="00F80A8D">
      <w:pPr>
        <w:spacing w:line="360" w:lineRule="auto"/>
        <w:jc w:val="both"/>
        <w:rPr>
          <w:sz w:val="28"/>
          <w:szCs w:val="28"/>
        </w:rPr>
      </w:pPr>
    </w:p>
    <w:p w:rsidR="00F80A8D" w:rsidRDefault="00F80A8D" w:rsidP="004D1FBA">
      <w:pPr>
        <w:pStyle w:val="BHLevel1"/>
      </w:pPr>
      <w:bookmarkStart w:id="4" w:name="_Toc106790239"/>
      <w:r>
        <w:br w:type="page"/>
      </w:r>
      <w:bookmarkStart w:id="5" w:name="_Toc253152149"/>
      <w:r>
        <w:lastRenderedPageBreak/>
        <w:t>PURPOSE AND OBJECTIVES</w:t>
      </w:r>
      <w:bookmarkEnd w:id="4"/>
      <w:bookmarkEnd w:id="5"/>
      <w:r>
        <w:t xml:space="preserve"> </w:t>
      </w:r>
    </w:p>
    <w:p w:rsidR="00F80A8D" w:rsidRDefault="00F80A8D"/>
    <w:p w:rsidR="00F80A8D" w:rsidRDefault="00F80A8D">
      <w:pPr>
        <w:pStyle w:val="Heading4"/>
        <w:rPr>
          <w:sz w:val="28"/>
        </w:rPr>
      </w:pPr>
      <w:r>
        <w:rPr>
          <w:sz w:val="28"/>
        </w:rPr>
        <w:t>Purpose</w:t>
      </w:r>
    </w:p>
    <w:p w:rsidR="00F80A8D" w:rsidRDefault="00F80A8D"/>
    <w:p w:rsidR="00F80A8D" w:rsidRDefault="00F80A8D">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w:t>
      </w:r>
      <w:r w:rsidR="006C274C">
        <w:rPr>
          <w:sz w:val="28"/>
          <w:szCs w:val="28"/>
        </w:rPr>
        <w:t>UDOT</w:t>
      </w:r>
      <w:r>
        <w:rPr>
          <w:sz w:val="28"/>
          <w:szCs w:val="28"/>
        </w:rPr>
        <w:t xml:space="preserve">’s Title VI Program was necessary.  </w:t>
      </w:r>
    </w:p>
    <w:p w:rsidR="00F80A8D" w:rsidRDefault="00F80A8D">
      <w:pPr>
        <w:spacing w:line="360" w:lineRule="auto"/>
        <w:rPr>
          <w:b/>
          <w:sz w:val="28"/>
          <w:szCs w:val="28"/>
        </w:rPr>
      </w:pPr>
    </w:p>
    <w:p w:rsidR="00F80A8D" w:rsidRDefault="00F80A8D">
      <w:pPr>
        <w:spacing w:line="360" w:lineRule="auto"/>
        <w:rPr>
          <w:sz w:val="28"/>
        </w:rPr>
      </w:pPr>
      <w:r>
        <w:rPr>
          <w:sz w:val="28"/>
          <w:szCs w:val="28"/>
        </w:rPr>
        <w:t xml:space="preserve">The Office of Civil Rights authorized The DMP Group, LLC to conduct the Title VI Compliance Review of </w:t>
      </w:r>
      <w:r w:rsidR="006C274C">
        <w:rPr>
          <w:sz w:val="28"/>
          <w:szCs w:val="28"/>
        </w:rPr>
        <w:t>UDOT</w:t>
      </w:r>
      <w:r>
        <w:rPr>
          <w:sz w:val="28"/>
          <w:szCs w:val="28"/>
        </w:rPr>
        <w:t xml:space="preserve">.  The primary purpose of this Compliance Review was to determine the extent to which </w:t>
      </w:r>
      <w:r w:rsidR="006C274C">
        <w:rPr>
          <w:sz w:val="28"/>
          <w:szCs w:val="28"/>
        </w:rPr>
        <w:t>UDOT</w:t>
      </w:r>
      <w:r>
        <w:rPr>
          <w:sz w:val="28"/>
          <w:szCs w:val="28"/>
        </w:rPr>
        <w:t xml:space="preserve"> has met its General Reporting and Program-Specific Requirements</w:t>
      </w:r>
      <w:r w:rsidR="004C0104">
        <w:rPr>
          <w:sz w:val="28"/>
          <w:szCs w:val="28"/>
        </w:rPr>
        <w:t xml:space="preserve"> and Guidelines</w:t>
      </w:r>
      <w:r>
        <w:rPr>
          <w:sz w:val="28"/>
          <w:szCs w:val="28"/>
        </w:rPr>
        <w:t xml:space="preserve"> in accordance with FTA Circular 4702.1A, “</w:t>
      </w:r>
      <w:r w:rsidR="00C10267">
        <w:rPr>
          <w:bCs/>
          <w:sz w:val="28"/>
          <w:szCs w:val="28"/>
        </w:rPr>
        <w:t>Title VI a</w:t>
      </w:r>
      <w:r>
        <w:rPr>
          <w:bCs/>
          <w:sz w:val="28"/>
          <w:szCs w:val="28"/>
        </w:rPr>
        <w:t>nd</w:t>
      </w:r>
      <w:r w:rsidR="00C10267">
        <w:rPr>
          <w:bCs/>
          <w:sz w:val="28"/>
          <w:szCs w:val="28"/>
        </w:rPr>
        <w:t xml:space="preserve"> Title VI-Dependent Guidelines f</w:t>
      </w:r>
      <w:r>
        <w:rPr>
          <w:bCs/>
          <w:sz w:val="28"/>
          <w:szCs w:val="28"/>
        </w:rPr>
        <w:t>or Federal Transit Administration Recipients”</w:t>
      </w:r>
      <w:r>
        <w:rPr>
          <w:sz w:val="28"/>
          <w:szCs w:val="28"/>
        </w:rPr>
        <w:t xml:space="preserve">.  Members of the Compliance Review team also discussed with </w:t>
      </w:r>
      <w:r w:rsidR="006C274C">
        <w:rPr>
          <w:sz w:val="28"/>
          <w:szCs w:val="28"/>
        </w:rPr>
        <w:t>UDOT</w:t>
      </w:r>
      <w:r>
        <w:rPr>
          <w:sz w:val="28"/>
          <w:szCs w:val="28"/>
        </w:rPr>
        <w:t xml:space="preserve">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sidR="006C274C">
        <w:rPr>
          <w:sz w:val="28"/>
          <w:szCs w:val="28"/>
        </w:rPr>
        <w:t>UDOT</w:t>
      </w:r>
      <w:r>
        <w:rPr>
          <w:sz w:val="28"/>
        </w:rPr>
        <w:t>.</w:t>
      </w:r>
    </w:p>
    <w:p w:rsidR="00F80A8D" w:rsidRDefault="00F80A8D">
      <w:pPr>
        <w:pStyle w:val="Heading4"/>
        <w:spacing w:line="360" w:lineRule="auto"/>
        <w:rPr>
          <w:sz w:val="28"/>
          <w:szCs w:val="28"/>
        </w:rPr>
      </w:pPr>
    </w:p>
    <w:p w:rsidR="00F80A8D" w:rsidRDefault="00F80A8D">
      <w:pPr>
        <w:pStyle w:val="Heading4"/>
        <w:spacing w:line="360" w:lineRule="auto"/>
        <w:rPr>
          <w:sz w:val="28"/>
          <w:szCs w:val="28"/>
        </w:rPr>
      </w:pPr>
      <w:r>
        <w:rPr>
          <w:sz w:val="28"/>
          <w:szCs w:val="28"/>
        </w:rPr>
        <w:t>Objectives</w:t>
      </w:r>
    </w:p>
    <w:p w:rsidR="00F80A8D" w:rsidRDefault="00F80A8D">
      <w:pPr>
        <w:spacing w:line="360" w:lineRule="auto"/>
        <w:rPr>
          <w:sz w:val="28"/>
          <w:szCs w:val="28"/>
        </w:rPr>
      </w:pPr>
      <w:r>
        <w:rPr>
          <w:sz w:val="28"/>
          <w:szCs w:val="28"/>
        </w:rPr>
        <w:t>The objectives of FTA’s Title VI Program, as set forth in FTA Circular 4702.1A, “Title VI and Title VI-Dependent Guidelines for Federal Transit Administration Recipients,” are:</w:t>
      </w:r>
    </w:p>
    <w:p w:rsidR="00F80A8D" w:rsidRDefault="00F80A8D">
      <w:pPr>
        <w:spacing w:line="360" w:lineRule="auto"/>
        <w:rPr>
          <w:sz w:val="28"/>
          <w:szCs w:val="28"/>
        </w:rPr>
      </w:pP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Ensure that the level and quality of transportation service is provided without regard to race, color, or national origin;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Promote the full and fair participation of all affected populations in transportation decision making;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Prevent the denial, reduction, or delay in benefits related to programs and activities that benefit minority populations or low-income populations;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Ensure meaningful access to programs and activities by persons with limited English proficiency.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F80A8D" w:rsidRDefault="00F80A8D">
      <w:pPr>
        <w:pStyle w:val="BHLevel1"/>
        <w:numPr>
          <w:ilvl w:val="0"/>
          <w:numId w:val="0"/>
        </w:numPr>
        <w:spacing w:line="360" w:lineRule="auto"/>
        <w:ind w:left="360"/>
        <w:rPr>
          <w:sz w:val="28"/>
          <w:szCs w:val="28"/>
        </w:rPr>
      </w:pPr>
      <w:bookmarkStart w:id="6" w:name="_Toc177111266"/>
      <w:r>
        <w:rPr>
          <w:sz w:val="28"/>
          <w:szCs w:val="28"/>
        </w:rPr>
        <w:br w:type="page"/>
      </w:r>
      <w:bookmarkStart w:id="7" w:name="_Toc253152150"/>
      <w:bookmarkStart w:id="8" w:name="_Toc106790240"/>
      <w:r>
        <w:rPr>
          <w:sz w:val="28"/>
          <w:szCs w:val="28"/>
          <w:u w:val="none"/>
        </w:rPr>
        <w:lastRenderedPageBreak/>
        <w:t>IV.</w:t>
      </w:r>
      <w:r>
        <w:rPr>
          <w:sz w:val="28"/>
          <w:szCs w:val="28"/>
          <w:u w:val="none"/>
        </w:rPr>
        <w:tab/>
      </w:r>
      <w:r>
        <w:rPr>
          <w:sz w:val="28"/>
          <w:szCs w:val="28"/>
        </w:rPr>
        <w:t>BACKGROUND INFORMATION</w:t>
      </w:r>
      <w:bookmarkEnd w:id="7"/>
    </w:p>
    <w:p w:rsidR="00145C5E" w:rsidRPr="009B588B" w:rsidRDefault="00155FDB" w:rsidP="00C256EB">
      <w:pPr>
        <w:pStyle w:val="Heading3"/>
        <w:tabs>
          <w:tab w:val="left" w:pos="720"/>
          <w:tab w:val="left" w:pos="1620"/>
        </w:tabs>
        <w:spacing w:line="360" w:lineRule="auto"/>
        <w:rPr>
          <w:sz w:val="28"/>
          <w:szCs w:val="28"/>
        </w:rPr>
      </w:pPr>
      <w:bookmarkStart w:id="9" w:name="_Toc106790241"/>
      <w:bookmarkEnd w:id="6"/>
      <w:bookmarkEnd w:id="8"/>
      <w:r>
        <w:rPr>
          <w:sz w:val="28"/>
          <w:szCs w:val="28"/>
        </w:rPr>
        <w:t xml:space="preserve">The </w:t>
      </w:r>
      <w:r w:rsidR="00145C5E" w:rsidRPr="00C47E90">
        <w:rPr>
          <w:sz w:val="28"/>
          <w:szCs w:val="28"/>
        </w:rPr>
        <w:t xml:space="preserve">Utah Department of Transportation (UDOT) is a state agency that plans, develops, and maintains the statewide transportation network in Utah.  UDOT is the agency responsible for administering the </w:t>
      </w:r>
      <w:r>
        <w:rPr>
          <w:sz w:val="28"/>
          <w:szCs w:val="28"/>
        </w:rPr>
        <w:t xml:space="preserve">FTA </w:t>
      </w:r>
      <w:r w:rsidR="00145C5E" w:rsidRPr="00C47E90">
        <w:rPr>
          <w:sz w:val="28"/>
          <w:szCs w:val="28"/>
        </w:rPr>
        <w:t>Section 5304, 5310, 5311, 5316 and 5317 programs.  UDOT also plays an oversight role in the Section 5309 program and leads the dispute resolution process when disputes arise among direct recipients of Section 5309 funds.</w:t>
      </w:r>
      <w:r w:rsidR="004C0104">
        <w:rPr>
          <w:sz w:val="28"/>
          <w:szCs w:val="28"/>
        </w:rPr>
        <w:t xml:space="preserve">  </w:t>
      </w:r>
      <w:r w:rsidR="00145C5E" w:rsidRPr="00C47E90">
        <w:rPr>
          <w:sz w:val="28"/>
          <w:szCs w:val="28"/>
        </w:rPr>
        <w:t xml:space="preserve">The Utah Transportation Commission has final approval of projects.  The </w:t>
      </w:r>
      <w:r w:rsidR="004C0104">
        <w:rPr>
          <w:sz w:val="28"/>
          <w:szCs w:val="28"/>
        </w:rPr>
        <w:t>C</w:t>
      </w:r>
      <w:r w:rsidR="00145C5E" w:rsidRPr="00C47E90">
        <w:rPr>
          <w:sz w:val="28"/>
          <w:szCs w:val="28"/>
        </w:rPr>
        <w:t xml:space="preserve">ommissioners are appointed by the Governor. </w:t>
      </w:r>
    </w:p>
    <w:p w:rsidR="00155FDB" w:rsidRDefault="00145C5E" w:rsidP="00C256EB">
      <w:pPr>
        <w:pStyle w:val="Heading3"/>
        <w:tabs>
          <w:tab w:val="left" w:pos="720"/>
          <w:tab w:val="left" w:pos="1620"/>
        </w:tabs>
        <w:spacing w:line="360" w:lineRule="auto"/>
        <w:rPr>
          <w:sz w:val="28"/>
          <w:szCs w:val="28"/>
        </w:rPr>
      </w:pPr>
      <w:r w:rsidRPr="00C47E90">
        <w:rPr>
          <w:sz w:val="28"/>
          <w:szCs w:val="28"/>
        </w:rPr>
        <w:tab/>
      </w:r>
    </w:p>
    <w:p w:rsidR="00145C5E" w:rsidRPr="009B588B" w:rsidRDefault="00145C5E" w:rsidP="00C256EB">
      <w:pPr>
        <w:pStyle w:val="Heading3"/>
        <w:tabs>
          <w:tab w:val="left" w:pos="720"/>
          <w:tab w:val="left" w:pos="1620"/>
        </w:tabs>
        <w:spacing w:line="360" w:lineRule="auto"/>
        <w:rPr>
          <w:sz w:val="28"/>
          <w:szCs w:val="28"/>
        </w:rPr>
      </w:pPr>
      <w:r w:rsidRPr="00C47E90">
        <w:rPr>
          <w:sz w:val="28"/>
          <w:szCs w:val="28"/>
        </w:rPr>
        <w:t xml:space="preserve">The UDOT Systems Planning and Programming </w:t>
      </w:r>
      <w:r w:rsidR="004C0104">
        <w:rPr>
          <w:sz w:val="28"/>
          <w:szCs w:val="28"/>
        </w:rPr>
        <w:t>D</w:t>
      </w:r>
      <w:r w:rsidRPr="00C47E90">
        <w:rPr>
          <w:sz w:val="28"/>
          <w:szCs w:val="28"/>
        </w:rPr>
        <w:t xml:space="preserve">ivision </w:t>
      </w:r>
      <w:proofErr w:type="gramStart"/>
      <w:r w:rsidRPr="00C47E90">
        <w:rPr>
          <w:sz w:val="28"/>
          <w:szCs w:val="28"/>
        </w:rPr>
        <w:t>supports</w:t>
      </w:r>
      <w:proofErr w:type="gramEnd"/>
      <w:r w:rsidRPr="00C47E90">
        <w:rPr>
          <w:sz w:val="28"/>
          <w:szCs w:val="28"/>
        </w:rPr>
        <w:t xml:space="preserve"> UDOT’s overall efforts through four major business </w:t>
      </w:r>
      <w:r w:rsidR="00B66BF3">
        <w:rPr>
          <w:sz w:val="28"/>
          <w:szCs w:val="28"/>
        </w:rPr>
        <w:t>unit</w:t>
      </w:r>
      <w:r w:rsidRPr="00C47E90">
        <w:rPr>
          <w:sz w:val="28"/>
          <w:szCs w:val="28"/>
        </w:rPr>
        <w:t xml:space="preserve">s.  </w:t>
      </w:r>
      <w:r w:rsidR="004C0104">
        <w:rPr>
          <w:sz w:val="28"/>
          <w:szCs w:val="28"/>
        </w:rPr>
        <w:t xml:space="preserve">The </w:t>
      </w:r>
      <w:r w:rsidRPr="00C47E90">
        <w:rPr>
          <w:sz w:val="28"/>
          <w:szCs w:val="28"/>
        </w:rPr>
        <w:t xml:space="preserve">Public Transit Team (PTT) is the unit within the UDOT Systems Planning and Programming </w:t>
      </w:r>
      <w:r w:rsidR="004C0104">
        <w:rPr>
          <w:sz w:val="28"/>
          <w:szCs w:val="28"/>
        </w:rPr>
        <w:t>D</w:t>
      </w:r>
      <w:r w:rsidRPr="00C47E90">
        <w:rPr>
          <w:sz w:val="28"/>
          <w:szCs w:val="28"/>
        </w:rPr>
        <w:t xml:space="preserve">ivision responsible for administering and managing the </w:t>
      </w:r>
      <w:r w:rsidR="004C0104">
        <w:rPr>
          <w:sz w:val="28"/>
          <w:szCs w:val="28"/>
        </w:rPr>
        <w:t xml:space="preserve">FTA </w:t>
      </w:r>
      <w:r w:rsidRPr="00C47E90">
        <w:rPr>
          <w:sz w:val="28"/>
          <w:szCs w:val="28"/>
        </w:rPr>
        <w:t xml:space="preserve">Section 5310, 5311, 5316, and 5317 programs.  PTT also administers the Section 5304 Statewide Planning and Research Program that is part of the Consolidated Planning Grant transferred from FTA to the Federal Highway Administration (FHWA). </w:t>
      </w:r>
    </w:p>
    <w:p w:rsidR="00145C5E" w:rsidRPr="00C47E90" w:rsidRDefault="00145C5E" w:rsidP="00C256EB">
      <w:pPr>
        <w:spacing w:line="360" w:lineRule="auto"/>
        <w:rPr>
          <w:sz w:val="28"/>
          <w:szCs w:val="28"/>
        </w:rPr>
      </w:pPr>
    </w:p>
    <w:p w:rsidR="00145C5E" w:rsidRPr="00C47E90" w:rsidRDefault="00145C5E" w:rsidP="00C256EB">
      <w:pPr>
        <w:spacing w:line="360" w:lineRule="auto"/>
        <w:rPr>
          <w:sz w:val="28"/>
          <w:szCs w:val="28"/>
        </w:rPr>
      </w:pPr>
      <w:r w:rsidRPr="00C47E90">
        <w:rPr>
          <w:sz w:val="28"/>
          <w:szCs w:val="28"/>
        </w:rPr>
        <w:t xml:space="preserve">In 2010, there were six public transportation systems that received Section 5311 funding for rural general public transportation service.  The rural public transportation systems operated fixed route and demand response services. </w:t>
      </w:r>
    </w:p>
    <w:p w:rsidR="00145C5E" w:rsidRPr="00C47E90" w:rsidRDefault="00145C5E" w:rsidP="00C256EB">
      <w:pPr>
        <w:spacing w:line="360" w:lineRule="auto"/>
        <w:rPr>
          <w:sz w:val="28"/>
          <w:szCs w:val="28"/>
        </w:rPr>
      </w:pPr>
    </w:p>
    <w:p w:rsidR="00145C5E" w:rsidRPr="00C47E90" w:rsidRDefault="00145C5E" w:rsidP="00C256EB">
      <w:pPr>
        <w:spacing w:line="360" w:lineRule="auto"/>
        <w:rPr>
          <w:sz w:val="28"/>
          <w:szCs w:val="28"/>
        </w:rPr>
      </w:pPr>
      <w:r w:rsidRPr="00C47E90">
        <w:rPr>
          <w:sz w:val="28"/>
          <w:szCs w:val="28"/>
        </w:rPr>
        <w:t>There were 30 entities that received Section 5310 funding, the Elderly Individuals and Individuals with Disabilities Program.  There were 69 Section 5310 funded vehicles in operation that had remaining federal interest, and FTA and UDOT funded approximate</w:t>
      </w:r>
      <w:r w:rsidR="004C0104">
        <w:rPr>
          <w:sz w:val="28"/>
          <w:szCs w:val="28"/>
        </w:rPr>
        <w:t>ly</w:t>
      </w:r>
      <w:r w:rsidRPr="00C47E90">
        <w:rPr>
          <w:sz w:val="28"/>
          <w:szCs w:val="28"/>
        </w:rPr>
        <w:t xml:space="preserve"> 15 new vehicles annually.</w:t>
      </w:r>
    </w:p>
    <w:p w:rsidR="00145C5E" w:rsidRPr="00C47E90" w:rsidRDefault="00145C5E" w:rsidP="00C256EB">
      <w:pPr>
        <w:spacing w:line="360" w:lineRule="auto"/>
        <w:rPr>
          <w:sz w:val="28"/>
          <w:szCs w:val="28"/>
        </w:rPr>
      </w:pPr>
      <w:r w:rsidRPr="00C47E90">
        <w:rPr>
          <w:sz w:val="28"/>
          <w:szCs w:val="28"/>
        </w:rPr>
        <w:lastRenderedPageBreak/>
        <w:t xml:space="preserve">There were nine recipients of Section 5316 funding, Job Access Reverse Commute Program (JARC) and nine recipients of Section 5317 funding, New Freedom. </w:t>
      </w:r>
    </w:p>
    <w:p w:rsidR="00145C5E" w:rsidRPr="00C47E90" w:rsidRDefault="00145C5E" w:rsidP="00C256EB">
      <w:pPr>
        <w:tabs>
          <w:tab w:val="left" w:pos="1620"/>
        </w:tabs>
        <w:spacing w:line="360" w:lineRule="auto"/>
        <w:rPr>
          <w:sz w:val="28"/>
          <w:szCs w:val="28"/>
        </w:rPr>
      </w:pPr>
      <w:r w:rsidRPr="00C47E90">
        <w:rPr>
          <w:sz w:val="28"/>
          <w:szCs w:val="28"/>
        </w:rPr>
        <w:t xml:space="preserve">UDOT did not have any Section 5305, Metropolitan Planning and State Planning and Research Program, or Section 5307, Urbanized Area Formula Program, subrecipients, at the time of the </w:t>
      </w:r>
      <w:r w:rsidR="004C0104">
        <w:rPr>
          <w:sz w:val="28"/>
          <w:szCs w:val="28"/>
        </w:rPr>
        <w:t>C</w:t>
      </w:r>
      <w:r w:rsidRPr="00C47E90">
        <w:rPr>
          <w:sz w:val="28"/>
          <w:szCs w:val="28"/>
        </w:rPr>
        <w:t xml:space="preserve">ompliance </w:t>
      </w:r>
      <w:r w:rsidR="004C0104">
        <w:rPr>
          <w:sz w:val="28"/>
          <w:szCs w:val="28"/>
        </w:rPr>
        <w:t>R</w:t>
      </w:r>
      <w:r w:rsidRPr="00C47E90">
        <w:rPr>
          <w:sz w:val="28"/>
          <w:szCs w:val="28"/>
        </w:rPr>
        <w:t xml:space="preserve">eview. </w:t>
      </w:r>
    </w:p>
    <w:p w:rsidR="00A162F2" w:rsidRDefault="00145C5E" w:rsidP="00A162F2">
      <w:pPr>
        <w:tabs>
          <w:tab w:val="left" w:pos="1620"/>
        </w:tabs>
        <w:spacing w:line="360" w:lineRule="auto"/>
        <w:rPr>
          <w:sz w:val="28"/>
          <w:szCs w:val="28"/>
        </w:rPr>
      </w:pPr>
      <w:r w:rsidRPr="00C47E90">
        <w:rPr>
          <w:sz w:val="28"/>
          <w:szCs w:val="28"/>
        </w:rPr>
        <w:t xml:space="preserve"> </w:t>
      </w:r>
      <w:r w:rsidR="00A162F2">
        <w:rPr>
          <w:sz w:val="28"/>
          <w:szCs w:val="28"/>
        </w:rPr>
        <w:t xml:space="preserve"> </w:t>
      </w:r>
    </w:p>
    <w:p w:rsidR="00740062" w:rsidRDefault="00145C5E" w:rsidP="00A162F2">
      <w:pPr>
        <w:tabs>
          <w:tab w:val="left" w:pos="1620"/>
        </w:tabs>
        <w:spacing w:line="360" w:lineRule="auto"/>
        <w:rPr>
          <w:i/>
          <w:sz w:val="28"/>
          <w:szCs w:val="28"/>
        </w:rPr>
      </w:pPr>
      <w:r w:rsidRPr="00C47E90">
        <w:rPr>
          <w:sz w:val="28"/>
          <w:szCs w:val="28"/>
        </w:rPr>
        <w:t>With the exception of the Section 5309 program, PTT is responsible for ensuring the fair and equitable distribution of federal funds within the State, announcing the program and availability of funds, developing a process to solicit, review, and approve funding applications, providing management and technical assistance to applicants and grantees,  and administering and monitoring contracts.  PTT functions with support from UDOT’s Civil Rights Department, Procurement Department, Consultant Services Department, and Comptroller’s Office.</w:t>
      </w:r>
      <w:r w:rsidR="00EE4DE2">
        <w:rPr>
          <w:sz w:val="28"/>
          <w:szCs w:val="28"/>
        </w:rPr>
        <w:t xml:space="preserve">  </w:t>
      </w:r>
      <w:r w:rsidRPr="00C47E90">
        <w:rPr>
          <w:sz w:val="28"/>
          <w:szCs w:val="28"/>
        </w:rPr>
        <w:t>PTT currently functions with five full-time positions</w:t>
      </w:r>
      <w:r w:rsidR="00EE4DE2">
        <w:rPr>
          <w:sz w:val="28"/>
          <w:szCs w:val="28"/>
        </w:rPr>
        <w:t xml:space="preserve">. </w:t>
      </w:r>
      <w:r w:rsidR="00FF1A49">
        <w:rPr>
          <w:sz w:val="28"/>
          <w:szCs w:val="28"/>
        </w:rPr>
        <w:t xml:space="preserve"> </w:t>
      </w:r>
      <w:r w:rsidR="004133E5">
        <w:rPr>
          <w:sz w:val="28"/>
          <w:szCs w:val="28"/>
        </w:rPr>
        <w:t xml:space="preserve">UDOT’s Title VI Coordinator works with PTT to implement the FTA Title VI requirements. According to the </w:t>
      </w:r>
      <w:r w:rsidR="004133E5" w:rsidRPr="004133E5">
        <w:rPr>
          <w:i/>
          <w:sz w:val="28"/>
          <w:szCs w:val="28"/>
        </w:rPr>
        <w:t>UDOT State Management Plan Federal Transit Grants Program</w:t>
      </w:r>
      <w:r w:rsidR="004133E5">
        <w:rPr>
          <w:sz w:val="28"/>
          <w:szCs w:val="28"/>
        </w:rPr>
        <w:t>, dated February 2010:</w:t>
      </w:r>
    </w:p>
    <w:p w:rsidR="004133E5" w:rsidRPr="004133E5" w:rsidRDefault="004133E5" w:rsidP="005E7600">
      <w:pPr>
        <w:pStyle w:val="Heading3"/>
        <w:ind w:left="1080"/>
        <w:rPr>
          <w:i/>
          <w:sz w:val="28"/>
          <w:szCs w:val="28"/>
        </w:rPr>
      </w:pPr>
      <w:r w:rsidRPr="004133E5">
        <w:rPr>
          <w:i/>
          <w:sz w:val="28"/>
          <w:szCs w:val="28"/>
        </w:rPr>
        <w:t>All UDOT offices (including the central and field offices), program areas, field divisions, and subrecipients are required to adhere to the programs established by the UDOT Title VI Plan.  The Title VI plan is administered and monitored by the Department’s Title VI Coordinator. The Title VI plan responds to Title VI of the Civil Rights Act of 1964, which prohibits discrimination “on the grounds of race, color, creed, national origin, sex, age, or disability.”  It is also in compliance with the Civil Rights Restoration Act of 1987 that established that Title VI is applicable to all programs and activities of federal aid recipients and contractors, whether those programs and activities are federally funded or not.</w:t>
      </w:r>
    </w:p>
    <w:p w:rsidR="004133E5" w:rsidRDefault="004133E5" w:rsidP="004133E5">
      <w:pPr>
        <w:pStyle w:val="Heading3"/>
        <w:ind w:left="1080"/>
        <w:rPr>
          <w:i/>
          <w:sz w:val="28"/>
          <w:szCs w:val="28"/>
        </w:rPr>
      </w:pPr>
    </w:p>
    <w:p w:rsidR="00A162F2" w:rsidRDefault="00A162F2">
      <w:pPr>
        <w:rPr>
          <w:i/>
          <w:sz w:val="28"/>
          <w:szCs w:val="28"/>
        </w:rPr>
      </w:pPr>
      <w:r>
        <w:rPr>
          <w:i/>
          <w:sz w:val="28"/>
          <w:szCs w:val="28"/>
        </w:rPr>
        <w:br w:type="page"/>
      </w:r>
    </w:p>
    <w:p w:rsidR="004133E5" w:rsidRPr="004133E5" w:rsidRDefault="004133E5" w:rsidP="004133E5">
      <w:pPr>
        <w:pStyle w:val="Heading3"/>
        <w:ind w:left="1080"/>
        <w:rPr>
          <w:i/>
          <w:sz w:val="28"/>
          <w:szCs w:val="28"/>
        </w:rPr>
      </w:pPr>
      <w:r w:rsidRPr="004133E5">
        <w:rPr>
          <w:i/>
          <w:sz w:val="28"/>
          <w:szCs w:val="28"/>
        </w:rPr>
        <w:lastRenderedPageBreak/>
        <w:t>The Title VI Coordinator is in the Civil Rights section of the Construction Division and has designees in several offices throughout the Department.  The program plan establishes each designee’s and department’s responsibilities for ensuring the adequate distribution of Title VI information, monitoring and documentation of each department’s conduct, resolution of any deficiencies, and preparation of an annual report submitted to the USDOT, FTA, and FHWA on Title VI accomplishments.</w:t>
      </w:r>
    </w:p>
    <w:p w:rsidR="004133E5" w:rsidRPr="004133E5" w:rsidRDefault="004133E5" w:rsidP="004133E5"/>
    <w:p w:rsidR="009506B1" w:rsidRDefault="009506B1" w:rsidP="009506B1">
      <w:pPr>
        <w:spacing w:line="360" w:lineRule="auto"/>
        <w:rPr>
          <w:sz w:val="28"/>
          <w:szCs w:val="28"/>
        </w:rPr>
      </w:pPr>
    </w:p>
    <w:p w:rsidR="009506B1" w:rsidRDefault="00A162F2" w:rsidP="009506B1">
      <w:pPr>
        <w:spacing w:line="360" w:lineRule="auto"/>
        <w:rPr>
          <w:sz w:val="28"/>
          <w:szCs w:val="28"/>
        </w:rPr>
      </w:pPr>
      <w:r>
        <w:rPr>
          <w:sz w:val="28"/>
          <w:szCs w:val="28"/>
        </w:rPr>
        <w:t>T</w:t>
      </w:r>
      <w:r w:rsidR="009506B1" w:rsidRPr="009506B1">
        <w:rPr>
          <w:sz w:val="28"/>
          <w:szCs w:val="28"/>
        </w:rPr>
        <w:t>he</w:t>
      </w:r>
      <w:r w:rsidR="009506B1">
        <w:rPr>
          <w:sz w:val="28"/>
          <w:szCs w:val="28"/>
        </w:rPr>
        <w:t xml:space="preserve"> 2000 Census population statistics </w:t>
      </w:r>
      <w:r w:rsidR="00155FDB">
        <w:rPr>
          <w:sz w:val="28"/>
          <w:szCs w:val="28"/>
        </w:rPr>
        <w:t>for</w:t>
      </w:r>
      <w:r w:rsidR="009506B1">
        <w:rPr>
          <w:sz w:val="28"/>
          <w:szCs w:val="28"/>
        </w:rPr>
        <w:t xml:space="preserve"> the State of Utah</w:t>
      </w:r>
      <w:r>
        <w:rPr>
          <w:sz w:val="28"/>
          <w:szCs w:val="28"/>
        </w:rPr>
        <w:t xml:space="preserve"> are displayed below in Table 1</w:t>
      </w:r>
      <w:r w:rsidR="009506B1">
        <w:rPr>
          <w:sz w:val="28"/>
          <w:szCs w:val="28"/>
        </w:rPr>
        <w:t xml:space="preserve">. The population of Utah is predominately white (89.2 percent), with Hispanics being 9.0 percent, Asians being 1.7 percent, and American Indians and Alaska Natives </w:t>
      </w:r>
      <w:r>
        <w:rPr>
          <w:sz w:val="28"/>
          <w:szCs w:val="28"/>
        </w:rPr>
        <w:t>being</w:t>
      </w:r>
      <w:r w:rsidR="009506B1">
        <w:rPr>
          <w:sz w:val="28"/>
          <w:szCs w:val="28"/>
        </w:rPr>
        <w:t xml:space="preserve"> 1.3 percent</w:t>
      </w:r>
      <w:r w:rsidR="00D51C40">
        <w:rPr>
          <w:sz w:val="28"/>
          <w:szCs w:val="28"/>
        </w:rPr>
        <w:t xml:space="preserve"> of the population</w:t>
      </w:r>
      <w:r w:rsidR="009506B1">
        <w:rPr>
          <w:sz w:val="28"/>
          <w:szCs w:val="28"/>
        </w:rPr>
        <w:t xml:space="preserve">.  </w:t>
      </w:r>
    </w:p>
    <w:p w:rsidR="00740062" w:rsidRDefault="00740062" w:rsidP="009506B1">
      <w:pPr>
        <w:spacing w:line="360" w:lineRule="auto"/>
        <w:rPr>
          <w:sz w:val="28"/>
          <w:szCs w:val="28"/>
        </w:rPr>
      </w:pPr>
    </w:p>
    <w:p w:rsidR="00A162F2" w:rsidRDefault="00A162F2">
      <w:pPr>
        <w:rPr>
          <w:b/>
          <w:sz w:val="32"/>
          <w:szCs w:val="32"/>
        </w:rPr>
      </w:pPr>
      <w:r>
        <w:rPr>
          <w:b/>
          <w:sz w:val="32"/>
          <w:szCs w:val="32"/>
        </w:rPr>
        <w:br w:type="page"/>
      </w:r>
    </w:p>
    <w:p w:rsidR="00176420" w:rsidRPr="00FF1A49" w:rsidRDefault="00455321">
      <w:pPr>
        <w:jc w:val="center"/>
        <w:rPr>
          <w:b/>
          <w:sz w:val="32"/>
          <w:szCs w:val="32"/>
        </w:rPr>
      </w:pPr>
      <w:r w:rsidRPr="00FF1A49">
        <w:rPr>
          <w:b/>
          <w:sz w:val="32"/>
          <w:szCs w:val="32"/>
        </w:rPr>
        <w:lastRenderedPageBreak/>
        <w:t xml:space="preserve">Table 1 – Demographics of the </w:t>
      </w:r>
      <w:r w:rsidR="006C274C" w:rsidRPr="00FF1A49">
        <w:rPr>
          <w:b/>
          <w:sz w:val="32"/>
          <w:szCs w:val="32"/>
        </w:rPr>
        <w:t>UDOT</w:t>
      </w:r>
      <w:r w:rsidRPr="00FF1A49">
        <w:rPr>
          <w:b/>
          <w:sz w:val="32"/>
          <w:szCs w:val="32"/>
        </w:rPr>
        <w:t xml:space="preserve"> Service Area</w:t>
      </w:r>
    </w:p>
    <w:p w:rsidR="00455321" w:rsidRPr="00FF1A49" w:rsidRDefault="00455321" w:rsidP="00455321">
      <w:pPr>
        <w:jc w:val="center"/>
        <w:rPr>
          <w:b/>
          <w:sz w:val="28"/>
          <w:szCs w:val="28"/>
        </w:rPr>
      </w:pPr>
    </w:p>
    <w:p w:rsidR="00455321" w:rsidRPr="00FF1A49" w:rsidRDefault="00455321" w:rsidP="00455321">
      <w:pPr>
        <w:jc w:val="center"/>
        <w:rPr>
          <w:b/>
          <w:sz w:val="28"/>
          <w:szCs w:val="28"/>
        </w:rPr>
      </w:pPr>
      <w:r w:rsidRPr="00FF1A49">
        <w:rPr>
          <w:b/>
          <w:sz w:val="28"/>
          <w:szCs w:val="28"/>
        </w:rPr>
        <w:t xml:space="preserve">Racial/ Ethnic Breakdown of  </w:t>
      </w:r>
    </w:p>
    <w:p w:rsidR="00FF1A49" w:rsidRDefault="00FF1A49" w:rsidP="00455321">
      <w:pPr>
        <w:jc w:val="center"/>
        <w:rPr>
          <w:b/>
          <w:sz w:val="28"/>
          <w:szCs w:val="28"/>
        </w:rPr>
      </w:pPr>
      <w:r>
        <w:rPr>
          <w:b/>
          <w:sz w:val="28"/>
          <w:szCs w:val="28"/>
        </w:rPr>
        <w:t>Salt Lake City</w:t>
      </w:r>
      <w:r w:rsidR="00D51C40">
        <w:rPr>
          <w:b/>
          <w:sz w:val="28"/>
          <w:szCs w:val="28"/>
        </w:rPr>
        <w:t>,</w:t>
      </w:r>
      <w:r>
        <w:rPr>
          <w:b/>
          <w:sz w:val="28"/>
          <w:szCs w:val="28"/>
        </w:rPr>
        <w:t xml:space="preserve"> the Rest of Utah</w:t>
      </w:r>
      <w:r w:rsidR="00455321" w:rsidRPr="00FF1A49">
        <w:rPr>
          <w:b/>
          <w:sz w:val="28"/>
          <w:szCs w:val="28"/>
        </w:rPr>
        <w:t xml:space="preserve"> and </w:t>
      </w:r>
    </w:p>
    <w:p w:rsidR="00455321" w:rsidRPr="00FF1A49" w:rsidRDefault="00FF1A49" w:rsidP="00455321">
      <w:pPr>
        <w:jc w:val="center"/>
        <w:rPr>
          <w:b/>
          <w:sz w:val="28"/>
          <w:szCs w:val="28"/>
        </w:rPr>
      </w:pPr>
      <w:proofErr w:type="gramStart"/>
      <w:r>
        <w:rPr>
          <w:b/>
          <w:sz w:val="28"/>
          <w:szCs w:val="28"/>
        </w:rPr>
        <w:t>the</w:t>
      </w:r>
      <w:proofErr w:type="gramEnd"/>
      <w:r>
        <w:rPr>
          <w:b/>
          <w:sz w:val="28"/>
          <w:szCs w:val="28"/>
        </w:rPr>
        <w:t xml:space="preserve"> Total State of </w:t>
      </w:r>
      <w:r w:rsidR="006C274C" w:rsidRPr="00FF1A49">
        <w:rPr>
          <w:b/>
          <w:sz w:val="28"/>
          <w:szCs w:val="28"/>
        </w:rPr>
        <w:t>Utah</w:t>
      </w:r>
    </w:p>
    <w:p w:rsidR="00455321" w:rsidRPr="00FF1A49" w:rsidRDefault="00455321" w:rsidP="00455321">
      <w:pPr>
        <w:jc w:val="center"/>
        <w:rPr>
          <w:b/>
          <w:sz w:val="28"/>
          <w:szCs w:val="28"/>
        </w:rPr>
      </w:pPr>
    </w:p>
    <w:p w:rsidR="00455321" w:rsidRPr="00FF1A49" w:rsidRDefault="00455321" w:rsidP="00455321">
      <w:pPr>
        <w:pStyle w:val="Heading9"/>
        <w:spacing w:line="360" w:lineRule="auto"/>
        <w:rPr>
          <w:bCs/>
          <w:sz w:val="28"/>
          <w:szCs w:val="28"/>
        </w:rPr>
      </w:pPr>
      <w:r w:rsidRPr="00FF1A49">
        <w:rPr>
          <w:bCs/>
          <w:sz w:val="28"/>
          <w:szCs w:val="28"/>
        </w:rPr>
        <w:t>Source: 2000 U.S. Census</w:t>
      </w:r>
    </w:p>
    <w:p w:rsidR="00455321" w:rsidRPr="006C274C" w:rsidRDefault="00455321" w:rsidP="00455321">
      <w:pPr>
        <w:jc w:val="center"/>
        <w:rPr>
          <w:highlight w:val="yellow"/>
        </w:rPr>
      </w:pPr>
    </w:p>
    <w:tbl>
      <w:tblPr>
        <w:tblW w:w="8411" w:type="dxa"/>
        <w:jc w:val="center"/>
        <w:tblInd w:w="-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2"/>
        <w:gridCol w:w="1027"/>
        <w:gridCol w:w="900"/>
        <w:gridCol w:w="1242"/>
        <w:gridCol w:w="925"/>
        <w:gridCol w:w="1170"/>
        <w:gridCol w:w="875"/>
      </w:tblGrid>
      <w:tr w:rsidR="003930A8" w:rsidTr="00D51C40">
        <w:trPr>
          <w:trHeight w:val="540"/>
          <w:jc w:val="center"/>
        </w:trPr>
        <w:tc>
          <w:tcPr>
            <w:tcW w:w="2272" w:type="dxa"/>
            <w:vMerge w:val="restart"/>
          </w:tcPr>
          <w:p w:rsidR="003930A8" w:rsidRPr="00CB65DE" w:rsidRDefault="003930A8" w:rsidP="003930A8">
            <w:pPr>
              <w:pStyle w:val="ReferenceLine"/>
              <w:rPr>
                <w:b/>
                <w:bCs/>
                <w:szCs w:val="24"/>
              </w:rPr>
            </w:pPr>
            <w:r w:rsidRPr="00CB65DE">
              <w:rPr>
                <w:b/>
                <w:bCs/>
                <w:szCs w:val="24"/>
              </w:rPr>
              <w:t>Racial/ Ethnic Group</w:t>
            </w:r>
          </w:p>
        </w:tc>
        <w:tc>
          <w:tcPr>
            <w:tcW w:w="1927" w:type="dxa"/>
            <w:gridSpan w:val="2"/>
          </w:tcPr>
          <w:p w:rsidR="003930A8" w:rsidRPr="00CB65DE" w:rsidRDefault="003930A8" w:rsidP="003930A8">
            <w:pPr>
              <w:pStyle w:val="Heading4"/>
              <w:jc w:val="center"/>
              <w:rPr>
                <w:szCs w:val="24"/>
              </w:rPr>
            </w:pPr>
            <w:r>
              <w:rPr>
                <w:szCs w:val="24"/>
              </w:rPr>
              <w:t>Salt Lake City</w:t>
            </w:r>
          </w:p>
        </w:tc>
        <w:tc>
          <w:tcPr>
            <w:tcW w:w="2167" w:type="dxa"/>
            <w:gridSpan w:val="2"/>
          </w:tcPr>
          <w:p w:rsidR="003930A8" w:rsidRPr="00CB65DE" w:rsidRDefault="003930A8" w:rsidP="003930A8">
            <w:pPr>
              <w:pStyle w:val="Heading4"/>
              <w:jc w:val="center"/>
              <w:rPr>
                <w:szCs w:val="24"/>
              </w:rPr>
            </w:pPr>
            <w:r>
              <w:rPr>
                <w:szCs w:val="24"/>
              </w:rPr>
              <w:t>Rest of Utah</w:t>
            </w:r>
          </w:p>
        </w:tc>
        <w:tc>
          <w:tcPr>
            <w:tcW w:w="2045" w:type="dxa"/>
            <w:gridSpan w:val="2"/>
          </w:tcPr>
          <w:p w:rsidR="003930A8" w:rsidRPr="00027589" w:rsidRDefault="003930A8" w:rsidP="003930A8">
            <w:pPr>
              <w:pStyle w:val="Heading4"/>
              <w:jc w:val="center"/>
              <w:rPr>
                <w:szCs w:val="24"/>
              </w:rPr>
            </w:pPr>
            <w:r>
              <w:rPr>
                <w:szCs w:val="24"/>
              </w:rPr>
              <w:t>State of Utah</w:t>
            </w:r>
          </w:p>
        </w:tc>
      </w:tr>
      <w:tr w:rsidR="003930A8" w:rsidTr="00D51C40">
        <w:trPr>
          <w:trHeight w:val="145"/>
          <w:jc w:val="center"/>
        </w:trPr>
        <w:tc>
          <w:tcPr>
            <w:tcW w:w="2272" w:type="dxa"/>
            <w:vMerge/>
          </w:tcPr>
          <w:p w:rsidR="003930A8" w:rsidRDefault="003930A8" w:rsidP="003930A8">
            <w:pPr>
              <w:pStyle w:val="Heading4"/>
              <w:rPr>
                <w:b w:val="0"/>
                <w:szCs w:val="24"/>
              </w:rPr>
            </w:pPr>
          </w:p>
        </w:tc>
        <w:tc>
          <w:tcPr>
            <w:tcW w:w="1027" w:type="dxa"/>
          </w:tcPr>
          <w:p w:rsidR="003930A8" w:rsidRPr="008F0DDA" w:rsidRDefault="003930A8" w:rsidP="003930A8">
            <w:pPr>
              <w:jc w:val="center"/>
              <w:rPr>
                <w:b/>
              </w:rPr>
            </w:pPr>
            <w:r w:rsidRPr="008F0DDA">
              <w:rPr>
                <w:b/>
              </w:rPr>
              <w:t>Number</w:t>
            </w:r>
          </w:p>
        </w:tc>
        <w:tc>
          <w:tcPr>
            <w:tcW w:w="900" w:type="dxa"/>
          </w:tcPr>
          <w:p w:rsidR="003930A8" w:rsidRPr="008F0DDA" w:rsidRDefault="003930A8" w:rsidP="003930A8">
            <w:pPr>
              <w:jc w:val="center"/>
              <w:rPr>
                <w:b/>
              </w:rPr>
            </w:pPr>
            <w:r w:rsidRPr="008F0DDA">
              <w:rPr>
                <w:b/>
              </w:rPr>
              <w:t>Percent</w:t>
            </w:r>
          </w:p>
        </w:tc>
        <w:tc>
          <w:tcPr>
            <w:tcW w:w="1242" w:type="dxa"/>
          </w:tcPr>
          <w:p w:rsidR="003930A8" w:rsidRPr="008F0DDA" w:rsidRDefault="003930A8" w:rsidP="003930A8">
            <w:pPr>
              <w:jc w:val="center"/>
              <w:rPr>
                <w:b/>
                <w:bCs/>
              </w:rPr>
            </w:pPr>
            <w:r w:rsidRPr="008F0DDA">
              <w:rPr>
                <w:b/>
                <w:bCs/>
              </w:rPr>
              <w:t>Number</w:t>
            </w:r>
          </w:p>
        </w:tc>
        <w:tc>
          <w:tcPr>
            <w:tcW w:w="925" w:type="dxa"/>
          </w:tcPr>
          <w:p w:rsidR="003930A8" w:rsidRPr="008F0DDA" w:rsidRDefault="003930A8" w:rsidP="003930A8">
            <w:pPr>
              <w:jc w:val="center"/>
              <w:rPr>
                <w:b/>
                <w:bCs/>
              </w:rPr>
            </w:pPr>
            <w:r w:rsidRPr="008F0DDA">
              <w:rPr>
                <w:b/>
                <w:bCs/>
              </w:rPr>
              <w:t>Percent</w:t>
            </w:r>
          </w:p>
        </w:tc>
        <w:tc>
          <w:tcPr>
            <w:tcW w:w="1170" w:type="dxa"/>
          </w:tcPr>
          <w:p w:rsidR="003930A8" w:rsidRPr="008F0DDA" w:rsidRDefault="003930A8" w:rsidP="003930A8">
            <w:pPr>
              <w:jc w:val="center"/>
              <w:rPr>
                <w:b/>
                <w:bCs/>
              </w:rPr>
            </w:pPr>
            <w:r w:rsidRPr="008F0DDA">
              <w:rPr>
                <w:b/>
                <w:bCs/>
              </w:rPr>
              <w:t>Number</w:t>
            </w:r>
          </w:p>
        </w:tc>
        <w:tc>
          <w:tcPr>
            <w:tcW w:w="875" w:type="dxa"/>
          </w:tcPr>
          <w:p w:rsidR="003930A8" w:rsidRPr="008F0DDA" w:rsidRDefault="003930A8" w:rsidP="003930A8">
            <w:pPr>
              <w:jc w:val="center"/>
              <w:rPr>
                <w:b/>
                <w:bCs/>
              </w:rPr>
            </w:pPr>
            <w:r w:rsidRPr="008F0DDA">
              <w:rPr>
                <w:b/>
                <w:bCs/>
              </w:rPr>
              <w:t>Percent</w:t>
            </w:r>
          </w:p>
        </w:tc>
      </w:tr>
      <w:tr w:rsidR="003930A8" w:rsidTr="00D51C40">
        <w:trPr>
          <w:trHeight w:val="270"/>
          <w:jc w:val="center"/>
        </w:trPr>
        <w:tc>
          <w:tcPr>
            <w:tcW w:w="2272" w:type="dxa"/>
          </w:tcPr>
          <w:p w:rsidR="003930A8" w:rsidRPr="00D31177" w:rsidRDefault="003930A8" w:rsidP="003930A8">
            <w:pPr>
              <w:pStyle w:val="Heading4"/>
              <w:rPr>
                <w:b w:val="0"/>
                <w:sz w:val="22"/>
                <w:szCs w:val="22"/>
              </w:rPr>
            </w:pPr>
            <w:r w:rsidRPr="00D31177">
              <w:rPr>
                <w:b w:val="0"/>
                <w:sz w:val="22"/>
                <w:szCs w:val="22"/>
              </w:rPr>
              <w:t>White</w:t>
            </w:r>
          </w:p>
        </w:tc>
        <w:tc>
          <w:tcPr>
            <w:tcW w:w="1027" w:type="dxa"/>
          </w:tcPr>
          <w:p w:rsidR="003930A8" w:rsidRPr="00D31177" w:rsidRDefault="003930A8" w:rsidP="003930A8">
            <w:pPr>
              <w:jc w:val="right"/>
              <w:rPr>
                <w:sz w:val="22"/>
                <w:szCs w:val="22"/>
              </w:rPr>
            </w:pPr>
            <w:r>
              <w:rPr>
                <w:sz w:val="22"/>
                <w:szCs w:val="22"/>
              </w:rPr>
              <w:t>143,933</w:t>
            </w:r>
          </w:p>
        </w:tc>
        <w:tc>
          <w:tcPr>
            <w:tcW w:w="900" w:type="dxa"/>
          </w:tcPr>
          <w:p w:rsidR="003930A8" w:rsidRPr="00D31177" w:rsidRDefault="003930A8" w:rsidP="003930A8">
            <w:pPr>
              <w:jc w:val="right"/>
              <w:rPr>
                <w:sz w:val="22"/>
                <w:szCs w:val="22"/>
              </w:rPr>
            </w:pPr>
            <w:r>
              <w:rPr>
                <w:sz w:val="22"/>
                <w:szCs w:val="22"/>
              </w:rPr>
              <w:t>79.2</w:t>
            </w:r>
          </w:p>
        </w:tc>
        <w:tc>
          <w:tcPr>
            <w:tcW w:w="1242" w:type="dxa"/>
          </w:tcPr>
          <w:p w:rsidR="003930A8" w:rsidRPr="00D31177" w:rsidRDefault="003930A8" w:rsidP="003930A8">
            <w:pPr>
              <w:jc w:val="right"/>
              <w:rPr>
                <w:bCs/>
                <w:sz w:val="22"/>
                <w:szCs w:val="22"/>
              </w:rPr>
            </w:pPr>
            <w:r>
              <w:rPr>
                <w:bCs/>
                <w:sz w:val="22"/>
                <w:szCs w:val="22"/>
              </w:rPr>
              <w:t>1,849,042</w:t>
            </w:r>
          </w:p>
        </w:tc>
        <w:tc>
          <w:tcPr>
            <w:tcW w:w="925" w:type="dxa"/>
          </w:tcPr>
          <w:p w:rsidR="003930A8" w:rsidRPr="00D31177" w:rsidRDefault="003930A8" w:rsidP="003930A8">
            <w:pPr>
              <w:jc w:val="right"/>
              <w:rPr>
                <w:bCs/>
                <w:sz w:val="22"/>
                <w:szCs w:val="22"/>
              </w:rPr>
            </w:pPr>
            <w:r>
              <w:rPr>
                <w:bCs/>
                <w:sz w:val="22"/>
                <w:szCs w:val="22"/>
              </w:rPr>
              <w:t>90.1</w:t>
            </w:r>
          </w:p>
        </w:tc>
        <w:tc>
          <w:tcPr>
            <w:tcW w:w="1170" w:type="dxa"/>
          </w:tcPr>
          <w:p w:rsidR="003930A8" w:rsidRPr="00D31177" w:rsidRDefault="003930A8" w:rsidP="003930A8">
            <w:pPr>
              <w:jc w:val="right"/>
              <w:rPr>
                <w:bCs/>
                <w:sz w:val="22"/>
                <w:szCs w:val="22"/>
              </w:rPr>
            </w:pPr>
            <w:r>
              <w:rPr>
                <w:bCs/>
                <w:sz w:val="22"/>
                <w:szCs w:val="22"/>
              </w:rPr>
              <w:t>1,992,975</w:t>
            </w:r>
          </w:p>
        </w:tc>
        <w:tc>
          <w:tcPr>
            <w:tcW w:w="875" w:type="dxa"/>
          </w:tcPr>
          <w:p w:rsidR="003930A8" w:rsidRPr="00D31177" w:rsidRDefault="003930A8" w:rsidP="003930A8">
            <w:pPr>
              <w:jc w:val="right"/>
              <w:rPr>
                <w:bCs/>
                <w:sz w:val="22"/>
                <w:szCs w:val="22"/>
              </w:rPr>
            </w:pPr>
            <w:r>
              <w:rPr>
                <w:bCs/>
                <w:sz w:val="22"/>
                <w:szCs w:val="22"/>
              </w:rPr>
              <w:t>89.2</w:t>
            </w:r>
          </w:p>
        </w:tc>
      </w:tr>
      <w:tr w:rsidR="003930A8" w:rsidTr="00D51C40">
        <w:trPr>
          <w:trHeight w:val="260"/>
          <w:jc w:val="center"/>
        </w:trPr>
        <w:tc>
          <w:tcPr>
            <w:tcW w:w="2272" w:type="dxa"/>
          </w:tcPr>
          <w:p w:rsidR="003930A8" w:rsidRPr="00D31177" w:rsidRDefault="003930A8" w:rsidP="003930A8">
            <w:pPr>
              <w:pStyle w:val="Heading4"/>
              <w:rPr>
                <w:b w:val="0"/>
                <w:sz w:val="22"/>
                <w:szCs w:val="22"/>
              </w:rPr>
            </w:pPr>
            <w:r w:rsidRPr="00D31177">
              <w:rPr>
                <w:b w:val="0"/>
                <w:sz w:val="22"/>
                <w:szCs w:val="22"/>
              </w:rPr>
              <w:t>Black</w:t>
            </w:r>
          </w:p>
        </w:tc>
        <w:tc>
          <w:tcPr>
            <w:tcW w:w="1027" w:type="dxa"/>
          </w:tcPr>
          <w:p w:rsidR="003930A8" w:rsidRPr="00D31177" w:rsidRDefault="003930A8" w:rsidP="003930A8">
            <w:pPr>
              <w:jc w:val="right"/>
              <w:rPr>
                <w:sz w:val="22"/>
                <w:szCs w:val="22"/>
              </w:rPr>
            </w:pPr>
            <w:r>
              <w:rPr>
                <w:sz w:val="22"/>
                <w:szCs w:val="22"/>
              </w:rPr>
              <w:t>3,433</w:t>
            </w:r>
          </w:p>
        </w:tc>
        <w:tc>
          <w:tcPr>
            <w:tcW w:w="900" w:type="dxa"/>
          </w:tcPr>
          <w:p w:rsidR="003930A8" w:rsidRPr="00D31177" w:rsidRDefault="003930A8" w:rsidP="003930A8">
            <w:pPr>
              <w:jc w:val="right"/>
              <w:rPr>
                <w:sz w:val="22"/>
                <w:szCs w:val="22"/>
              </w:rPr>
            </w:pPr>
            <w:r>
              <w:rPr>
                <w:sz w:val="22"/>
                <w:szCs w:val="22"/>
              </w:rPr>
              <w:t>1.9</w:t>
            </w:r>
          </w:p>
        </w:tc>
        <w:tc>
          <w:tcPr>
            <w:tcW w:w="1242" w:type="dxa"/>
          </w:tcPr>
          <w:p w:rsidR="003930A8" w:rsidRPr="00D31177" w:rsidRDefault="003930A8" w:rsidP="003930A8">
            <w:pPr>
              <w:jc w:val="right"/>
              <w:rPr>
                <w:bCs/>
                <w:sz w:val="22"/>
                <w:szCs w:val="22"/>
              </w:rPr>
            </w:pPr>
            <w:r>
              <w:rPr>
                <w:bCs/>
                <w:sz w:val="22"/>
                <w:szCs w:val="22"/>
              </w:rPr>
              <w:t>14,224</w:t>
            </w:r>
          </w:p>
        </w:tc>
        <w:tc>
          <w:tcPr>
            <w:tcW w:w="925" w:type="dxa"/>
          </w:tcPr>
          <w:p w:rsidR="003930A8" w:rsidRPr="00D31177" w:rsidRDefault="003930A8" w:rsidP="003930A8">
            <w:pPr>
              <w:jc w:val="right"/>
              <w:rPr>
                <w:bCs/>
                <w:sz w:val="22"/>
                <w:szCs w:val="22"/>
              </w:rPr>
            </w:pPr>
            <w:r>
              <w:rPr>
                <w:bCs/>
                <w:sz w:val="22"/>
                <w:szCs w:val="22"/>
              </w:rPr>
              <w:t>0.7</w:t>
            </w:r>
          </w:p>
        </w:tc>
        <w:tc>
          <w:tcPr>
            <w:tcW w:w="1170" w:type="dxa"/>
          </w:tcPr>
          <w:p w:rsidR="003930A8" w:rsidRPr="00D31177" w:rsidRDefault="003930A8" w:rsidP="003930A8">
            <w:pPr>
              <w:jc w:val="right"/>
              <w:rPr>
                <w:bCs/>
                <w:sz w:val="22"/>
                <w:szCs w:val="22"/>
              </w:rPr>
            </w:pPr>
            <w:r>
              <w:rPr>
                <w:bCs/>
                <w:sz w:val="22"/>
                <w:szCs w:val="22"/>
              </w:rPr>
              <w:t>17,657</w:t>
            </w:r>
          </w:p>
        </w:tc>
        <w:tc>
          <w:tcPr>
            <w:tcW w:w="875" w:type="dxa"/>
          </w:tcPr>
          <w:p w:rsidR="003930A8" w:rsidRPr="00D31177" w:rsidRDefault="003930A8" w:rsidP="003930A8">
            <w:pPr>
              <w:jc w:val="right"/>
              <w:rPr>
                <w:bCs/>
                <w:sz w:val="22"/>
                <w:szCs w:val="22"/>
              </w:rPr>
            </w:pPr>
            <w:r>
              <w:rPr>
                <w:bCs/>
                <w:sz w:val="22"/>
                <w:szCs w:val="22"/>
              </w:rPr>
              <w:t>0.8</w:t>
            </w:r>
          </w:p>
        </w:tc>
      </w:tr>
      <w:tr w:rsidR="003930A8" w:rsidTr="00D51C40">
        <w:trPr>
          <w:trHeight w:val="557"/>
          <w:jc w:val="center"/>
        </w:trPr>
        <w:tc>
          <w:tcPr>
            <w:tcW w:w="2272" w:type="dxa"/>
          </w:tcPr>
          <w:p w:rsidR="003930A8" w:rsidRPr="00D31177" w:rsidRDefault="003930A8" w:rsidP="003930A8">
            <w:pPr>
              <w:pStyle w:val="Heading4"/>
              <w:rPr>
                <w:b w:val="0"/>
                <w:sz w:val="22"/>
                <w:szCs w:val="22"/>
              </w:rPr>
            </w:pPr>
            <w:r w:rsidRPr="00D31177">
              <w:rPr>
                <w:b w:val="0"/>
                <w:sz w:val="22"/>
                <w:szCs w:val="22"/>
              </w:rPr>
              <w:t>American Indian and Alaska Native</w:t>
            </w:r>
          </w:p>
        </w:tc>
        <w:tc>
          <w:tcPr>
            <w:tcW w:w="1027" w:type="dxa"/>
          </w:tcPr>
          <w:p w:rsidR="003930A8" w:rsidRPr="00D31177" w:rsidRDefault="003930A8" w:rsidP="003930A8">
            <w:pPr>
              <w:jc w:val="right"/>
              <w:rPr>
                <w:sz w:val="22"/>
                <w:szCs w:val="22"/>
              </w:rPr>
            </w:pPr>
            <w:r>
              <w:rPr>
                <w:sz w:val="22"/>
                <w:szCs w:val="22"/>
              </w:rPr>
              <w:t>2,442</w:t>
            </w:r>
          </w:p>
        </w:tc>
        <w:tc>
          <w:tcPr>
            <w:tcW w:w="900" w:type="dxa"/>
          </w:tcPr>
          <w:p w:rsidR="003930A8" w:rsidRPr="00D31177" w:rsidRDefault="003930A8" w:rsidP="003930A8">
            <w:pPr>
              <w:jc w:val="right"/>
              <w:rPr>
                <w:sz w:val="22"/>
                <w:szCs w:val="22"/>
              </w:rPr>
            </w:pPr>
            <w:r>
              <w:rPr>
                <w:sz w:val="22"/>
                <w:szCs w:val="22"/>
              </w:rPr>
              <w:t>1.3</w:t>
            </w:r>
          </w:p>
        </w:tc>
        <w:tc>
          <w:tcPr>
            <w:tcW w:w="1242" w:type="dxa"/>
          </w:tcPr>
          <w:p w:rsidR="003930A8" w:rsidRPr="00D31177" w:rsidRDefault="003930A8" w:rsidP="003930A8">
            <w:pPr>
              <w:jc w:val="right"/>
              <w:rPr>
                <w:bCs/>
                <w:sz w:val="22"/>
                <w:szCs w:val="22"/>
              </w:rPr>
            </w:pPr>
            <w:r>
              <w:rPr>
                <w:bCs/>
                <w:sz w:val="22"/>
                <w:szCs w:val="22"/>
              </w:rPr>
              <w:t>27,242</w:t>
            </w:r>
          </w:p>
        </w:tc>
        <w:tc>
          <w:tcPr>
            <w:tcW w:w="925" w:type="dxa"/>
          </w:tcPr>
          <w:p w:rsidR="003930A8" w:rsidRPr="00D31177" w:rsidRDefault="003930A8" w:rsidP="003930A8">
            <w:pPr>
              <w:jc w:val="right"/>
              <w:rPr>
                <w:bCs/>
                <w:sz w:val="22"/>
                <w:szCs w:val="22"/>
              </w:rPr>
            </w:pPr>
            <w:r>
              <w:rPr>
                <w:bCs/>
                <w:sz w:val="22"/>
                <w:szCs w:val="22"/>
              </w:rPr>
              <w:t>1.3</w:t>
            </w:r>
          </w:p>
        </w:tc>
        <w:tc>
          <w:tcPr>
            <w:tcW w:w="1170" w:type="dxa"/>
          </w:tcPr>
          <w:p w:rsidR="003930A8" w:rsidRPr="00D31177" w:rsidRDefault="003930A8" w:rsidP="003930A8">
            <w:pPr>
              <w:jc w:val="right"/>
              <w:rPr>
                <w:bCs/>
                <w:sz w:val="22"/>
                <w:szCs w:val="22"/>
              </w:rPr>
            </w:pPr>
            <w:r>
              <w:rPr>
                <w:bCs/>
                <w:sz w:val="22"/>
                <w:szCs w:val="22"/>
              </w:rPr>
              <w:t>29,684</w:t>
            </w:r>
          </w:p>
        </w:tc>
        <w:tc>
          <w:tcPr>
            <w:tcW w:w="875" w:type="dxa"/>
          </w:tcPr>
          <w:p w:rsidR="003930A8" w:rsidRPr="00D31177" w:rsidRDefault="003930A8" w:rsidP="003930A8">
            <w:pPr>
              <w:jc w:val="right"/>
              <w:rPr>
                <w:bCs/>
                <w:sz w:val="22"/>
                <w:szCs w:val="22"/>
              </w:rPr>
            </w:pPr>
            <w:r>
              <w:rPr>
                <w:bCs/>
                <w:sz w:val="22"/>
                <w:szCs w:val="22"/>
              </w:rPr>
              <w:t>1.3</w:t>
            </w:r>
          </w:p>
        </w:tc>
      </w:tr>
      <w:tr w:rsidR="003930A8" w:rsidTr="00D51C40">
        <w:trPr>
          <w:trHeight w:val="287"/>
          <w:jc w:val="center"/>
        </w:trPr>
        <w:tc>
          <w:tcPr>
            <w:tcW w:w="2272" w:type="dxa"/>
          </w:tcPr>
          <w:p w:rsidR="003930A8" w:rsidRPr="00D31177" w:rsidRDefault="003930A8" w:rsidP="003930A8">
            <w:pPr>
              <w:pStyle w:val="Heading4"/>
              <w:rPr>
                <w:b w:val="0"/>
                <w:sz w:val="22"/>
                <w:szCs w:val="22"/>
              </w:rPr>
            </w:pPr>
            <w:r w:rsidRPr="00D31177">
              <w:rPr>
                <w:b w:val="0"/>
                <w:sz w:val="22"/>
                <w:szCs w:val="22"/>
              </w:rPr>
              <w:t>Asian</w:t>
            </w:r>
          </w:p>
        </w:tc>
        <w:tc>
          <w:tcPr>
            <w:tcW w:w="1027" w:type="dxa"/>
          </w:tcPr>
          <w:p w:rsidR="003930A8" w:rsidRPr="00D31177" w:rsidRDefault="003930A8" w:rsidP="003930A8">
            <w:pPr>
              <w:pStyle w:val="ReferenceLine"/>
              <w:jc w:val="right"/>
              <w:rPr>
                <w:sz w:val="22"/>
                <w:szCs w:val="22"/>
              </w:rPr>
            </w:pPr>
            <w:r>
              <w:rPr>
                <w:sz w:val="22"/>
                <w:szCs w:val="22"/>
              </w:rPr>
              <w:t>6,579</w:t>
            </w:r>
          </w:p>
        </w:tc>
        <w:tc>
          <w:tcPr>
            <w:tcW w:w="900" w:type="dxa"/>
          </w:tcPr>
          <w:p w:rsidR="003930A8" w:rsidRPr="00D31177" w:rsidRDefault="003930A8" w:rsidP="003930A8">
            <w:pPr>
              <w:pStyle w:val="ReferenceLine"/>
              <w:jc w:val="right"/>
              <w:rPr>
                <w:sz w:val="22"/>
                <w:szCs w:val="22"/>
              </w:rPr>
            </w:pPr>
            <w:r>
              <w:rPr>
                <w:sz w:val="22"/>
                <w:szCs w:val="22"/>
              </w:rPr>
              <w:t>3.6</w:t>
            </w:r>
          </w:p>
        </w:tc>
        <w:tc>
          <w:tcPr>
            <w:tcW w:w="1242" w:type="dxa"/>
          </w:tcPr>
          <w:p w:rsidR="003930A8" w:rsidRPr="00D31177" w:rsidRDefault="003930A8" w:rsidP="003930A8">
            <w:pPr>
              <w:pStyle w:val="ReferenceLine"/>
              <w:jc w:val="right"/>
              <w:rPr>
                <w:sz w:val="22"/>
                <w:szCs w:val="22"/>
              </w:rPr>
            </w:pPr>
            <w:r>
              <w:rPr>
                <w:sz w:val="22"/>
                <w:szCs w:val="22"/>
              </w:rPr>
              <w:t>30,529</w:t>
            </w:r>
          </w:p>
        </w:tc>
        <w:tc>
          <w:tcPr>
            <w:tcW w:w="925" w:type="dxa"/>
          </w:tcPr>
          <w:p w:rsidR="003930A8" w:rsidRPr="00D31177" w:rsidRDefault="003930A8" w:rsidP="003930A8">
            <w:pPr>
              <w:pStyle w:val="ReferenceLine"/>
              <w:jc w:val="right"/>
              <w:rPr>
                <w:sz w:val="22"/>
                <w:szCs w:val="22"/>
              </w:rPr>
            </w:pPr>
            <w:r>
              <w:rPr>
                <w:sz w:val="22"/>
                <w:szCs w:val="22"/>
              </w:rPr>
              <w:t>1.5</w:t>
            </w:r>
          </w:p>
        </w:tc>
        <w:tc>
          <w:tcPr>
            <w:tcW w:w="1170" w:type="dxa"/>
          </w:tcPr>
          <w:p w:rsidR="003930A8" w:rsidRPr="00D31177" w:rsidRDefault="003930A8" w:rsidP="003930A8">
            <w:pPr>
              <w:pStyle w:val="ReferenceLine"/>
              <w:jc w:val="right"/>
              <w:rPr>
                <w:sz w:val="22"/>
                <w:szCs w:val="22"/>
              </w:rPr>
            </w:pPr>
            <w:r>
              <w:rPr>
                <w:sz w:val="22"/>
                <w:szCs w:val="22"/>
              </w:rPr>
              <w:t>37,108</w:t>
            </w:r>
          </w:p>
        </w:tc>
        <w:tc>
          <w:tcPr>
            <w:tcW w:w="875" w:type="dxa"/>
          </w:tcPr>
          <w:p w:rsidR="003930A8" w:rsidRPr="00D31177" w:rsidRDefault="003930A8" w:rsidP="003930A8">
            <w:pPr>
              <w:pStyle w:val="ReferenceLine"/>
              <w:jc w:val="right"/>
              <w:rPr>
                <w:sz w:val="22"/>
                <w:szCs w:val="22"/>
              </w:rPr>
            </w:pPr>
            <w:r>
              <w:rPr>
                <w:sz w:val="22"/>
                <w:szCs w:val="22"/>
              </w:rPr>
              <w:t>1.7</w:t>
            </w:r>
          </w:p>
        </w:tc>
      </w:tr>
      <w:tr w:rsidR="003930A8" w:rsidTr="00D51C40">
        <w:trPr>
          <w:trHeight w:val="557"/>
          <w:jc w:val="center"/>
        </w:trPr>
        <w:tc>
          <w:tcPr>
            <w:tcW w:w="2272" w:type="dxa"/>
          </w:tcPr>
          <w:p w:rsidR="003930A8" w:rsidRPr="00D31177" w:rsidRDefault="003930A8" w:rsidP="003930A8">
            <w:pPr>
              <w:pStyle w:val="Heading4"/>
              <w:rPr>
                <w:b w:val="0"/>
                <w:sz w:val="22"/>
                <w:szCs w:val="22"/>
              </w:rPr>
            </w:pPr>
            <w:r w:rsidRPr="00D31177">
              <w:rPr>
                <w:b w:val="0"/>
                <w:sz w:val="22"/>
                <w:szCs w:val="22"/>
              </w:rPr>
              <w:t>Hawaiian/Pacific Islander</w:t>
            </w:r>
          </w:p>
        </w:tc>
        <w:tc>
          <w:tcPr>
            <w:tcW w:w="1027" w:type="dxa"/>
          </w:tcPr>
          <w:p w:rsidR="003930A8" w:rsidRPr="00D31177" w:rsidRDefault="003930A8" w:rsidP="003930A8">
            <w:pPr>
              <w:jc w:val="right"/>
              <w:rPr>
                <w:sz w:val="22"/>
                <w:szCs w:val="22"/>
              </w:rPr>
            </w:pPr>
            <w:r>
              <w:rPr>
                <w:sz w:val="22"/>
                <w:szCs w:val="22"/>
              </w:rPr>
              <w:t>3,437</w:t>
            </w:r>
          </w:p>
        </w:tc>
        <w:tc>
          <w:tcPr>
            <w:tcW w:w="900" w:type="dxa"/>
          </w:tcPr>
          <w:p w:rsidR="003930A8" w:rsidRPr="00D31177" w:rsidRDefault="003930A8" w:rsidP="003930A8">
            <w:pPr>
              <w:jc w:val="right"/>
              <w:rPr>
                <w:sz w:val="22"/>
                <w:szCs w:val="22"/>
              </w:rPr>
            </w:pPr>
            <w:r>
              <w:rPr>
                <w:sz w:val="22"/>
                <w:szCs w:val="22"/>
              </w:rPr>
              <w:t>1.9</w:t>
            </w:r>
          </w:p>
        </w:tc>
        <w:tc>
          <w:tcPr>
            <w:tcW w:w="1242" w:type="dxa"/>
          </w:tcPr>
          <w:p w:rsidR="003930A8" w:rsidRPr="00D31177" w:rsidRDefault="003930A8" w:rsidP="003930A8">
            <w:pPr>
              <w:jc w:val="right"/>
              <w:rPr>
                <w:sz w:val="22"/>
                <w:szCs w:val="22"/>
              </w:rPr>
            </w:pPr>
            <w:r>
              <w:rPr>
                <w:sz w:val="22"/>
                <w:szCs w:val="22"/>
              </w:rPr>
              <w:t>11,708</w:t>
            </w:r>
          </w:p>
        </w:tc>
        <w:tc>
          <w:tcPr>
            <w:tcW w:w="925" w:type="dxa"/>
          </w:tcPr>
          <w:p w:rsidR="003930A8" w:rsidRPr="00D31177" w:rsidRDefault="003930A8" w:rsidP="003930A8">
            <w:pPr>
              <w:jc w:val="right"/>
              <w:rPr>
                <w:sz w:val="22"/>
                <w:szCs w:val="22"/>
              </w:rPr>
            </w:pPr>
            <w:r>
              <w:rPr>
                <w:sz w:val="22"/>
                <w:szCs w:val="22"/>
              </w:rPr>
              <w:t>0.6</w:t>
            </w:r>
          </w:p>
        </w:tc>
        <w:tc>
          <w:tcPr>
            <w:tcW w:w="1170" w:type="dxa"/>
          </w:tcPr>
          <w:p w:rsidR="003930A8" w:rsidRPr="00D31177" w:rsidRDefault="003930A8" w:rsidP="003930A8">
            <w:pPr>
              <w:jc w:val="right"/>
              <w:rPr>
                <w:sz w:val="22"/>
                <w:szCs w:val="22"/>
              </w:rPr>
            </w:pPr>
            <w:r>
              <w:rPr>
                <w:sz w:val="22"/>
                <w:szCs w:val="22"/>
              </w:rPr>
              <w:t>15,145</w:t>
            </w:r>
          </w:p>
        </w:tc>
        <w:tc>
          <w:tcPr>
            <w:tcW w:w="875" w:type="dxa"/>
          </w:tcPr>
          <w:p w:rsidR="003930A8" w:rsidRPr="00D31177" w:rsidRDefault="003930A8" w:rsidP="003930A8">
            <w:pPr>
              <w:jc w:val="right"/>
              <w:rPr>
                <w:sz w:val="22"/>
                <w:szCs w:val="22"/>
              </w:rPr>
            </w:pPr>
            <w:r>
              <w:rPr>
                <w:sz w:val="22"/>
                <w:szCs w:val="22"/>
              </w:rPr>
              <w:t>0.7</w:t>
            </w:r>
          </w:p>
        </w:tc>
      </w:tr>
      <w:tr w:rsidR="003930A8" w:rsidTr="00D51C40">
        <w:trPr>
          <w:trHeight w:val="270"/>
          <w:jc w:val="center"/>
        </w:trPr>
        <w:tc>
          <w:tcPr>
            <w:tcW w:w="2272" w:type="dxa"/>
            <w:tcBorders>
              <w:bottom w:val="single" w:sz="4" w:space="0" w:color="auto"/>
            </w:tcBorders>
          </w:tcPr>
          <w:p w:rsidR="003930A8" w:rsidRPr="00D31177" w:rsidRDefault="003930A8" w:rsidP="003930A8">
            <w:pPr>
              <w:pStyle w:val="Heading4"/>
              <w:rPr>
                <w:b w:val="0"/>
                <w:sz w:val="22"/>
                <w:szCs w:val="22"/>
              </w:rPr>
            </w:pPr>
            <w:r w:rsidRPr="00D31177">
              <w:rPr>
                <w:b w:val="0"/>
                <w:sz w:val="22"/>
                <w:szCs w:val="22"/>
              </w:rPr>
              <w:t>Other Race</w:t>
            </w:r>
          </w:p>
        </w:tc>
        <w:tc>
          <w:tcPr>
            <w:tcW w:w="1027" w:type="dxa"/>
            <w:tcBorders>
              <w:bottom w:val="single" w:sz="4" w:space="0" w:color="auto"/>
            </w:tcBorders>
          </w:tcPr>
          <w:p w:rsidR="003930A8" w:rsidRPr="00D31177" w:rsidRDefault="003930A8" w:rsidP="003930A8">
            <w:pPr>
              <w:jc w:val="right"/>
              <w:rPr>
                <w:sz w:val="22"/>
                <w:szCs w:val="22"/>
              </w:rPr>
            </w:pPr>
            <w:r>
              <w:rPr>
                <w:sz w:val="22"/>
                <w:szCs w:val="22"/>
              </w:rPr>
              <w:t>15,482</w:t>
            </w:r>
          </w:p>
        </w:tc>
        <w:tc>
          <w:tcPr>
            <w:tcW w:w="900" w:type="dxa"/>
            <w:tcBorders>
              <w:bottom w:val="single" w:sz="4" w:space="0" w:color="auto"/>
            </w:tcBorders>
          </w:tcPr>
          <w:p w:rsidR="003930A8" w:rsidRPr="00D31177" w:rsidRDefault="003930A8" w:rsidP="003930A8">
            <w:pPr>
              <w:jc w:val="right"/>
              <w:rPr>
                <w:sz w:val="22"/>
                <w:szCs w:val="22"/>
              </w:rPr>
            </w:pPr>
            <w:r>
              <w:rPr>
                <w:sz w:val="22"/>
                <w:szCs w:val="22"/>
              </w:rPr>
              <w:t>8.5</w:t>
            </w:r>
          </w:p>
        </w:tc>
        <w:tc>
          <w:tcPr>
            <w:tcW w:w="1242" w:type="dxa"/>
            <w:tcBorders>
              <w:bottom w:val="single" w:sz="4" w:space="0" w:color="auto"/>
            </w:tcBorders>
          </w:tcPr>
          <w:p w:rsidR="003930A8" w:rsidRPr="00D31177" w:rsidRDefault="003930A8" w:rsidP="003930A8">
            <w:pPr>
              <w:jc w:val="right"/>
              <w:rPr>
                <w:sz w:val="22"/>
                <w:szCs w:val="22"/>
              </w:rPr>
            </w:pPr>
            <w:r>
              <w:rPr>
                <w:sz w:val="22"/>
                <w:szCs w:val="22"/>
              </w:rPr>
              <w:t>77,923</w:t>
            </w:r>
          </w:p>
        </w:tc>
        <w:tc>
          <w:tcPr>
            <w:tcW w:w="925" w:type="dxa"/>
            <w:tcBorders>
              <w:bottom w:val="single" w:sz="4" w:space="0" w:color="auto"/>
            </w:tcBorders>
          </w:tcPr>
          <w:p w:rsidR="003930A8" w:rsidRPr="00D31177" w:rsidRDefault="003930A8" w:rsidP="003930A8">
            <w:pPr>
              <w:jc w:val="right"/>
              <w:rPr>
                <w:sz w:val="22"/>
                <w:szCs w:val="22"/>
              </w:rPr>
            </w:pPr>
            <w:r>
              <w:rPr>
                <w:sz w:val="22"/>
                <w:szCs w:val="22"/>
              </w:rPr>
              <w:t>3.8</w:t>
            </w:r>
          </w:p>
        </w:tc>
        <w:tc>
          <w:tcPr>
            <w:tcW w:w="1170" w:type="dxa"/>
            <w:tcBorders>
              <w:bottom w:val="single" w:sz="4" w:space="0" w:color="auto"/>
            </w:tcBorders>
          </w:tcPr>
          <w:p w:rsidR="003930A8" w:rsidRPr="00D31177" w:rsidRDefault="003930A8" w:rsidP="003930A8">
            <w:pPr>
              <w:jc w:val="right"/>
              <w:rPr>
                <w:sz w:val="22"/>
                <w:szCs w:val="22"/>
              </w:rPr>
            </w:pPr>
            <w:r>
              <w:rPr>
                <w:sz w:val="22"/>
                <w:szCs w:val="22"/>
              </w:rPr>
              <w:t>93,405</w:t>
            </w:r>
          </w:p>
        </w:tc>
        <w:tc>
          <w:tcPr>
            <w:tcW w:w="875" w:type="dxa"/>
            <w:tcBorders>
              <w:bottom w:val="single" w:sz="4" w:space="0" w:color="auto"/>
            </w:tcBorders>
          </w:tcPr>
          <w:p w:rsidR="003930A8" w:rsidRPr="00D31177" w:rsidRDefault="003930A8" w:rsidP="003930A8">
            <w:pPr>
              <w:jc w:val="right"/>
              <w:rPr>
                <w:sz w:val="22"/>
                <w:szCs w:val="22"/>
              </w:rPr>
            </w:pPr>
            <w:r>
              <w:rPr>
                <w:sz w:val="22"/>
                <w:szCs w:val="22"/>
              </w:rPr>
              <w:t>4.2</w:t>
            </w:r>
          </w:p>
        </w:tc>
      </w:tr>
      <w:tr w:rsidR="003930A8" w:rsidTr="00D51C40">
        <w:trPr>
          <w:trHeight w:val="298"/>
          <w:jc w:val="center"/>
        </w:trPr>
        <w:tc>
          <w:tcPr>
            <w:tcW w:w="2272" w:type="dxa"/>
            <w:tcBorders>
              <w:bottom w:val="single" w:sz="4" w:space="0" w:color="auto"/>
            </w:tcBorders>
          </w:tcPr>
          <w:p w:rsidR="003930A8" w:rsidRPr="00D31177" w:rsidRDefault="003930A8" w:rsidP="003930A8">
            <w:pPr>
              <w:pStyle w:val="Heading4"/>
              <w:rPr>
                <w:b w:val="0"/>
                <w:sz w:val="22"/>
                <w:szCs w:val="22"/>
              </w:rPr>
            </w:pPr>
            <w:r>
              <w:rPr>
                <w:b w:val="0"/>
                <w:sz w:val="22"/>
                <w:szCs w:val="22"/>
              </w:rPr>
              <w:t>Two or More</w:t>
            </w:r>
          </w:p>
        </w:tc>
        <w:tc>
          <w:tcPr>
            <w:tcW w:w="1027" w:type="dxa"/>
            <w:tcBorders>
              <w:bottom w:val="single" w:sz="4" w:space="0" w:color="auto"/>
            </w:tcBorders>
          </w:tcPr>
          <w:p w:rsidR="003930A8" w:rsidRPr="00EE725C" w:rsidRDefault="003930A8" w:rsidP="003930A8">
            <w:pPr>
              <w:jc w:val="right"/>
              <w:rPr>
                <w:sz w:val="22"/>
                <w:szCs w:val="22"/>
              </w:rPr>
            </w:pPr>
            <w:r>
              <w:rPr>
                <w:sz w:val="22"/>
                <w:szCs w:val="22"/>
              </w:rPr>
              <w:t>6,437</w:t>
            </w:r>
          </w:p>
        </w:tc>
        <w:tc>
          <w:tcPr>
            <w:tcW w:w="900" w:type="dxa"/>
            <w:tcBorders>
              <w:bottom w:val="single" w:sz="4" w:space="0" w:color="auto"/>
            </w:tcBorders>
          </w:tcPr>
          <w:p w:rsidR="003930A8" w:rsidRPr="00D31177" w:rsidRDefault="003930A8" w:rsidP="003930A8">
            <w:pPr>
              <w:jc w:val="right"/>
              <w:rPr>
                <w:sz w:val="22"/>
                <w:szCs w:val="22"/>
              </w:rPr>
            </w:pPr>
            <w:r>
              <w:rPr>
                <w:sz w:val="22"/>
                <w:szCs w:val="22"/>
              </w:rPr>
              <w:t>3.5</w:t>
            </w:r>
          </w:p>
        </w:tc>
        <w:tc>
          <w:tcPr>
            <w:tcW w:w="1242" w:type="dxa"/>
            <w:tcBorders>
              <w:bottom w:val="single" w:sz="4" w:space="0" w:color="auto"/>
            </w:tcBorders>
          </w:tcPr>
          <w:p w:rsidR="003930A8" w:rsidRPr="00D31177" w:rsidRDefault="003930A8" w:rsidP="003930A8">
            <w:pPr>
              <w:jc w:val="right"/>
              <w:rPr>
                <w:sz w:val="22"/>
                <w:szCs w:val="22"/>
              </w:rPr>
            </w:pPr>
            <w:r>
              <w:rPr>
                <w:sz w:val="22"/>
                <w:szCs w:val="22"/>
              </w:rPr>
              <w:t>40,758</w:t>
            </w:r>
          </w:p>
        </w:tc>
        <w:tc>
          <w:tcPr>
            <w:tcW w:w="925" w:type="dxa"/>
            <w:tcBorders>
              <w:bottom w:val="single" w:sz="4" w:space="0" w:color="auto"/>
            </w:tcBorders>
          </w:tcPr>
          <w:p w:rsidR="003930A8" w:rsidRPr="00D31177" w:rsidRDefault="003930A8" w:rsidP="003930A8">
            <w:pPr>
              <w:jc w:val="right"/>
              <w:rPr>
                <w:sz w:val="22"/>
                <w:szCs w:val="22"/>
              </w:rPr>
            </w:pPr>
            <w:r>
              <w:rPr>
                <w:sz w:val="22"/>
                <w:szCs w:val="22"/>
              </w:rPr>
              <w:t>2.0</w:t>
            </w:r>
          </w:p>
        </w:tc>
        <w:tc>
          <w:tcPr>
            <w:tcW w:w="1170" w:type="dxa"/>
            <w:tcBorders>
              <w:bottom w:val="single" w:sz="4" w:space="0" w:color="auto"/>
            </w:tcBorders>
          </w:tcPr>
          <w:p w:rsidR="003930A8" w:rsidRPr="00D31177" w:rsidRDefault="003930A8" w:rsidP="003930A8">
            <w:pPr>
              <w:jc w:val="right"/>
              <w:rPr>
                <w:sz w:val="22"/>
                <w:szCs w:val="22"/>
              </w:rPr>
            </w:pPr>
            <w:r>
              <w:rPr>
                <w:sz w:val="22"/>
                <w:szCs w:val="22"/>
              </w:rPr>
              <w:t>47,195</w:t>
            </w:r>
          </w:p>
        </w:tc>
        <w:tc>
          <w:tcPr>
            <w:tcW w:w="875" w:type="dxa"/>
            <w:tcBorders>
              <w:bottom w:val="single" w:sz="4" w:space="0" w:color="auto"/>
            </w:tcBorders>
          </w:tcPr>
          <w:p w:rsidR="003930A8" w:rsidRPr="00D31177" w:rsidRDefault="003930A8" w:rsidP="003930A8">
            <w:pPr>
              <w:jc w:val="right"/>
              <w:rPr>
                <w:sz w:val="22"/>
                <w:szCs w:val="22"/>
              </w:rPr>
            </w:pPr>
            <w:r>
              <w:rPr>
                <w:sz w:val="22"/>
                <w:szCs w:val="22"/>
              </w:rPr>
              <w:t>2.1</w:t>
            </w:r>
          </w:p>
        </w:tc>
      </w:tr>
      <w:tr w:rsidR="003930A8" w:rsidTr="00D51C40">
        <w:trPr>
          <w:trHeight w:val="298"/>
          <w:jc w:val="center"/>
        </w:trPr>
        <w:tc>
          <w:tcPr>
            <w:tcW w:w="2272" w:type="dxa"/>
            <w:tcBorders>
              <w:bottom w:val="single" w:sz="4" w:space="0" w:color="auto"/>
            </w:tcBorders>
          </w:tcPr>
          <w:p w:rsidR="003930A8" w:rsidRPr="00D31177" w:rsidRDefault="003930A8" w:rsidP="003930A8">
            <w:pPr>
              <w:pStyle w:val="Heading4"/>
              <w:rPr>
                <w:b w:val="0"/>
                <w:sz w:val="22"/>
                <w:szCs w:val="22"/>
              </w:rPr>
            </w:pPr>
            <w:r w:rsidRPr="00D31177">
              <w:rPr>
                <w:b w:val="0"/>
                <w:sz w:val="22"/>
                <w:szCs w:val="22"/>
              </w:rPr>
              <w:t>Hispanic Origin</w:t>
            </w:r>
            <w:r w:rsidRPr="00D31177">
              <w:rPr>
                <w:rStyle w:val="FootnoteReference"/>
                <w:b w:val="0"/>
                <w:sz w:val="22"/>
                <w:szCs w:val="22"/>
              </w:rPr>
              <w:footnoteReference w:id="1"/>
            </w:r>
          </w:p>
        </w:tc>
        <w:tc>
          <w:tcPr>
            <w:tcW w:w="1027" w:type="dxa"/>
            <w:tcBorders>
              <w:bottom w:val="single" w:sz="4" w:space="0" w:color="auto"/>
            </w:tcBorders>
          </w:tcPr>
          <w:p w:rsidR="003930A8" w:rsidRPr="00EE725C" w:rsidRDefault="003930A8" w:rsidP="003930A8">
            <w:pPr>
              <w:jc w:val="right"/>
              <w:rPr>
                <w:sz w:val="22"/>
                <w:szCs w:val="22"/>
              </w:rPr>
            </w:pPr>
            <w:r>
              <w:rPr>
                <w:sz w:val="22"/>
                <w:szCs w:val="22"/>
              </w:rPr>
              <w:t>34,254</w:t>
            </w:r>
          </w:p>
        </w:tc>
        <w:tc>
          <w:tcPr>
            <w:tcW w:w="900" w:type="dxa"/>
            <w:tcBorders>
              <w:bottom w:val="single" w:sz="4" w:space="0" w:color="auto"/>
            </w:tcBorders>
          </w:tcPr>
          <w:p w:rsidR="003930A8" w:rsidRPr="00D31177" w:rsidRDefault="003930A8" w:rsidP="003930A8">
            <w:pPr>
              <w:jc w:val="right"/>
              <w:rPr>
                <w:sz w:val="22"/>
                <w:szCs w:val="22"/>
              </w:rPr>
            </w:pPr>
            <w:r>
              <w:rPr>
                <w:sz w:val="22"/>
                <w:szCs w:val="22"/>
              </w:rPr>
              <w:t>18.8</w:t>
            </w:r>
          </w:p>
        </w:tc>
        <w:tc>
          <w:tcPr>
            <w:tcW w:w="1242" w:type="dxa"/>
            <w:tcBorders>
              <w:bottom w:val="single" w:sz="4" w:space="0" w:color="auto"/>
            </w:tcBorders>
          </w:tcPr>
          <w:p w:rsidR="003930A8" w:rsidRPr="00D31177" w:rsidRDefault="003930A8" w:rsidP="003930A8">
            <w:pPr>
              <w:jc w:val="right"/>
              <w:rPr>
                <w:sz w:val="22"/>
                <w:szCs w:val="22"/>
              </w:rPr>
            </w:pPr>
            <w:r>
              <w:rPr>
                <w:sz w:val="22"/>
                <w:szCs w:val="22"/>
              </w:rPr>
              <w:t>167,305</w:t>
            </w:r>
          </w:p>
        </w:tc>
        <w:tc>
          <w:tcPr>
            <w:tcW w:w="925" w:type="dxa"/>
            <w:tcBorders>
              <w:bottom w:val="single" w:sz="4" w:space="0" w:color="auto"/>
            </w:tcBorders>
          </w:tcPr>
          <w:p w:rsidR="003930A8" w:rsidRPr="00D31177" w:rsidRDefault="003930A8" w:rsidP="003930A8">
            <w:pPr>
              <w:jc w:val="right"/>
              <w:rPr>
                <w:sz w:val="22"/>
                <w:szCs w:val="22"/>
              </w:rPr>
            </w:pPr>
            <w:r>
              <w:rPr>
                <w:sz w:val="22"/>
                <w:szCs w:val="22"/>
              </w:rPr>
              <w:t>8.2</w:t>
            </w:r>
          </w:p>
        </w:tc>
        <w:tc>
          <w:tcPr>
            <w:tcW w:w="1170" w:type="dxa"/>
            <w:tcBorders>
              <w:bottom w:val="single" w:sz="4" w:space="0" w:color="auto"/>
            </w:tcBorders>
          </w:tcPr>
          <w:p w:rsidR="003930A8" w:rsidRPr="00D31177" w:rsidRDefault="003930A8" w:rsidP="003930A8">
            <w:pPr>
              <w:jc w:val="right"/>
              <w:rPr>
                <w:sz w:val="22"/>
                <w:szCs w:val="22"/>
              </w:rPr>
            </w:pPr>
            <w:r>
              <w:rPr>
                <w:sz w:val="22"/>
                <w:szCs w:val="22"/>
              </w:rPr>
              <w:t>201,559</w:t>
            </w:r>
          </w:p>
        </w:tc>
        <w:tc>
          <w:tcPr>
            <w:tcW w:w="875" w:type="dxa"/>
            <w:tcBorders>
              <w:bottom w:val="single" w:sz="4" w:space="0" w:color="auto"/>
            </w:tcBorders>
          </w:tcPr>
          <w:p w:rsidR="003930A8" w:rsidRPr="00D31177" w:rsidRDefault="003930A8" w:rsidP="003930A8">
            <w:pPr>
              <w:jc w:val="right"/>
              <w:rPr>
                <w:sz w:val="22"/>
                <w:szCs w:val="22"/>
              </w:rPr>
            </w:pPr>
            <w:r>
              <w:rPr>
                <w:sz w:val="22"/>
                <w:szCs w:val="22"/>
              </w:rPr>
              <w:t>9.0</w:t>
            </w:r>
          </w:p>
        </w:tc>
      </w:tr>
      <w:tr w:rsidR="003930A8" w:rsidTr="00D51C40">
        <w:trPr>
          <w:trHeight w:val="339"/>
          <w:jc w:val="center"/>
        </w:trPr>
        <w:tc>
          <w:tcPr>
            <w:tcW w:w="2272" w:type="dxa"/>
            <w:tcBorders>
              <w:top w:val="double" w:sz="4" w:space="0" w:color="auto"/>
              <w:left w:val="double" w:sz="4" w:space="0" w:color="auto"/>
              <w:bottom w:val="double" w:sz="4" w:space="0" w:color="auto"/>
            </w:tcBorders>
          </w:tcPr>
          <w:p w:rsidR="003930A8" w:rsidRPr="00D31177" w:rsidRDefault="003930A8" w:rsidP="003930A8">
            <w:pPr>
              <w:pStyle w:val="Heading4"/>
              <w:rPr>
                <w:sz w:val="22"/>
                <w:szCs w:val="22"/>
                <w:u w:val="single"/>
              </w:rPr>
            </w:pPr>
            <w:r w:rsidRPr="00D31177">
              <w:rPr>
                <w:sz w:val="22"/>
                <w:szCs w:val="22"/>
                <w:u w:val="single"/>
              </w:rPr>
              <w:t>Total Population</w:t>
            </w:r>
          </w:p>
        </w:tc>
        <w:tc>
          <w:tcPr>
            <w:tcW w:w="1027" w:type="dxa"/>
            <w:tcBorders>
              <w:top w:val="double" w:sz="4" w:space="0" w:color="auto"/>
              <w:bottom w:val="double" w:sz="4" w:space="0" w:color="auto"/>
            </w:tcBorders>
          </w:tcPr>
          <w:p w:rsidR="003930A8" w:rsidRPr="00D31177" w:rsidRDefault="003930A8" w:rsidP="003930A8">
            <w:pPr>
              <w:jc w:val="right"/>
              <w:rPr>
                <w:b/>
                <w:bCs/>
                <w:sz w:val="22"/>
                <w:szCs w:val="22"/>
                <w:u w:val="single"/>
              </w:rPr>
            </w:pPr>
            <w:r>
              <w:rPr>
                <w:b/>
                <w:bCs/>
                <w:sz w:val="22"/>
                <w:szCs w:val="22"/>
                <w:u w:val="single"/>
              </w:rPr>
              <w:t>181,743</w:t>
            </w:r>
          </w:p>
        </w:tc>
        <w:tc>
          <w:tcPr>
            <w:tcW w:w="900" w:type="dxa"/>
            <w:tcBorders>
              <w:top w:val="double" w:sz="4" w:space="0" w:color="auto"/>
              <w:bottom w:val="double" w:sz="4" w:space="0" w:color="auto"/>
              <w:right w:val="double" w:sz="4" w:space="0" w:color="auto"/>
            </w:tcBorders>
            <w:shd w:val="solid" w:color="FFFFFF" w:fill="auto"/>
          </w:tcPr>
          <w:p w:rsidR="003930A8" w:rsidRPr="00D31177" w:rsidRDefault="003930A8" w:rsidP="003930A8">
            <w:pPr>
              <w:jc w:val="right"/>
              <w:rPr>
                <w:b/>
                <w:bCs/>
                <w:sz w:val="22"/>
                <w:szCs w:val="22"/>
                <w:u w:val="single"/>
              </w:rPr>
            </w:pPr>
            <w:r>
              <w:rPr>
                <w:b/>
                <w:bCs/>
                <w:sz w:val="22"/>
                <w:szCs w:val="22"/>
                <w:u w:val="single"/>
              </w:rPr>
              <w:t>100%</w:t>
            </w:r>
          </w:p>
        </w:tc>
        <w:tc>
          <w:tcPr>
            <w:tcW w:w="1242" w:type="dxa"/>
            <w:tcBorders>
              <w:top w:val="double" w:sz="4" w:space="0" w:color="auto"/>
              <w:bottom w:val="double" w:sz="4" w:space="0" w:color="auto"/>
              <w:right w:val="double" w:sz="4" w:space="0" w:color="auto"/>
            </w:tcBorders>
          </w:tcPr>
          <w:p w:rsidR="003930A8" w:rsidRPr="00D31177" w:rsidRDefault="003930A8" w:rsidP="003930A8">
            <w:pPr>
              <w:jc w:val="right"/>
              <w:rPr>
                <w:b/>
                <w:bCs/>
                <w:sz w:val="22"/>
                <w:szCs w:val="22"/>
                <w:u w:val="single"/>
              </w:rPr>
            </w:pPr>
            <w:r>
              <w:rPr>
                <w:b/>
                <w:bCs/>
                <w:sz w:val="22"/>
                <w:szCs w:val="22"/>
                <w:u w:val="single"/>
              </w:rPr>
              <w:t>2,051,426</w:t>
            </w:r>
          </w:p>
        </w:tc>
        <w:tc>
          <w:tcPr>
            <w:tcW w:w="925" w:type="dxa"/>
            <w:tcBorders>
              <w:top w:val="double" w:sz="4" w:space="0" w:color="auto"/>
              <w:bottom w:val="double" w:sz="4" w:space="0" w:color="auto"/>
              <w:right w:val="double" w:sz="4" w:space="0" w:color="auto"/>
            </w:tcBorders>
          </w:tcPr>
          <w:p w:rsidR="003930A8" w:rsidRPr="00D31177" w:rsidRDefault="003930A8" w:rsidP="003930A8">
            <w:pPr>
              <w:jc w:val="right"/>
              <w:rPr>
                <w:b/>
                <w:bCs/>
                <w:sz w:val="22"/>
                <w:szCs w:val="22"/>
                <w:u w:val="single"/>
              </w:rPr>
            </w:pPr>
            <w:r>
              <w:rPr>
                <w:b/>
                <w:bCs/>
                <w:sz w:val="22"/>
                <w:szCs w:val="22"/>
                <w:u w:val="single"/>
              </w:rPr>
              <w:t>100%</w:t>
            </w:r>
          </w:p>
        </w:tc>
        <w:tc>
          <w:tcPr>
            <w:tcW w:w="1170" w:type="dxa"/>
            <w:tcBorders>
              <w:top w:val="double" w:sz="4" w:space="0" w:color="auto"/>
              <w:bottom w:val="double" w:sz="4" w:space="0" w:color="auto"/>
              <w:right w:val="double" w:sz="4" w:space="0" w:color="auto"/>
            </w:tcBorders>
          </w:tcPr>
          <w:p w:rsidR="003930A8" w:rsidRPr="00D31177" w:rsidRDefault="003930A8" w:rsidP="003930A8">
            <w:pPr>
              <w:jc w:val="right"/>
              <w:rPr>
                <w:b/>
                <w:bCs/>
                <w:sz w:val="22"/>
                <w:szCs w:val="22"/>
                <w:u w:val="single"/>
              </w:rPr>
            </w:pPr>
            <w:r>
              <w:rPr>
                <w:b/>
                <w:bCs/>
                <w:sz w:val="22"/>
                <w:szCs w:val="22"/>
                <w:u w:val="single"/>
              </w:rPr>
              <w:t>2,233,169</w:t>
            </w:r>
          </w:p>
        </w:tc>
        <w:tc>
          <w:tcPr>
            <w:tcW w:w="875" w:type="dxa"/>
            <w:tcBorders>
              <w:top w:val="double" w:sz="4" w:space="0" w:color="auto"/>
              <w:bottom w:val="double" w:sz="4" w:space="0" w:color="auto"/>
              <w:right w:val="double" w:sz="4" w:space="0" w:color="auto"/>
            </w:tcBorders>
          </w:tcPr>
          <w:p w:rsidR="003930A8" w:rsidRPr="00D31177" w:rsidRDefault="003930A8" w:rsidP="003930A8">
            <w:pPr>
              <w:jc w:val="right"/>
              <w:rPr>
                <w:b/>
                <w:bCs/>
                <w:sz w:val="22"/>
                <w:szCs w:val="22"/>
                <w:u w:val="single"/>
              </w:rPr>
            </w:pPr>
            <w:r w:rsidRPr="00D31177">
              <w:rPr>
                <w:b/>
                <w:bCs/>
                <w:sz w:val="22"/>
                <w:szCs w:val="22"/>
                <w:u w:val="single"/>
              </w:rPr>
              <w:t>100%</w:t>
            </w:r>
          </w:p>
        </w:tc>
      </w:tr>
    </w:tbl>
    <w:p w:rsidR="00A113CF" w:rsidRDefault="00A113CF" w:rsidP="003930A8">
      <w:pPr>
        <w:pStyle w:val="BHLevel1"/>
        <w:numPr>
          <w:ilvl w:val="0"/>
          <w:numId w:val="0"/>
        </w:numPr>
        <w:spacing w:before="0" w:after="0" w:line="360" w:lineRule="auto"/>
        <w:ind w:left="-720" w:firstLine="720"/>
      </w:pPr>
    </w:p>
    <w:tbl>
      <w:tblPr>
        <w:tblW w:w="8465"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6"/>
        <w:gridCol w:w="1047"/>
        <w:gridCol w:w="900"/>
        <w:gridCol w:w="1170"/>
        <w:gridCol w:w="900"/>
        <w:gridCol w:w="1170"/>
        <w:gridCol w:w="992"/>
      </w:tblGrid>
      <w:tr w:rsidR="003930A8" w:rsidTr="003930A8">
        <w:trPr>
          <w:jc w:val="center"/>
        </w:trPr>
        <w:tc>
          <w:tcPr>
            <w:tcW w:w="2286" w:type="dxa"/>
          </w:tcPr>
          <w:p w:rsidR="003930A8" w:rsidRPr="00D31177" w:rsidRDefault="003930A8" w:rsidP="003930A8">
            <w:pPr>
              <w:pStyle w:val="Heading4"/>
              <w:rPr>
                <w:b w:val="0"/>
                <w:sz w:val="22"/>
                <w:szCs w:val="22"/>
              </w:rPr>
            </w:pPr>
            <w:r w:rsidRPr="00D31177">
              <w:rPr>
                <w:b w:val="0"/>
                <w:sz w:val="22"/>
                <w:szCs w:val="22"/>
              </w:rPr>
              <w:t>Low-Income</w:t>
            </w:r>
          </w:p>
        </w:tc>
        <w:tc>
          <w:tcPr>
            <w:tcW w:w="1047" w:type="dxa"/>
          </w:tcPr>
          <w:p w:rsidR="003930A8" w:rsidRPr="00D31177" w:rsidRDefault="003930A8" w:rsidP="003930A8">
            <w:pPr>
              <w:pStyle w:val="ReferenceLine"/>
              <w:jc w:val="right"/>
              <w:rPr>
                <w:sz w:val="22"/>
                <w:szCs w:val="22"/>
              </w:rPr>
            </w:pPr>
            <w:r>
              <w:rPr>
                <w:sz w:val="22"/>
                <w:szCs w:val="22"/>
              </w:rPr>
              <w:t>27,305</w:t>
            </w:r>
          </w:p>
        </w:tc>
        <w:tc>
          <w:tcPr>
            <w:tcW w:w="900" w:type="dxa"/>
          </w:tcPr>
          <w:p w:rsidR="003930A8" w:rsidRPr="00D31177" w:rsidRDefault="003930A8" w:rsidP="003930A8">
            <w:pPr>
              <w:jc w:val="right"/>
              <w:rPr>
                <w:sz w:val="22"/>
                <w:szCs w:val="22"/>
              </w:rPr>
            </w:pPr>
            <w:r>
              <w:rPr>
                <w:sz w:val="22"/>
                <w:szCs w:val="22"/>
              </w:rPr>
              <w:t>15.3</w:t>
            </w:r>
          </w:p>
        </w:tc>
        <w:tc>
          <w:tcPr>
            <w:tcW w:w="1170" w:type="dxa"/>
          </w:tcPr>
          <w:p w:rsidR="003930A8" w:rsidRPr="00D31177" w:rsidRDefault="003930A8" w:rsidP="003930A8">
            <w:pPr>
              <w:jc w:val="right"/>
              <w:rPr>
                <w:sz w:val="22"/>
                <w:szCs w:val="22"/>
              </w:rPr>
            </w:pPr>
            <w:r>
              <w:rPr>
                <w:sz w:val="22"/>
                <w:szCs w:val="22"/>
              </w:rPr>
              <w:t>179,023</w:t>
            </w:r>
          </w:p>
        </w:tc>
        <w:tc>
          <w:tcPr>
            <w:tcW w:w="900" w:type="dxa"/>
          </w:tcPr>
          <w:p w:rsidR="003930A8" w:rsidRPr="00D31177" w:rsidRDefault="003930A8" w:rsidP="003930A8">
            <w:pPr>
              <w:jc w:val="right"/>
              <w:rPr>
                <w:sz w:val="22"/>
                <w:szCs w:val="22"/>
              </w:rPr>
            </w:pPr>
            <w:r>
              <w:rPr>
                <w:sz w:val="22"/>
                <w:szCs w:val="22"/>
              </w:rPr>
              <w:t>8.7</w:t>
            </w:r>
          </w:p>
        </w:tc>
        <w:tc>
          <w:tcPr>
            <w:tcW w:w="1170" w:type="dxa"/>
          </w:tcPr>
          <w:p w:rsidR="003930A8" w:rsidRPr="00D31177" w:rsidRDefault="003930A8" w:rsidP="003930A8">
            <w:pPr>
              <w:jc w:val="right"/>
              <w:rPr>
                <w:sz w:val="22"/>
                <w:szCs w:val="22"/>
              </w:rPr>
            </w:pPr>
            <w:r>
              <w:rPr>
                <w:sz w:val="22"/>
                <w:szCs w:val="22"/>
              </w:rPr>
              <w:t>206,328</w:t>
            </w:r>
          </w:p>
        </w:tc>
        <w:tc>
          <w:tcPr>
            <w:tcW w:w="992" w:type="dxa"/>
          </w:tcPr>
          <w:p w:rsidR="003930A8" w:rsidRPr="00D31177" w:rsidRDefault="003930A8" w:rsidP="003930A8">
            <w:pPr>
              <w:jc w:val="right"/>
              <w:rPr>
                <w:sz w:val="22"/>
                <w:szCs w:val="22"/>
              </w:rPr>
            </w:pPr>
            <w:r>
              <w:rPr>
                <w:sz w:val="22"/>
                <w:szCs w:val="22"/>
              </w:rPr>
              <w:t>9.4</w:t>
            </w:r>
          </w:p>
        </w:tc>
      </w:tr>
      <w:tr w:rsidR="003930A8" w:rsidTr="003930A8">
        <w:trPr>
          <w:trHeight w:val="305"/>
          <w:jc w:val="center"/>
        </w:trPr>
        <w:tc>
          <w:tcPr>
            <w:tcW w:w="2286" w:type="dxa"/>
          </w:tcPr>
          <w:p w:rsidR="003930A8" w:rsidRPr="00D31177" w:rsidRDefault="003930A8" w:rsidP="00FF1A49">
            <w:pPr>
              <w:pStyle w:val="Heading4"/>
              <w:rPr>
                <w:b w:val="0"/>
                <w:sz w:val="22"/>
                <w:szCs w:val="22"/>
              </w:rPr>
            </w:pPr>
            <w:r w:rsidRPr="00D31177">
              <w:rPr>
                <w:b w:val="0"/>
                <w:sz w:val="22"/>
                <w:szCs w:val="22"/>
              </w:rPr>
              <w:t>Limited English Proficiency</w:t>
            </w:r>
          </w:p>
        </w:tc>
        <w:tc>
          <w:tcPr>
            <w:tcW w:w="1047" w:type="dxa"/>
          </w:tcPr>
          <w:p w:rsidR="003930A8" w:rsidRPr="00D31177" w:rsidRDefault="003930A8" w:rsidP="003930A8">
            <w:pPr>
              <w:pStyle w:val="Heading4"/>
              <w:tabs>
                <w:tab w:val="left" w:pos="601"/>
              </w:tabs>
              <w:jc w:val="right"/>
              <w:rPr>
                <w:b w:val="0"/>
                <w:sz w:val="22"/>
                <w:szCs w:val="22"/>
              </w:rPr>
            </w:pPr>
            <w:r>
              <w:rPr>
                <w:b w:val="0"/>
                <w:sz w:val="22"/>
                <w:szCs w:val="22"/>
              </w:rPr>
              <w:t>42,051</w:t>
            </w:r>
          </w:p>
        </w:tc>
        <w:tc>
          <w:tcPr>
            <w:tcW w:w="900" w:type="dxa"/>
          </w:tcPr>
          <w:p w:rsidR="003930A8" w:rsidRPr="00D31177" w:rsidRDefault="003930A8" w:rsidP="003930A8">
            <w:pPr>
              <w:jc w:val="right"/>
              <w:rPr>
                <w:sz w:val="22"/>
                <w:szCs w:val="22"/>
              </w:rPr>
            </w:pPr>
            <w:r>
              <w:rPr>
                <w:sz w:val="22"/>
                <w:szCs w:val="22"/>
              </w:rPr>
              <w:t>25.1</w:t>
            </w:r>
          </w:p>
        </w:tc>
        <w:tc>
          <w:tcPr>
            <w:tcW w:w="1170" w:type="dxa"/>
          </w:tcPr>
          <w:p w:rsidR="003930A8" w:rsidRPr="00D31177" w:rsidRDefault="003930A8" w:rsidP="003930A8">
            <w:pPr>
              <w:jc w:val="right"/>
              <w:rPr>
                <w:sz w:val="22"/>
                <w:szCs w:val="22"/>
              </w:rPr>
            </w:pPr>
            <w:r>
              <w:rPr>
                <w:sz w:val="22"/>
                <w:szCs w:val="22"/>
              </w:rPr>
              <w:t>211,198</w:t>
            </w:r>
          </w:p>
        </w:tc>
        <w:tc>
          <w:tcPr>
            <w:tcW w:w="900" w:type="dxa"/>
          </w:tcPr>
          <w:p w:rsidR="003930A8" w:rsidRPr="00D31177" w:rsidRDefault="003930A8" w:rsidP="003930A8">
            <w:pPr>
              <w:jc w:val="right"/>
              <w:rPr>
                <w:sz w:val="22"/>
                <w:szCs w:val="22"/>
              </w:rPr>
            </w:pPr>
            <w:r>
              <w:rPr>
                <w:sz w:val="22"/>
                <w:szCs w:val="22"/>
              </w:rPr>
              <w:t>10.3</w:t>
            </w:r>
          </w:p>
        </w:tc>
        <w:tc>
          <w:tcPr>
            <w:tcW w:w="1170" w:type="dxa"/>
          </w:tcPr>
          <w:p w:rsidR="003930A8" w:rsidRPr="00D31177" w:rsidRDefault="003930A8" w:rsidP="003930A8">
            <w:pPr>
              <w:jc w:val="right"/>
              <w:rPr>
                <w:sz w:val="22"/>
                <w:szCs w:val="22"/>
              </w:rPr>
            </w:pPr>
            <w:r>
              <w:rPr>
                <w:sz w:val="22"/>
                <w:szCs w:val="22"/>
              </w:rPr>
              <w:t>253,249</w:t>
            </w:r>
          </w:p>
        </w:tc>
        <w:tc>
          <w:tcPr>
            <w:tcW w:w="992" w:type="dxa"/>
          </w:tcPr>
          <w:p w:rsidR="003930A8" w:rsidRPr="00D31177" w:rsidRDefault="003930A8" w:rsidP="003930A8">
            <w:pPr>
              <w:jc w:val="right"/>
              <w:rPr>
                <w:sz w:val="22"/>
                <w:szCs w:val="22"/>
              </w:rPr>
            </w:pPr>
            <w:r>
              <w:rPr>
                <w:sz w:val="22"/>
                <w:szCs w:val="22"/>
              </w:rPr>
              <w:t>12.5</w:t>
            </w:r>
          </w:p>
        </w:tc>
      </w:tr>
    </w:tbl>
    <w:p w:rsidR="003930A8" w:rsidRPr="003930A8" w:rsidRDefault="003930A8" w:rsidP="003930A8"/>
    <w:p w:rsidR="00176420" w:rsidRDefault="00A113CF">
      <w:pPr>
        <w:rPr>
          <w:sz w:val="28"/>
          <w:szCs w:val="28"/>
        </w:rPr>
      </w:pPr>
      <w:r>
        <w:br w:type="page"/>
      </w:r>
      <w:bookmarkStart w:id="10" w:name="_Toc253152151"/>
      <w:r w:rsidR="009734DD" w:rsidRPr="009734DD">
        <w:rPr>
          <w:b/>
          <w:sz w:val="28"/>
          <w:szCs w:val="28"/>
        </w:rPr>
        <w:lastRenderedPageBreak/>
        <w:t>V.</w:t>
      </w:r>
      <w:r w:rsidR="009734DD" w:rsidRPr="009734DD">
        <w:rPr>
          <w:b/>
          <w:sz w:val="28"/>
          <w:szCs w:val="28"/>
        </w:rPr>
        <w:tab/>
        <w:t>SCOPE AND METHODOLOGY</w:t>
      </w:r>
      <w:bookmarkEnd w:id="9"/>
      <w:bookmarkEnd w:id="10"/>
    </w:p>
    <w:p w:rsidR="00A113CF" w:rsidRDefault="00A113CF">
      <w:pPr>
        <w:pStyle w:val="Heading4"/>
        <w:spacing w:line="360" w:lineRule="auto"/>
        <w:rPr>
          <w:sz w:val="28"/>
          <w:szCs w:val="28"/>
        </w:rPr>
      </w:pPr>
    </w:p>
    <w:p w:rsidR="00F80A8D" w:rsidRDefault="00F80A8D">
      <w:pPr>
        <w:pStyle w:val="Heading4"/>
        <w:spacing w:line="360" w:lineRule="auto"/>
        <w:rPr>
          <w:sz w:val="28"/>
          <w:szCs w:val="28"/>
        </w:rPr>
      </w:pPr>
      <w:r>
        <w:rPr>
          <w:sz w:val="28"/>
          <w:szCs w:val="28"/>
        </w:rPr>
        <w:t>Scope</w:t>
      </w:r>
    </w:p>
    <w:p w:rsidR="00F80A8D" w:rsidRDefault="00F80A8D">
      <w:pPr>
        <w:spacing w:line="360" w:lineRule="auto"/>
        <w:rPr>
          <w:sz w:val="28"/>
          <w:szCs w:val="28"/>
        </w:rPr>
      </w:pPr>
      <w:r>
        <w:rPr>
          <w:sz w:val="28"/>
          <w:szCs w:val="28"/>
        </w:rPr>
        <w:t xml:space="preserve">The Title VI Compliance Review of </w:t>
      </w:r>
      <w:r w:rsidR="006C274C">
        <w:rPr>
          <w:sz w:val="28"/>
          <w:szCs w:val="28"/>
        </w:rPr>
        <w:t>UDOT</w:t>
      </w:r>
      <w:r>
        <w:rPr>
          <w:sz w:val="28"/>
          <w:szCs w:val="28"/>
        </w:rPr>
        <w:t xml:space="preserve"> examined the following requirements as specified in FTA Circular 4702.1A: </w:t>
      </w:r>
    </w:p>
    <w:p w:rsidR="00F80A8D" w:rsidRDefault="00F80A8D">
      <w:pPr>
        <w:spacing w:line="360" w:lineRule="auto"/>
        <w:rPr>
          <w:sz w:val="28"/>
          <w:szCs w:val="28"/>
        </w:rPr>
      </w:pPr>
    </w:p>
    <w:p w:rsidR="00F80A8D" w:rsidRDefault="00F80A8D">
      <w:pPr>
        <w:numPr>
          <w:ilvl w:val="0"/>
          <w:numId w:val="4"/>
        </w:numPr>
        <w:spacing w:line="360" w:lineRule="auto"/>
        <w:rPr>
          <w:sz w:val="28"/>
          <w:szCs w:val="28"/>
        </w:rPr>
      </w:pPr>
      <w:r>
        <w:rPr>
          <w:sz w:val="28"/>
          <w:szCs w:val="28"/>
          <w:u w:val="single"/>
        </w:rPr>
        <w:t>General Reporting Requirements</w:t>
      </w:r>
      <w:r w:rsidR="00345816">
        <w:rPr>
          <w:sz w:val="28"/>
          <w:szCs w:val="28"/>
          <w:u w:val="single"/>
        </w:rPr>
        <w:t xml:space="preserve"> and Guidelines</w:t>
      </w:r>
      <w:r>
        <w:rPr>
          <w:sz w:val="28"/>
          <w:szCs w:val="28"/>
        </w:rPr>
        <w:t xml:space="preserve"> - all applicants, recipients and subrecipients shall maintain and submit the following:  </w:t>
      </w:r>
    </w:p>
    <w:p w:rsidR="00F80A8D" w:rsidRDefault="00F80A8D">
      <w:pPr>
        <w:rPr>
          <w:sz w:val="28"/>
          <w:szCs w:val="28"/>
        </w:rPr>
      </w:pPr>
    </w:p>
    <w:p w:rsidR="00F80A8D" w:rsidRDefault="00F80A8D">
      <w:pPr>
        <w:numPr>
          <w:ilvl w:val="0"/>
          <w:numId w:val="5"/>
        </w:numPr>
        <w:tabs>
          <w:tab w:val="clear" w:pos="360"/>
          <w:tab w:val="num" w:pos="1440"/>
        </w:tabs>
        <w:spacing w:line="360" w:lineRule="auto"/>
        <w:ind w:left="1440"/>
        <w:rPr>
          <w:sz w:val="28"/>
          <w:szCs w:val="28"/>
        </w:rPr>
      </w:pPr>
      <w:r>
        <w:rPr>
          <w:sz w:val="28"/>
          <w:szCs w:val="28"/>
        </w:rPr>
        <w:t>Annual Title VI Certification and Assurance;</w:t>
      </w:r>
    </w:p>
    <w:p w:rsidR="00F80A8D" w:rsidRDefault="00F80A8D">
      <w:pPr>
        <w:numPr>
          <w:ilvl w:val="0"/>
          <w:numId w:val="5"/>
        </w:numPr>
        <w:tabs>
          <w:tab w:val="clear" w:pos="360"/>
          <w:tab w:val="num" w:pos="1440"/>
        </w:tabs>
        <w:spacing w:line="360" w:lineRule="auto"/>
        <w:ind w:left="1440"/>
        <w:rPr>
          <w:sz w:val="28"/>
          <w:szCs w:val="28"/>
        </w:rPr>
      </w:pPr>
      <w:r>
        <w:rPr>
          <w:sz w:val="28"/>
          <w:szCs w:val="28"/>
        </w:rPr>
        <w:t>Title VI Complaint Procedures;</w:t>
      </w:r>
    </w:p>
    <w:p w:rsidR="00F80A8D" w:rsidRDefault="00F80A8D">
      <w:pPr>
        <w:numPr>
          <w:ilvl w:val="0"/>
          <w:numId w:val="5"/>
        </w:numPr>
        <w:tabs>
          <w:tab w:val="clear" w:pos="360"/>
          <w:tab w:val="num" w:pos="1440"/>
        </w:tabs>
        <w:spacing w:line="360" w:lineRule="auto"/>
        <w:ind w:left="1440"/>
        <w:rPr>
          <w:sz w:val="28"/>
          <w:szCs w:val="28"/>
        </w:rPr>
      </w:pPr>
      <w:r>
        <w:rPr>
          <w:sz w:val="28"/>
          <w:szCs w:val="28"/>
        </w:rPr>
        <w:t>Record of Title VI Investigations, Complaints, and Lawsuits;</w:t>
      </w:r>
    </w:p>
    <w:p w:rsidR="00F80A8D" w:rsidRDefault="00F80A8D">
      <w:pPr>
        <w:numPr>
          <w:ilvl w:val="0"/>
          <w:numId w:val="5"/>
        </w:numPr>
        <w:tabs>
          <w:tab w:val="clear" w:pos="360"/>
          <w:tab w:val="num" w:pos="1440"/>
        </w:tabs>
        <w:spacing w:line="360" w:lineRule="auto"/>
        <w:ind w:left="1440"/>
        <w:rPr>
          <w:sz w:val="28"/>
          <w:szCs w:val="28"/>
        </w:rPr>
      </w:pPr>
      <w:r>
        <w:rPr>
          <w:sz w:val="28"/>
          <w:szCs w:val="28"/>
        </w:rPr>
        <w:t>Language Access to LEP Persons;</w:t>
      </w:r>
    </w:p>
    <w:p w:rsidR="00F80A8D" w:rsidRDefault="00F80A8D">
      <w:pPr>
        <w:numPr>
          <w:ilvl w:val="0"/>
          <w:numId w:val="5"/>
        </w:numPr>
        <w:tabs>
          <w:tab w:val="clear" w:pos="360"/>
          <w:tab w:val="num" w:pos="1440"/>
        </w:tabs>
        <w:spacing w:line="360" w:lineRule="auto"/>
        <w:ind w:left="1440"/>
        <w:rPr>
          <w:sz w:val="28"/>
          <w:szCs w:val="28"/>
        </w:rPr>
      </w:pPr>
      <w:r>
        <w:rPr>
          <w:sz w:val="28"/>
          <w:szCs w:val="28"/>
        </w:rPr>
        <w:t>Notice to Beneficiaries of Protection under Title VI;</w:t>
      </w:r>
    </w:p>
    <w:p w:rsidR="00F80A8D" w:rsidRDefault="00F80A8D">
      <w:pPr>
        <w:numPr>
          <w:ilvl w:val="0"/>
          <w:numId w:val="5"/>
        </w:numPr>
        <w:tabs>
          <w:tab w:val="clear" w:pos="360"/>
          <w:tab w:val="num" w:pos="1440"/>
        </w:tabs>
        <w:spacing w:line="360" w:lineRule="auto"/>
        <w:ind w:left="1440"/>
        <w:rPr>
          <w:sz w:val="28"/>
          <w:szCs w:val="28"/>
        </w:rPr>
      </w:pPr>
      <w:r>
        <w:rPr>
          <w:sz w:val="28"/>
          <w:szCs w:val="28"/>
        </w:rPr>
        <w:t>Submit Title VI Program;</w:t>
      </w:r>
    </w:p>
    <w:p w:rsidR="00F80A8D" w:rsidRDefault="00F80A8D">
      <w:pPr>
        <w:numPr>
          <w:ilvl w:val="0"/>
          <w:numId w:val="5"/>
        </w:numPr>
        <w:tabs>
          <w:tab w:val="clear" w:pos="360"/>
          <w:tab w:val="num" w:pos="1440"/>
        </w:tabs>
        <w:spacing w:line="360" w:lineRule="auto"/>
        <w:ind w:left="1440"/>
        <w:rPr>
          <w:sz w:val="28"/>
          <w:szCs w:val="28"/>
        </w:rPr>
      </w:pPr>
      <w:r>
        <w:rPr>
          <w:sz w:val="28"/>
          <w:szCs w:val="28"/>
        </w:rPr>
        <w:t>Environmental Justice Analysis of Construction Projects; and</w:t>
      </w:r>
    </w:p>
    <w:p w:rsidR="00F80A8D" w:rsidRDefault="00F80A8D">
      <w:pPr>
        <w:numPr>
          <w:ilvl w:val="0"/>
          <w:numId w:val="5"/>
        </w:numPr>
        <w:tabs>
          <w:tab w:val="clear" w:pos="360"/>
          <w:tab w:val="num" w:pos="1440"/>
        </w:tabs>
        <w:spacing w:line="360" w:lineRule="auto"/>
        <w:ind w:left="1440"/>
        <w:rPr>
          <w:sz w:val="28"/>
          <w:szCs w:val="28"/>
        </w:rPr>
      </w:pPr>
      <w:r>
        <w:rPr>
          <w:sz w:val="28"/>
          <w:szCs w:val="28"/>
        </w:rPr>
        <w:t>Inclusive Public Participation.</w:t>
      </w:r>
    </w:p>
    <w:p w:rsidR="00F80A8D" w:rsidRDefault="00F80A8D">
      <w:pPr>
        <w:spacing w:line="360" w:lineRule="auto"/>
        <w:rPr>
          <w:color w:val="0000FF"/>
          <w:sz w:val="28"/>
          <w:szCs w:val="28"/>
        </w:rPr>
      </w:pPr>
    </w:p>
    <w:p w:rsidR="00F80A8D" w:rsidRDefault="00F80A8D">
      <w:pPr>
        <w:numPr>
          <w:ilvl w:val="0"/>
          <w:numId w:val="4"/>
        </w:numPr>
        <w:spacing w:line="360" w:lineRule="auto"/>
        <w:rPr>
          <w:sz w:val="28"/>
          <w:szCs w:val="28"/>
        </w:rPr>
      </w:pPr>
      <w:r>
        <w:rPr>
          <w:sz w:val="28"/>
          <w:szCs w:val="28"/>
          <w:u w:val="single"/>
        </w:rPr>
        <w:t>Program-Specific Requirements</w:t>
      </w:r>
      <w:r w:rsidR="0053731C">
        <w:rPr>
          <w:sz w:val="28"/>
          <w:szCs w:val="28"/>
          <w:u w:val="single"/>
        </w:rPr>
        <w:t xml:space="preserve"> </w:t>
      </w:r>
      <w:r w:rsidR="00345816">
        <w:rPr>
          <w:sz w:val="28"/>
          <w:szCs w:val="28"/>
          <w:u w:val="single"/>
        </w:rPr>
        <w:t xml:space="preserve">and Guidelines </w:t>
      </w:r>
      <w:r w:rsidR="0053731C">
        <w:rPr>
          <w:sz w:val="28"/>
          <w:szCs w:val="28"/>
          <w:u w:val="single"/>
        </w:rPr>
        <w:t>for State DOTs</w:t>
      </w:r>
      <w:r w:rsidR="00345816">
        <w:rPr>
          <w:sz w:val="28"/>
          <w:szCs w:val="28"/>
          <w:u w:val="single"/>
        </w:rPr>
        <w:t xml:space="preserve"> and Other Administering Agencies</w:t>
      </w:r>
      <w:r>
        <w:rPr>
          <w:sz w:val="28"/>
          <w:szCs w:val="28"/>
        </w:rPr>
        <w:t xml:space="preserve"> - </w:t>
      </w:r>
      <w:r w:rsidR="0053731C">
        <w:rPr>
          <w:sz w:val="28"/>
        </w:rPr>
        <w:t xml:space="preserve">State DOTs and other State </w:t>
      </w:r>
      <w:r w:rsidR="00842D1C">
        <w:rPr>
          <w:sz w:val="28"/>
        </w:rPr>
        <w:t>A</w:t>
      </w:r>
      <w:r w:rsidR="0053731C">
        <w:rPr>
          <w:sz w:val="28"/>
        </w:rPr>
        <w:t xml:space="preserve">dministrating </w:t>
      </w:r>
      <w:r w:rsidR="00842D1C">
        <w:rPr>
          <w:sz w:val="28"/>
        </w:rPr>
        <w:t>A</w:t>
      </w:r>
      <w:r w:rsidR="00A162F2">
        <w:rPr>
          <w:sz w:val="28"/>
        </w:rPr>
        <w:t>gencies, administeri</w:t>
      </w:r>
      <w:r w:rsidR="0053731C">
        <w:rPr>
          <w:sz w:val="28"/>
        </w:rPr>
        <w:t xml:space="preserve">ng Elderly Individuals and Individuals with Disabilities, Rural and Small Urban Area, Job Access and Reverse Commute (JARC), and New Freedom funding programs, as well as designated recipients in large urbanized areas for JARC and New Freedom, </w:t>
      </w:r>
      <w:r w:rsidR="0053731C">
        <w:rPr>
          <w:sz w:val="28"/>
          <w:szCs w:val="28"/>
        </w:rPr>
        <w:t>shall also submit the following:</w:t>
      </w:r>
      <w:r>
        <w:rPr>
          <w:sz w:val="28"/>
          <w:szCs w:val="28"/>
        </w:rPr>
        <w:t xml:space="preserve"> </w:t>
      </w:r>
    </w:p>
    <w:p w:rsidR="00F80A8D" w:rsidRDefault="00F80A8D">
      <w:pPr>
        <w:spacing w:line="360" w:lineRule="auto"/>
        <w:ind w:left="360"/>
        <w:rPr>
          <w:sz w:val="28"/>
          <w:szCs w:val="28"/>
        </w:rPr>
      </w:pPr>
    </w:p>
    <w:p w:rsidR="002D2C84" w:rsidRDefault="002D2C84" w:rsidP="002D2C84">
      <w:pPr>
        <w:numPr>
          <w:ilvl w:val="0"/>
          <w:numId w:val="39"/>
        </w:numPr>
        <w:tabs>
          <w:tab w:val="clear" w:pos="360"/>
          <w:tab w:val="num" w:pos="1440"/>
        </w:tabs>
        <w:ind w:left="1440"/>
        <w:rPr>
          <w:sz w:val="28"/>
          <w:szCs w:val="28"/>
        </w:rPr>
      </w:pPr>
      <w:r>
        <w:rPr>
          <w:sz w:val="28"/>
          <w:szCs w:val="28"/>
        </w:rPr>
        <w:lastRenderedPageBreak/>
        <w:t xml:space="preserve">A copy of procedures to certify that the statewide planning Process is in compliance with Title VI; </w:t>
      </w:r>
    </w:p>
    <w:p w:rsidR="002D2C84" w:rsidRDefault="002D2C84" w:rsidP="002D2C84">
      <w:pPr>
        <w:ind w:left="2160"/>
        <w:rPr>
          <w:sz w:val="28"/>
          <w:szCs w:val="28"/>
        </w:rPr>
      </w:pPr>
    </w:p>
    <w:p w:rsidR="002D2C84" w:rsidRDefault="002D2C84" w:rsidP="002D2C84">
      <w:pPr>
        <w:numPr>
          <w:ilvl w:val="0"/>
          <w:numId w:val="39"/>
        </w:numPr>
        <w:tabs>
          <w:tab w:val="clear" w:pos="360"/>
          <w:tab w:val="num" w:pos="1440"/>
        </w:tabs>
        <w:ind w:left="1440"/>
        <w:rPr>
          <w:sz w:val="28"/>
          <w:szCs w:val="28"/>
        </w:rPr>
      </w:pPr>
      <w:r>
        <w:rPr>
          <w:sz w:val="28"/>
          <w:szCs w:val="28"/>
        </w:rPr>
        <w:t xml:space="preserve">A description of the procedures the agency uses to pass through FTA financial assistance in a non-discriminatory manner; </w:t>
      </w:r>
    </w:p>
    <w:p w:rsidR="002D2C84" w:rsidRDefault="002D2C84" w:rsidP="002D2C84">
      <w:pPr>
        <w:ind w:left="2160"/>
        <w:rPr>
          <w:sz w:val="28"/>
          <w:szCs w:val="28"/>
        </w:rPr>
      </w:pPr>
    </w:p>
    <w:p w:rsidR="002D2C84" w:rsidRDefault="002D2C84" w:rsidP="002D2C84">
      <w:pPr>
        <w:numPr>
          <w:ilvl w:val="0"/>
          <w:numId w:val="39"/>
        </w:numPr>
        <w:tabs>
          <w:tab w:val="clear" w:pos="360"/>
          <w:tab w:val="num" w:pos="1440"/>
        </w:tabs>
        <w:ind w:left="1440"/>
        <w:rPr>
          <w:sz w:val="28"/>
          <w:szCs w:val="28"/>
        </w:rPr>
      </w:pPr>
      <w:r>
        <w:rPr>
          <w:sz w:val="28"/>
          <w:szCs w:val="28"/>
        </w:rPr>
        <w:t>A description of the procedures the agency uses to provide assistance to potential subrecipients in a non-discriminatory manner;</w:t>
      </w:r>
    </w:p>
    <w:p w:rsidR="002D2C84" w:rsidRDefault="002D2C84" w:rsidP="002D2C84">
      <w:pPr>
        <w:ind w:left="2160"/>
        <w:rPr>
          <w:sz w:val="28"/>
          <w:szCs w:val="28"/>
        </w:rPr>
      </w:pPr>
    </w:p>
    <w:p w:rsidR="002D2C84" w:rsidRDefault="002D2C84" w:rsidP="002D2C84">
      <w:pPr>
        <w:numPr>
          <w:ilvl w:val="0"/>
          <w:numId w:val="39"/>
        </w:numPr>
        <w:tabs>
          <w:tab w:val="clear" w:pos="360"/>
          <w:tab w:val="num" w:pos="1440"/>
        </w:tabs>
        <w:ind w:left="1440"/>
        <w:rPr>
          <w:sz w:val="28"/>
          <w:szCs w:val="28"/>
        </w:rPr>
      </w:pPr>
      <w:r>
        <w:rPr>
          <w:sz w:val="28"/>
          <w:szCs w:val="28"/>
        </w:rPr>
        <w:t>A description of how the agency monitors its subrecipients for compliance with Title VI and the results of the monitoring.</w:t>
      </w:r>
    </w:p>
    <w:p w:rsidR="002D2C84" w:rsidRDefault="002D2C84" w:rsidP="002D2C84">
      <w:pPr>
        <w:spacing w:line="360" w:lineRule="auto"/>
        <w:rPr>
          <w:sz w:val="28"/>
          <w:szCs w:val="28"/>
        </w:rPr>
      </w:pPr>
    </w:p>
    <w:p w:rsidR="00F80A8D" w:rsidRDefault="00F80A8D">
      <w:pPr>
        <w:pStyle w:val="Heading4"/>
        <w:spacing w:line="360" w:lineRule="auto"/>
        <w:rPr>
          <w:sz w:val="28"/>
          <w:szCs w:val="28"/>
        </w:rPr>
      </w:pPr>
      <w:r>
        <w:rPr>
          <w:sz w:val="28"/>
          <w:szCs w:val="28"/>
        </w:rPr>
        <w:t>Methodology</w:t>
      </w:r>
    </w:p>
    <w:p w:rsidR="00F80A8D" w:rsidRDefault="00F80A8D">
      <w:pPr>
        <w:spacing w:line="360" w:lineRule="auto"/>
        <w:rPr>
          <w:sz w:val="28"/>
          <w:szCs w:val="28"/>
        </w:rPr>
      </w:pPr>
      <w:r>
        <w:rPr>
          <w:sz w:val="28"/>
          <w:szCs w:val="28"/>
        </w:rPr>
        <w:t xml:space="preserve">Initial interviews were conducted with the FTA Headquarters Civil Rights staff and the FTA </w:t>
      </w:r>
      <w:r w:rsidR="00CA1585">
        <w:rPr>
          <w:sz w:val="28"/>
          <w:szCs w:val="28"/>
        </w:rPr>
        <w:t>Region VIII</w:t>
      </w:r>
      <w:r>
        <w:rPr>
          <w:sz w:val="28"/>
          <w:szCs w:val="28"/>
        </w:rPr>
        <w:t xml:space="preserve"> Civil Rights Officer to discuss specific Title VI issues and concerns regarding </w:t>
      </w:r>
      <w:r w:rsidR="006C274C">
        <w:rPr>
          <w:sz w:val="28"/>
          <w:szCs w:val="28"/>
        </w:rPr>
        <w:t>UDOT</w:t>
      </w:r>
      <w:r>
        <w:rPr>
          <w:sz w:val="28"/>
          <w:szCs w:val="28"/>
        </w:rPr>
        <w:t>.</w:t>
      </w:r>
      <w:r>
        <w:rPr>
          <w:color w:val="33CCCC"/>
          <w:sz w:val="28"/>
          <w:szCs w:val="28"/>
        </w:rPr>
        <w:t xml:space="preserve">  </w:t>
      </w:r>
      <w:r>
        <w:rPr>
          <w:sz w:val="28"/>
          <w:szCs w:val="28"/>
        </w:rPr>
        <w:t xml:space="preserve">An agenda letter covering the </w:t>
      </w:r>
      <w:r w:rsidR="00345816">
        <w:rPr>
          <w:sz w:val="28"/>
          <w:szCs w:val="28"/>
        </w:rPr>
        <w:t>Title VI</w:t>
      </w:r>
      <w:r w:rsidR="00155FDB">
        <w:rPr>
          <w:sz w:val="28"/>
          <w:szCs w:val="28"/>
        </w:rPr>
        <w:t xml:space="preserve"> Compliance</w:t>
      </w:r>
      <w:r w:rsidR="00345816">
        <w:rPr>
          <w:sz w:val="28"/>
          <w:szCs w:val="28"/>
        </w:rPr>
        <w:t xml:space="preserve"> </w:t>
      </w:r>
      <w:r>
        <w:rPr>
          <w:sz w:val="28"/>
          <w:szCs w:val="28"/>
        </w:rPr>
        <w:t xml:space="preserve">Review was sent to </w:t>
      </w:r>
      <w:r w:rsidR="006C274C">
        <w:rPr>
          <w:sz w:val="28"/>
          <w:szCs w:val="28"/>
        </w:rPr>
        <w:t>UDOT</w:t>
      </w:r>
      <w:r>
        <w:rPr>
          <w:sz w:val="28"/>
          <w:szCs w:val="28"/>
        </w:rPr>
        <w:t xml:space="preserve"> advising it of the site visit and indicating additional information that would be needed and issues that would be discussed.  </w:t>
      </w:r>
      <w:r w:rsidR="00345816">
        <w:rPr>
          <w:sz w:val="28"/>
          <w:szCs w:val="28"/>
        </w:rPr>
        <w:t>The Title VI</w:t>
      </w:r>
      <w:r w:rsidR="00155FDB">
        <w:rPr>
          <w:sz w:val="28"/>
          <w:szCs w:val="28"/>
        </w:rPr>
        <w:t xml:space="preserve"> Compliance</w:t>
      </w:r>
      <w:r w:rsidR="00345816">
        <w:rPr>
          <w:sz w:val="28"/>
          <w:szCs w:val="28"/>
        </w:rPr>
        <w:t xml:space="preserve"> Review site visit was held concurrently with the UDOT State Management Review (SMR) site visit. The results of the UDOT SMR are contained in a separate report.  </w:t>
      </w:r>
      <w:r>
        <w:rPr>
          <w:sz w:val="28"/>
          <w:szCs w:val="28"/>
        </w:rPr>
        <w:t xml:space="preserve">The Title VI </w:t>
      </w:r>
      <w:r w:rsidR="00155FDB">
        <w:rPr>
          <w:sz w:val="28"/>
          <w:szCs w:val="28"/>
        </w:rPr>
        <w:t xml:space="preserve">Compliance </w:t>
      </w:r>
      <w:r>
        <w:rPr>
          <w:sz w:val="28"/>
          <w:szCs w:val="28"/>
        </w:rPr>
        <w:t>Review team focused on the compliance areas that are contained in FTA Title VI Circular 4702.1A that became effective on May 13, 2007.  These compliance areas are: (1) General Reporting Requirements</w:t>
      </w:r>
      <w:r w:rsidR="00345816">
        <w:rPr>
          <w:sz w:val="28"/>
          <w:szCs w:val="28"/>
        </w:rPr>
        <w:t xml:space="preserve"> and Guidelines</w:t>
      </w:r>
      <w:r>
        <w:rPr>
          <w:sz w:val="28"/>
          <w:szCs w:val="28"/>
        </w:rPr>
        <w:t xml:space="preserve">; and (2) Program-Specific Requirements </w:t>
      </w:r>
      <w:r w:rsidR="00345816">
        <w:rPr>
          <w:sz w:val="28"/>
          <w:szCs w:val="28"/>
        </w:rPr>
        <w:t xml:space="preserve">and Guidelines </w:t>
      </w:r>
      <w:r>
        <w:rPr>
          <w:sz w:val="28"/>
          <w:szCs w:val="28"/>
        </w:rPr>
        <w:t xml:space="preserve">for </w:t>
      </w:r>
      <w:r w:rsidR="009B2C92">
        <w:rPr>
          <w:sz w:val="28"/>
          <w:szCs w:val="28"/>
        </w:rPr>
        <w:t xml:space="preserve">State Departments of Transportation and </w:t>
      </w:r>
      <w:r w:rsidR="00345816">
        <w:rPr>
          <w:sz w:val="28"/>
          <w:szCs w:val="28"/>
        </w:rPr>
        <w:t>O</w:t>
      </w:r>
      <w:r w:rsidR="009B2C92">
        <w:rPr>
          <w:sz w:val="28"/>
          <w:szCs w:val="28"/>
        </w:rPr>
        <w:t xml:space="preserve">ther </w:t>
      </w:r>
      <w:r w:rsidR="00345816">
        <w:rPr>
          <w:sz w:val="28"/>
          <w:szCs w:val="28"/>
        </w:rPr>
        <w:t>A</w:t>
      </w:r>
      <w:r w:rsidR="009B2C92">
        <w:rPr>
          <w:sz w:val="28"/>
          <w:szCs w:val="28"/>
        </w:rPr>
        <w:t xml:space="preserve">dministering </w:t>
      </w:r>
      <w:r w:rsidR="00345816">
        <w:rPr>
          <w:sz w:val="28"/>
          <w:szCs w:val="28"/>
        </w:rPr>
        <w:t>A</w:t>
      </w:r>
      <w:r w:rsidR="009B2C92">
        <w:rPr>
          <w:sz w:val="28"/>
          <w:szCs w:val="28"/>
        </w:rPr>
        <w:t>gencies</w:t>
      </w:r>
      <w:r>
        <w:rPr>
          <w:sz w:val="28"/>
          <w:szCs w:val="28"/>
        </w:rPr>
        <w:t xml:space="preserve">.  The General Reporting Requirements </w:t>
      </w:r>
      <w:r w:rsidR="00345816">
        <w:rPr>
          <w:sz w:val="28"/>
          <w:szCs w:val="28"/>
        </w:rPr>
        <w:t xml:space="preserve">and Guidelines </w:t>
      </w:r>
      <w:r>
        <w:rPr>
          <w:sz w:val="28"/>
          <w:szCs w:val="28"/>
        </w:rPr>
        <w:t xml:space="preserve">now include implementation of the Environmental Justice (EJ) and Limited English Proficiency (LEP) Executive Orders.  </w:t>
      </w:r>
    </w:p>
    <w:p w:rsidR="00F80A8D" w:rsidRDefault="00F80A8D">
      <w:pPr>
        <w:spacing w:line="360" w:lineRule="auto"/>
        <w:rPr>
          <w:sz w:val="28"/>
          <w:szCs w:val="28"/>
        </w:rPr>
      </w:pPr>
    </w:p>
    <w:p w:rsidR="00F80A8D" w:rsidRDefault="006C274C">
      <w:pPr>
        <w:spacing w:line="360" w:lineRule="auto"/>
        <w:rPr>
          <w:sz w:val="28"/>
          <w:szCs w:val="28"/>
        </w:rPr>
      </w:pPr>
      <w:r>
        <w:rPr>
          <w:sz w:val="28"/>
          <w:szCs w:val="28"/>
        </w:rPr>
        <w:lastRenderedPageBreak/>
        <w:t>UDOT</w:t>
      </w:r>
      <w:r w:rsidR="00F80A8D">
        <w:rPr>
          <w:sz w:val="28"/>
          <w:szCs w:val="28"/>
        </w:rPr>
        <w:t xml:space="preserve"> was requested to provide the following information regarding the Title VI Requirements of FTA Circular 4702.1A:</w:t>
      </w:r>
    </w:p>
    <w:p w:rsidR="00F80A8D" w:rsidRDefault="00F80A8D" w:rsidP="009D7F43">
      <w:pPr>
        <w:pStyle w:val="BodyTextIndent2"/>
        <w:jc w:val="both"/>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60"/>
      </w:tblGrid>
      <w:tr w:rsidR="00255EE1" w:rsidRPr="007851AF" w:rsidTr="0004231E">
        <w:trPr>
          <w:cantSplit/>
        </w:trPr>
        <w:tc>
          <w:tcPr>
            <w:tcW w:w="9360" w:type="dxa"/>
          </w:tcPr>
          <w:p w:rsidR="00255EE1" w:rsidRPr="00091238" w:rsidRDefault="00255EE1" w:rsidP="007851AF">
            <w:pPr>
              <w:spacing w:before="40" w:after="40"/>
              <w:rPr>
                <w:rFonts w:ascii="Arial" w:hAnsi="Arial" w:cs="Arial"/>
                <w:b/>
                <w:sz w:val="22"/>
                <w:szCs w:val="22"/>
              </w:rPr>
            </w:pPr>
            <w:r w:rsidRPr="00091238">
              <w:rPr>
                <w:rFonts w:ascii="Arial" w:hAnsi="Arial" w:cs="Arial"/>
                <w:b/>
                <w:sz w:val="22"/>
                <w:szCs w:val="22"/>
              </w:rPr>
              <w:t>0. Background</w:t>
            </w:r>
          </w:p>
        </w:tc>
      </w:tr>
      <w:tr w:rsidR="00255EE1" w:rsidTr="0004231E">
        <w:trPr>
          <w:cantSplit/>
        </w:trPr>
        <w:tc>
          <w:tcPr>
            <w:tcW w:w="9360" w:type="dxa"/>
          </w:tcPr>
          <w:p w:rsidR="00255EE1" w:rsidRPr="00091238" w:rsidRDefault="006C274C" w:rsidP="0064099D">
            <w:pPr>
              <w:pStyle w:val="BodyTextIndent2"/>
              <w:numPr>
                <w:ilvl w:val="0"/>
                <w:numId w:val="23"/>
              </w:numPr>
              <w:ind w:left="720"/>
              <w:jc w:val="both"/>
              <w:rPr>
                <w:rFonts w:ascii="Arial" w:hAnsi="Arial" w:cs="Arial"/>
                <w:szCs w:val="22"/>
              </w:rPr>
            </w:pPr>
            <w:r>
              <w:rPr>
                <w:rFonts w:ascii="Arial" w:hAnsi="Arial" w:cs="Arial"/>
                <w:szCs w:val="22"/>
              </w:rPr>
              <w:t>UDOT</w:t>
            </w:r>
            <w:r w:rsidR="00255EE1" w:rsidRPr="00091238">
              <w:rPr>
                <w:rFonts w:ascii="Arial" w:hAnsi="Arial" w:cs="Arial"/>
                <w:szCs w:val="22"/>
              </w:rPr>
              <w:t>’s most recent State Management Plan(s) for FTA-funded Section 5310, 5311, 5316, and 5317 programs.</w:t>
            </w:r>
          </w:p>
        </w:tc>
      </w:tr>
      <w:tr w:rsidR="00255EE1" w:rsidTr="0004231E">
        <w:trPr>
          <w:cantSplit/>
        </w:trPr>
        <w:tc>
          <w:tcPr>
            <w:tcW w:w="9360" w:type="dxa"/>
          </w:tcPr>
          <w:p w:rsidR="00255EE1" w:rsidRPr="00091238" w:rsidRDefault="00255EE1" w:rsidP="0064099D">
            <w:pPr>
              <w:pStyle w:val="BodyTextIndent2"/>
              <w:numPr>
                <w:ilvl w:val="0"/>
                <w:numId w:val="23"/>
              </w:numPr>
              <w:ind w:left="720"/>
              <w:jc w:val="both"/>
              <w:rPr>
                <w:rFonts w:ascii="Arial" w:hAnsi="Arial" w:cs="Arial"/>
                <w:szCs w:val="22"/>
              </w:rPr>
            </w:pPr>
            <w:r w:rsidRPr="00091238">
              <w:rPr>
                <w:rFonts w:ascii="Arial" w:hAnsi="Arial" w:cs="Arial"/>
                <w:szCs w:val="22"/>
              </w:rPr>
              <w:t xml:space="preserve">List of all </w:t>
            </w:r>
            <w:r w:rsidR="006C274C">
              <w:rPr>
                <w:rFonts w:ascii="Arial" w:hAnsi="Arial" w:cs="Arial"/>
                <w:szCs w:val="22"/>
              </w:rPr>
              <w:t>UDOT</w:t>
            </w:r>
            <w:r w:rsidRPr="00091238">
              <w:rPr>
                <w:rFonts w:ascii="Arial" w:hAnsi="Arial" w:cs="Arial"/>
                <w:szCs w:val="22"/>
              </w:rPr>
              <w:t xml:space="preserve"> subrecipients by FTA program area, e.g., FTA Section 5309, 5310, 5311, 5316, and 5317 subrecipients. </w:t>
            </w:r>
          </w:p>
        </w:tc>
      </w:tr>
      <w:tr w:rsidR="00255EE1" w:rsidTr="0004231E">
        <w:trPr>
          <w:cantSplit/>
        </w:trPr>
        <w:tc>
          <w:tcPr>
            <w:tcW w:w="9360" w:type="dxa"/>
          </w:tcPr>
          <w:p w:rsidR="00255EE1" w:rsidRPr="00091238" w:rsidRDefault="00255EE1" w:rsidP="0064099D">
            <w:pPr>
              <w:pStyle w:val="BodyTextIndent2"/>
              <w:numPr>
                <w:ilvl w:val="0"/>
                <w:numId w:val="23"/>
              </w:numPr>
              <w:ind w:left="720"/>
              <w:jc w:val="both"/>
              <w:rPr>
                <w:rFonts w:ascii="Arial" w:hAnsi="Arial" w:cs="Arial"/>
                <w:szCs w:val="22"/>
              </w:rPr>
            </w:pPr>
            <w:r w:rsidRPr="00091238">
              <w:rPr>
                <w:rFonts w:ascii="Arial" w:hAnsi="Arial" w:cs="Arial"/>
                <w:szCs w:val="22"/>
              </w:rPr>
              <w:t>A map or chart of the distribution of FTA Section 5309, 5310, 5311, 5316, and 5317 funding throughout the State. The areas covered by each subrecipient and the dollars awarded in the past three years should be noted, as well as the number of vehicles, where appropriate. The map or chart should also identify areas where minority and low-income populations exceed the statewide averages.</w:t>
            </w:r>
          </w:p>
        </w:tc>
      </w:tr>
      <w:tr w:rsidR="00255EE1" w:rsidTr="0004231E">
        <w:trPr>
          <w:cantSplit/>
        </w:trPr>
        <w:tc>
          <w:tcPr>
            <w:tcW w:w="9360" w:type="dxa"/>
            <w:tcBorders>
              <w:bottom w:val="single" w:sz="6" w:space="0" w:color="auto"/>
            </w:tcBorders>
          </w:tcPr>
          <w:p w:rsidR="00255EE1" w:rsidRPr="00091238" w:rsidRDefault="00255EE1" w:rsidP="0064099D">
            <w:pPr>
              <w:pStyle w:val="BodyTextIndent2"/>
              <w:numPr>
                <w:ilvl w:val="0"/>
                <w:numId w:val="23"/>
              </w:numPr>
              <w:ind w:left="720"/>
              <w:jc w:val="both"/>
              <w:rPr>
                <w:rFonts w:ascii="Arial" w:hAnsi="Arial" w:cs="Arial"/>
                <w:szCs w:val="22"/>
              </w:rPr>
            </w:pPr>
            <w:r w:rsidRPr="00091238">
              <w:rPr>
                <w:rFonts w:ascii="Arial" w:hAnsi="Arial" w:cs="Arial"/>
                <w:szCs w:val="22"/>
              </w:rPr>
              <w:t>A demographic profile of the State that includes the identification of the locations of socioeconomic groups, including low-income and minority populations, as covered by Title VI and the Executive Order on Environmental Justice.</w:t>
            </w:r>
          </w:p>
        </w:tc>
      </w:tr>
      <w:tr w:rsidR="00255EE1" w:rsidTr="0004231E">
        <w:trPr>
          <w:cantSplit/>
        </w:trPr>
        <w:tc>
          <w:tcPr>
            <w:tcW w:w="9360" w:type="dxa"/>
            <w:tcBorders>
              <w:bottom w:val="single" w:sz="6" w:space="0" w:color="auto"/>
            </w:tcBorders>
          </w:tcPr>
          <w:p w:rsidR="00255EE1" w:rsidRPr="00091238" w:rsidRDefault="006C274C" w:rsidP="0064099D">
            <w:pPr>
              <w:pStyle w:val="BodyTextIndent2"/>
              <w:numPr>
                <w:ilvl w:val="0"/>
                <w:numId w:val="23"/>
              </w:numPr>
              <w:ind w:left="720"/>
              <w:jc w:val="both"/>
              <w:rPr>
                <w:rFonts w:ascii="Arial" w:hAnsi="Arial" w:cs="Arial"/>
                <w:szCs w:val="22"/>
              </w:rPr>
            </w:pPr>
            <w:r>
              <w:rPr>
                <w:rFonts w:ascii="Arial" w:hAnsi="Arial" w:cs="Arial"/>
                <w:szCs w:val="22"/>
              </w:rPr>
              <w:t>UDOT</w:t>
            </w:r>
            <w:r w:rsidR="00255EE1" w:rsidRPr="00091238">
              <w:rPr>
                <w:rFonts w:ascii="Arial" w:hAnsi="Arial" w:cs="Arial"/>
                <w:szCs w:val="22"/>
              </w:rPr>
              <w:t xml:space="preserve"> Organization Chart for the </w:t>
            </w:r>
            <w:r w:rsidR="00255EE1">
              <w:rPr>
                <w:rFonts w:ascii="Arial" w:hAnsi="Arial" w:cs="Arial"/>
                <w:szCs w:val="22"/>
              </w:rPr>
              <w:t>Department</w:t>
            </w:r>
            <w:r w:rsidR="00255EE1" w:rsidRPr="00091238">
              <w:rPr>
                <w:rFonts w:ascii="Arial" w:hAnsi="Arial" w:cs="Arial"/>
                <w:szCs w:val="22"/>
              </w:rPr>
              <w:t xml:space="preserve"> and </w:t>
            </w:r>
            <w:r w:rsidR="00255EE1">
              <w:rPr>
                <w:rFonts w:ascii="Arial" w:hAnsi="Arial" w:cs="Arial"/>
                <w:szCs w:val="22"/>
              </w:rPr>
              <w:t xml:space="preserve">for </w:t>
            </w:r>
            <w:r w:rsidR="00255EE1" w:rsidRPr="00091238">
              <w:rPr>
                <w:rFonts w:ascii="Arial" w:hAnsi="Arial" w:cs="Arial"/>
                <w:szCs w:val="22"/>
              </w:rPr>
              <w:t xml:space="preserve">the </w:t>
            </w:r>
            <w:r w:rsidR="00255EE1">
              <w:rPr>
                <w:rFonts w:ascii="Arial" w:hAnsi="Arial" w:cs="Arial"/>
                <w:szCs w:val="22"/>
              </w:rPr>
              <w:t xml:space="preserve">unit responsible for administration of FTA </w:t>
            </w:r>
            <w:proofErr w:type="gramStart"/>
            <w:r w:rsidR="00255EE1">
              <w:rPr>
                <w:rFonts w:ascii="Arial" w:hAnsi="Arial" w:cs="Arial"/>
                <w:szCs w:val="22"/>
              </w:rPr>
              <w:t>grant</w:t>
            </w:r>
            <w:proofErr w:type="gramEnd"/>
            <w:r w:rsidR="00255EE1">
              <w:rPr>
                <w:rFonts w:ascii="Arial" w:hAnsi="Arial" w:cs="Arial"/>
                <w:szCs w:val="22"/>
              </w:rPr>
              <w:t xml:space="preserve"> programs.</w:t>
            </w:r>
            <w:r w:rsidR="00255EE1" w:rsidRPr="00091238">
              <w:rPr>
                <w:rFonts w:ascii="Arial" w:hAnsi="Arial" w:cs="Arial"/>
                <w:szCs w:val="22"/>
              </w:rPr>
              <w:t xml:space="preserve"> </w:t>
            </w:r>
          </w:p>
        </w:tc>
      </w:tr>
      <w:tr w:rsidR="00255EE1" w:rsidTr="0004231E">
        <w:trPr>
          <w:cantSplit/>
        </w:trPr>
        <w:tc>
          <w:tcPr>
            <w:tcW w:w="9360" w:type="dxa"/>
            <w:tcBorders>
              <w:bottom w:val="single" w:sz="6" w:space="0" w:color="auto"/>
            </w:tcBorders>
          </w:tcPr>
          <w:p w:rsidR="00255EE1" w:rsidRPr="00091238" w:rsidRDefault="00255EE1" w:rsidP="0064099D">
            <w:pPr>
              <w:pStyle w:val="BodyTextIndent2"/>
              <w:numPr>
                <w:ilvl w:val="0"/>
                <w:numId w:val="23"/>
              </w:numPr>
              <w:ind w:left="720"/>
              <w:jc w:val="both"/>
              <w:rPr>
                <w:rFonts w:ascii="Arial" w:hAnsi="Arial" w:cs="Arial"/>
                <w:szCs w:val="22"/>
              </w:rPr>
            </w:pPr>
            <w:r w:rsidRPr="00091238">
              <w:rPr>
                <w:rFonts w:ascii="Arial" w:hAnsi="Arial" w:cs="Arial"/>
                <w:szCs w:val="22"/>
              </w:rPr>
              <w:t xml:space="preserve">Sample copies of current funding agreements/contracts between </w:t>
            </w:r>
            <w:r w:rsidR="006C274C">
              <w:rPr>
                <w:rFonts w:ascii="Arial" w:hAnsi="Arial" w:cs="Arial"/>
                <w:szCs w:val="22"/>
              </w:rPr>
              <w:t>UDOT</w:t>
            </w:r>
            <w:r w:rsidRPr="00091238">
              <w:rPr>
                <w:rFonts w:ascii="Arial" w:hAnsi="Arial" w:cs="Arial"/>
                <w:szCs w:val="22"/>
              </w:rPr>
              <w:t xml:space="preserve"> and its FTA-funded subrecipients, including Section 5309, 5310, 5311, 5316, and 5317 subrecipients.</w:t>
            </w:r>
          </w:p>
        </w:tc>
      </w:tr>
      <w:tr w:rsidR="00255EE1" w:rsidTr="0004231E">
        <w:trPr>
          <w:cantSplit/>
        </w:trPr>
        <w:tc>
          <w:tcPr>
            <w:tcW w:w="9360" w:type="dxa"/>
            <w:tcBorders>
              <w:bottom w:val="single" w:sz="6" w:space="0" w:color="auto"/>
            </w:tcBorders>
          </w:tcPr>
          <w:p w:rsidR="00255EE1" w:rsidRPr="00091238" w:rsidRDefault="00255EE1" w:rsidP="0064099D">
            <w:pPr>
              <w:pStyle w:val="BodyTextIndent2"/>
              <w:numPr>
                <w:ilvl w:val="0"/>
                <w:numId w:val="23"/>
              </w:numPr>
              <w:ind w:left="720"/>
              <w:jc w:val="both"/>
              <w:rPr>
                <w:rFonts w:ascii="Arial" w:hAnsi="Arial" w:cs="Arial"/>
                <w:szCs w:val="22"/>
              </w:rPr>
            </w:pPr>
            <w:r w:rsidRPr="00091238">
              <w:rPr>
                <w:rFonts w:ascii="Arial" w:hAnsi="Arial" w:cs="Arial"/>
                <w:szCs w:val="22"/>
              </w:rPr>
              <w:t xml:space="preserve">Any studies or surveys conducted by </w:t>
            </w:r>
            <w:r w:rsidR="006C274C">
              <w:rPr>
                <w:rFonts w:ascii="Arial" w:hAnsi="Arial" w:cs="Arial"/>
                <w:szCs w:val="22"/>
              </w:rPr>
              <w:t>UDOT</w:t>
            </w:r>
            <w:r w:rsidRPr="00091238">
              <w:rPr>
                <w:rFonts w:ascii="Arial" w:hAnsi="Arial" w:cs="Arial"/>
                <w:szCs w:val="22"/>
              </w:rPr>
              <w:t xml:space="preserve">, its consultants or other interested parties (colleges or universities, community groups, etc.) regarding ridership, service levels and amenities, passenger satisfaction, passenger demographics or fare issues for its </w:t>
            </w:r>
            <w:r>
              <w:rPr>
                <w:rFonts w:ascii="Arial" w:hAnsi="Arial" w:cs="Arial"/>
                <w:szCs w:val="22"/>
              </w:rPr>
              <w:t>rural</w:t>
            </w:r>
            <w:r w:rsidRPr="00091238">
              <w:rPr>
                <w:rFonts w:ascii="Arial" w:hAnsi="Arial" w:cs="Arial"/>
                <w:szCs w:val="22"/>
              </w:rPr>
              <w:t xml:space="preserve"> public transit service and regarding transit planning and serv</w:t>
            </w:r>
            <w:r>
              <w:rPr>
                <w:rFonts w:ascii="Arial" w:hAnsi="Arial" w:cs="Arial"/>
                <w:szCs w:val="22"/>
              </w:rPr>
              <w:t>ice provided by FTA Section 5309</w:t>
            </w:r>
            <w:r w:rsidRPr="00091238">
              <w:rPr>
                <w:rFonts w:ascii="Arial" w:hAnsi="Arial" w:cs="Arial"/>
                <w:szCs w:val="22"/>
              </w:rPr>
              <w:t>, 5310, 5311, 5316, and 5317 subrecipients, during the past three years.</w:t>
            </w:r>
          </w:p>
        </w:tc>
      </w:tr>
      <w:tr w:rsidR="00255EE1" w:rsidTr="0004231E">
        <w:trPr>
          <w:cantSplit/>
        </w:trPr>
        <w:tc>
          <w:tcPr>
            <w:tcW w:w="9360" w:type="dxa"/>
            <w:shd w:val="clear" w:color="auto" w:fill="BFBFBF"/>
          </w:tcPr>
          <w:p w:rsidR="00255EE1" w:rsidRPr="00091238" w:rsidRDefault="00255EE1" w:rsidP="0004231E">
            <w:pPr>
              <w:keepNext/>
              <w:spacing w:before="40" w:after="40"/>
              <w:jc w:val="center"/>
              <w:rPr>
                <w:rFonts w:ascii="Arial" w:hAnsi="Arial" w:cs="Arial"/>
                <w:b/>
                <w:sz w:val="22"/>
                <w:szCs w:val="22"/>
              </w:rPr>
            </w:pPr>
            <w:r w:rsidRPr="00091238">
              <w:rPr>
                <w:rFonts w:ascii="Arial" w:hAnsi="Arial" w:cs="Arial"/>
                <w:b/>
                <w:sz w:val="22"/>
                <w:szCs w:val="22"/>
              </w:rPr>
              <w:t>General Reporting Requirements</w:t>
            </w:r>
          </w:p>
        </w:tc>
      </w:tr>
      <w:tr w:rsidR="00255EE1" w:rsidRPr="007851AF" w:rsidTr="0004231E">
        <w:trPr>
          <w:cantSplit/>
        </w:trPr>
        <w:tc>
          <w:tcPr>
            <w:tcW w:w="9360" w:type="dxa"/>
          </w:tcPr>
          <w:p w:rsidR="00255EE1" w:rsidRPr="007851AF" w:rsidRDefault="00255EE1" w:rsidP="007851AF">
            <w:pPr>
              <w:spacing w:before="40" w:after="40"/>
              <w:rPr>
                <w:rFonts w:ascii="Arial" w:hAnsi="Arial" w:cs="Arial"/>
                <w:b/>
                <w:sz w:val="22"/>
                <w:szCs w:val="22"/>
              </w:rPr>
            </w:pPr>
            <w:r w:rsidRPr="007851AF">
              <w:rPr>
                <w:rFonts w:ascii="Arial" w:hAnsi="Arial" w:cs="Arial"/>
                <w:b/>
                <w:sz w:val="22"/>
                <w:szCs w:val="22"/>
              </w:rPr>
              <w:t>1. Inclusive Public Participation (FTA C. 4702.1A, IV.9.)</w:t>
            </w:r>
          </w:p>
        </w:tc>
      </w:tr>
      <w:tr w:rsidR="00255EE1" w:rsidTr="0004231E">
        <w:trPr>
          <w:cantSplit/>
        </w:trPr>
        <w:tc>
          <w:tcPr>
            <w:tcW w:w="9360" w:type="dxa"/>
          </w:tcPr>
          <w:p w:rsidR="00255EE1" w:rsidRPr="00091238" w:rsidRDefault="00255EE1" w:rsidP="0064099D">
            <w:pPr>
              <w:numPr>
                <w:ilvl w:val="0"/>
                <w:numId w:val="24"/>
              </w:numPr>
              <w:ind w:left="720"/>
              <w:rPr>
                <w:rFonts w:ascii="Arial" w:hAnsi="Arial" w:cs="Arial"/>
                <w:sz w:val="22"/>
                <w:szCs w:val="22"/>
              </w:rPr>
            </w:pPr>
            <w:r w:rsidRPr="00091238">
              <w:rPr>
                <w:rFonts w:ascii="Arial" w:hAnsi="Arial" w:cs="Arial"/>
                <w:sz w:val="22"/>
                <w:szCs w:val="22"/>
              </w:rPr>
              <w:t xml:space="preserve">Summary of </w:t>
            </w:r>
            <w:r w:rsidR="006C274C">
              <w:rPr>
                <w:rFonts w:ascii="Arial" w:hAnsi="Arial" w:cs="Arial"/>
                <w:sz w:val="22"/>
                <w:szCs w:val="22"/>
              </w:rPr>
              <w:t>UDOT</w:t>
            </w:r>
            <w:r w:rsidRPr="00091238">
              <w:rPr>
                <w:rFonts w:ascii="Arial" w:hAnsi="Arial" w:cs="Arial"/>
                <w:sz w:val="22"/>
                <w:szCs w:val="22"/>
              </w:rPr>
              <w:t>’s current efforts to seek out and consider the viewpoints of minority, low-income, and LEP populations in the course of conducting public outreach and involvement activities.</w:t>
            </w:r>
          </w:p>
        </w:tc>
      </w:tr>
      <w:tr w:rsidR="00255EE1" w:rsidRPr="007851AF" w:rsidTr="0004231E">
        <w:trPr>
          <w:cantSplit/>
        </w:trPr>
        <w:tc>
          <w:tcPr>
            <w:tcW w:w="9360" w:type="dxa"/>
          </w:tcPr>
          <w:p w:rsidR="00255EE1" w:rsidRPr="00091238" w:rsidRDefault="00255EE1" w:rsidP="007851AF">
            <w:pPr>
              <w:spacing w:before="40" w:after="40"/>
              <w:rPr>
                <w:rFonts w:ascii="Arial" w:hAnsi="Arial" w:cs="Arial"/>
                <w:b/>
                <w:sz w:val="22"/>
                <w:szCs w:val="22"/>
              </w:rPr>
            </w:pPr>
            <w:r w:rsidRPr="00091238">
              <w:rPr>
                <w:rFonts w:ascii="Arial" w:hAnsi="Arial" w:cs="Arial"/>
                <w:b/>
                <w:sz w:val="22"/>
                <w:szCs w:val="22"/>
              </w:rPr>
              <w:t>2. Language Access to LEP Persons (FTA C. 4702.1A, IV.4.)</w:t>
            </w:r>
          </w:p>
        </w:tc>
      </w:tr>
      <w:tr w:rsidR="00255EE1" w:rsidTr="0004231E">
        <w:trPr>
          <w:cantSplit/>
        </w:trPr>
        <w:tc>
          <w:tcPr>
            <w:tcW w:w="9360" w:type="dxa"/>
          </w:tcPr>
          <w:p w:rsidR="00255EE1" w:rsidRPr="00091238" w:rsidRDefault="00255EE1" w:rsidP="0064099D">
            <w:pPr>
              <w:numPr>
                <w:ilvl w:val="0"/>
                <w:numId w:val="25"/>
              </w:numPr>
              <w:ind w:left="720"/>
              <w:rPr>
                <w:rFonts w:ascii="Arial" w:hAnsi="Arial" w:cs="Arial"/>
                <w:b/>
                <w:sz w:val="22"/>
                <w:szCs w:val="22"/>
              </w:rPr>
            </w:pPr>
            <w:r w:rsidRPr="00091238">
              <w:rPr>
                <w:rFonts w:ascii="Arial" w:hAnsi="Arial" w:cs="Arial"/>
                <w:sz w:val="22"/>
                <w:szCs w:val="22"/>
              </w:rPr>
              <w:t xml:space="preserve">A copy of </w:t>
            </w:r>
            <w:r w:rsidR="006C274C">
              <w:rPr>
                <w:rFonts w:ascii="Arial" w:hAnsi="Arial" w:cs="Arial"/>
                <w:sz w:val="22"/>
                <w:szCs w:val="22"/>
              </w:rPr>
              <w:t>UDOT</w:t>
            </w:r>
            <w:r w:rsidRPr="00091238">
              <w:rPr>
                <w:rFonts w:ascii="Arial" w:hAnsi="Arial" w:cs="Arial"/>
                <w:sz w:val="22"/>
                <w:szCs w:val="22"/>
              </w:rPr>
              <w:t xml:space="preserve">’s </w:t>
            </w:r>
            <w:r>
              <w:rPr>
                <w:rFonts w:ascii="Arial" w:hAnsi="Arial" w:cs="Arial"/>
                <w:sz w:val="22"/>
                <w:szCs w:val="22"/>
              </w:rPr>
              <w:t>four factor analysis of the needs of persons with Limited English Proficiency.</w:t>
            </w:r>
          </w:p>
        </w:tc>
      </w:tr>
      <w:tr w:rsidR="00255EE1" w:rsidTr="0004231E">
        <w:trPr>
          <w:cantSplit/>
        </w:trPr>
        <w:tc>
          <w:tcPr>
            <w:tcW w:w="9360" w:type="dxa"/>
          </w:tcPr>
          <w:p w:rsidR="00255EE1" w:rsidRPr="00091238" w:rsidRDefault="00255EE1" w:rsidP="0064099D">
            <w:pPr>
              <w:numPr>
                <w:ilvl w:val="0"/>
                <w:numId w:val="25"/>
              </w:numPr>
              <w:ind w:left="720"/>
              <w:rPr>
                <w:rFonts w:ascii="Arial" w:hAnsi="Arial" w:cs="Arial"/>
                <w:b/>
                <w:sz w:val="22"/>
                <w:szCs w:val="22"/>
              </w:rPr>
            </w:pPr>
            <w:r>
              <w:rPr>
                <w:rFonts w:ascii="Arial" w:hAnsi="Arial" w:cs="Arial"/>
                <w:sz w:val="22"/>
                <w:szCs w:val="22"/>
              </w:rPr>
              <w:t xml:space="preserve">A copy of </w:t>
            </w:r>
            <w:r w:rsidR="006C274C">
              <w:rPr>
                <w:rFonts w:ascii="Arial" w:hAnsi="Arial" w:cs="Arial"/>
                <w:sz w:val="22"/>
                <w:szCs w:val="22"/>
              </w:rPr>
              <w:t>UDOT</w:t>
            </w:r>
            <w:r>
              <w:rPr>
                <w:rFonts w:ascii="Arial" w:hAnsi="Arial" w:cs="Arial"/>
                <w:sz w:val="22"/>
                <w:szCs w:val="22"/>
              </w:rPr>
              <w:t xml:space="preserve">’s </w:t>
            </w:r>
            <w:r w:rsidRPr="00091238">
              <w:rPr>
                <w:rFonts w:ascii="Arial" w:hAnsi="Arial" w:cs="Arial"/>
                <w:sz w:val="22"/>
                <w:szCs w:val="22"/>
              </w:rPr>
              <w:t>plan for providing language assistance for persons with Limited English Proficiency that is based on the USDOT LEP Guidance</w:t>
            </w:r>
          </w:p>
        </w:tc>
      </w:tr>
      <w:tr w:rsidR="00255EE1" w:rsidRPr="007851AF" w:rsidTr="0004231E">
        <w:trPr>
          <w:cantSplit/>
        </w:trPr>
        <w:tc>
          <w:tcPr>
            <w:tcW w:w="9360" w:type="dxa"/>
          </w:tcPr>
          <w:p w:rsidR="00255EE1" w:rsidRPr="007851AF" w:rsidRDefault="00255EE1" w:rsidP="007851AF">
            <w:pPr>
              <w:spacing w:before="40" w:after="40"/>
              <w:rPr>
                <w:rFonts w:ascii="Arial" w:hAnsi="Arial" w:cs="Arial"/>
                <w:b/>
                <w:sz w:val="22"/>
                <w:szCs w:val="22"/>
              </w:rPr>
            </w:pPr>
            <w:r w:rsidRPr="007851AF">
              <w:rPr>
                <w:rFonts w:ascii="Arial" w:hAnsi="Arial" w:cs="Arial"/>
                <w:b/>
                <w:sz w:val="22"/>
                <w:szCs w:val="22"/>
              </w:rPr>
              <w:t>3. Title VI Complaint Procedure (FTA C. 4702.1A, IV.2.)</w:t>
            </w:r>
          </w:p>
        </w:tc>
      </w:tr>
      <w:tr w:rsidR="00255EE1" w:rsidTr="0004231E">
        <w:trPr>
          <w:cantSplit/>
        </w:trPr>
        <w:tc>
          <w:tcPr>
            <w:tcW w:w="9360" w:type="dxa"/>
          </w:tcPr>
          <w:p w:rsidR="00255EE1" w:rsidRPr="00091238" w:rsidRDefault="006C274C" w:rsidP="0064099D">
            <w:pPr>
              <w:numPr>
                <w:ilvl w:val="0"/>
                <w:numId w:val="26"/>
              </w:numPr>
              <w:ind w:left="720"/>
              <w:rPr>
                <w:rFonts w:ascii="Arial" w:hAnsi="Arial" w:cs="Arial"/>
                <w:b/>
                <w:bCs/>
                <w:sz w:val="22"/>
                <w:szCs w:val="22"/>
              </w:rPr>
            </w:pPr>
            <w:r>
              <w:rPr>
                <w:rFonts w:ascii="Arial" w:hAnsi="Arial" w:cs="Arial"/>
                <w:sz w:val="22"/>
                <w:szCs w:val="22"/>
              </w:rPr>
              <w:t>UDOT</w:t>
            </w:r>
            <w:r w:rsidR="00255EE1" w:rsidRPr="00091238">
              <w:rPr>
                <w:rFonts w:ascii="Arial" w:hAnsi="Arial" w:cs="Arial"/>
                <w:sz w:val="22"/>
                <w:szCs w:val="22"/>
              </w:rPr>
              <w:t>’s procedures for investigating and tracking Title VI complaints and documentation that the procedures for filing complaints are available to members of the public upon request.</w:t>
            </w:r>
          </w:p>
        </w:tc>
      </w:tr>
    </w:tbl>
    <w:p w:rsidR="00736965" w:rsidRDefault="00736965">
      <w:r>
        <w:br w:type="page"/>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60"/>
      </w:tblGrid>
      <w:tr w:rsidR="00255EE1" w:rsidRPr="007851AF" w:rsidTr="0004231E">
        <w:trPr>
          <w:cantSplit/>
        </w:trPr>
        <w:tc>
          <w:tcPr>
            <w:tcW w:w="9360" w:type="dxa"/>
          </w:tcPr>
          <w:p w:rsidR="00255EE1" w:rsidRPr="00091238" w:rsidRDefault="00255EE1" w:rsidP="007851AF">
            <w:pPr>
              <w:spacing w:before="40" w:after="40"/>
              <w:rPr>
                <w:rFonts w:ascii="Arial" w:hAnsi="Arial" w:cs="Arial"/>
                <w:b/>
                <w:sz w:val="22"/>
                <w:szCs w:val="22"/>
              </w:rPr>
            </w:pPr>
            <w:r w:rsidRPr="00091238">
              <w:rPr>
                <w:rFonts w:ascii="Arial" w:hAnsi="Arial" w:cs="Arial"/>
                <w:b/>
                <w:sz w:val="22"/>
                <w:szCs w:val="22"/>
              </w:rPr>
              <w:lastRenderedPageBreak/>
              <w:t>4. Record of Title VI Investigations, Complaints and Lawsuits (FTA C. 4702.1A, IV</w:t>
            </w:r>
            <w:proofErr w:type="gramStart"/>
            <w:r w:rsidRPr="00091238">
              <w:rPr>
                <w:rFonts w:ascii="Arial" w:hAnsi="Arial" w:cs="Arial"/>
                <w:b/>
                <w:sz w:val="22"/>
                <w:szCs w:val="22"/>
              </w:rPr>
              <w:t>,3</w:t>
            </w:r>
            <w:proofErr w:type="gramEnd"/>
            <w:r w:rsidRPr="00091238">
              <w:rPr>
                <w:rFonts w:ascii="Arial" w:hAnsi="Arial" w:cs="Arial"/>
                <w:b/>
                <w:sz w:val="22"/>
                <w:szCs w:val="22"/>
              </w:rPr>
              <w:t>.)</w:t>
            </w:r>
          </w:p>
        </w:tc>
      </w:tr>
      <w:tr w:rsidR="00255EE1" w:rsidTr="0004231E">
        <w:trPr>
          <w:cantSplit/>
        </w:trPr>
        <w:tc>
          <w:tcPr>
            <w:tcW w:w="9360" w:type="dxa"/>
          </w:tcPr>
          <w:p w:rsidR="00255EE1" w:rsidRPr="00E651BA" w:rsidRDefault="00255EE1" w:rsidP="0064099D">
            <w:pPr>
              <w:numPr>
                <w:ilvl w:val="0"/>
                <w:numId w:val="27"/>
              </w:numPr>
              <w:rPr>
                <w:rFonts w:ascii="Arial" w:hAnsi="Arial" w:cs="Arial"/>
                <w:sz w:val="22"/>
                <w:szCs w:val="22"/>
              </w:rPr>
            </w:pPr>
            <w:r w:rsidRPr="00091238">
              <w:rPr>
                <w:rFonts w:ascii="Arial" w:hAnsi="Arial" w:cs="Arial"/>
                <w:kern w:val="32"/>
                <w:sz w:val="22"/>
                <w:szCs w:val="22"/>
              </w:rPr>
              <w:t xml:space="preserve">A list of any investigations, lawsuits, or complaints naming </w:t>
            </w:r>
            <w:r w:rsidR="006C274C">
              <w:rPr>
                <w:rFonts w:ascii="Arial" w:hAnsi="Arial" w:cs="Arial"/>
                <w:kern w:val="32"/>
                <w:sz w:val="22"/>
                <w:szCs w:val="22"/>
              </w:rPr>
              <w:t>UDOT</w:t>
            </w:r>
            <w:r w:rsidRPr="00091238">
              <w:rPr>
                <w:rFonts w:ascii="Arial" w:hAnsi="Arial" w:cs="Arial"/>
                <w:kern w:val="32"/>
                <w:sz w:val="22"/>
                <w:szCs w:val="22"/>
              </w:rPr>
              <w:t xml:space="preserve"> that alleges discrimination on the basis of race, color, or national origin during the past three years.  This list must include</w:t>
            </w:r>
            <w:r>
              <w:rPr>
                <w:rFonts w:ascii="Arial" w:hAnsi="Arial" w:cs="Arial"/>
                <w:kern w:val="32"/>
                <w:sz w:val="22"/>
                <w:szCs w:val="22"/>
              </w:rPr>
              <w:t>:</w:t>
            </w:r>
          </w:p>
          <w:p w:rsidR="00255EE1" w:rsidRPr="009B2CEA" w:rsidRDefault="00255EE1" w:rsidP="0064099D">
            <w:pPr>
              <w:numPr>
                <w:ilvl w:val="3"/>
                <w:numId w:val="31"/>
              </w:numPr>
              <w:rPr>
                <w:rFonts w:ascii="Arial" w:hAnsi="Arial" w:cs="Arial"/>
                <w:sz w:val="22"/>
                <w:szCs w:val="22"/>
              </w:rPr>
            </w:pPr>
            <w:r w:rsidRPr="00091238">
              <w:rPr>
                <w:rFonts w:ascii="Arial" w:hAnsi="Arial" w:cs="Arial"/>
                <w:kern w:val="32"/>
                <w:sz w:val="22"/>
                <w:szCs w:val="22"/>
              </w:rPr>
              <w:t xml:space="preserve"> the date the investigation, lawsuit, or complaint was filed; </w:t>
            </w:r>
          </w:p>
          <w:p w:rsidR="00255EE1" w:rsidRPr="009B2CEA" w:rsidRDefault="00255EE1" w:rsidP="0064099D">
            <w:pPr>
              <w:numPr>
                <w:ilvl w:val="3"/>
                <w:numId w:val="31"/>
              </w:numPr>
              <w:rPr>
                <w:rFonts w:ascii="Arial" w:hAnsi="Arial" w:cs="Arial"/>
                <w:sz w:val="22"/>
                <w:szCs w:val="22"/>
              </w:rPr>
            </w:pPr>
            <w:r w:rsidRPr="00091238">
              <w:rPr>
                <w:rFonts w:ascii="Arial" w:hAnsi="Arial" w:cs="Arial"/>
                <w:kern w:val="32"/>
                <w:sz w:val="22"/>
                <w:szCs w:val="22"/>
              </w:rPr>
              <w:t xml:space="preserve">a summary of the allegation(s); </w:t>
            </w:r>
          </w:p>
          <w:p w:rsidR="00255EE1" w:rsidRPr="009B2CEA" w:rsidRDefault="00255EE1" w:rsidP="0064099D">
            <w:pPr>
              <w:numPr>
                <w:ilvl w:val="3"/>
                <w:numId w:val="31"/>
              </w:numPr>
              <w:rPr>
                <w:rFonts w:ascii="Arial" w:hAnsi="Arial" w:cs="Arial"/>
                <w:sz w:val="22"/>
                <w:szCs w:val="22"/>
              </w:rPr>
            </w:pPr>
            <w:r w:rsidRPr="00091238">
              <w:rPr>
                <w:rFonts w:ascii="Arial" w:hAnsi="Arial" w:cs="Arial"/>
                <w:kern w:val="32"/>
                <w:sz w:val="22"/>
                <w:szCs w:val="22"/>
              </w:rPr>
              <w:t xml:space="preserve">the status of the investigation, lawsuit, or complaint; and </w:t>
            </w:r>
          </w:p>
          <w:p w:rsidR="00255EE1" w:rsidRPr="00091238" w:rsidRDefault="00255EE1" w:rsidP="0064099D">
            <w:pPr>
              <w:numPr>
                <w:ilvl w:val="3"/>
                <w:numId w:val="31"/>
              </w:numPr>
              <w:rPr>
                <w:rFonts w:ascii="Arial" w:hAnsi="Arial" w:cs="Arial"/>
                <w:sz w:val="22"/>
                <w:szCs w:val="22"/>
              </w:rPr>
            </w:pPr>
            <w:proofErr w:type="gramStart"/>
            <w:r w:rsidRPr="00091238">
              <w:rPr>
                <w:rFonts w:ascii="Arial" w:hAnsi="Arial" w:cs="Arial"/>
                <w:kern w:val="32"/>
                <w:sz w:val="22"/>
                <w:szCs w:val="22"/>
              </w:rPr>
              <w:t>actions</w:t>
            </w:r>
            <w:proofErr w:type="gramEnd"/>
            <w:r w:rsidRPr="00091238">
              <w:rPr>
                <w:rFonts w:ascii="Arial" w:hAnsi="Arial" w:cs="Arial"/>
                <w:kern w:val="32"/>
                <w:sz w:val="22"/>
                <w:szCs w:val="22"/>
              </w:rPr>
              <w:t xml:space="preserve"> taken by </w:t>
            </w:r>
            <w:r w:rsidR="006C274C">
              <w:rPr>
                <w:rFonts w:ascii="Arial" w:hAnsi="Arial" w:cs="Arial"/>
                <w:kern w:val="32"/>
                <w:sz w:val="22"/>
                <w:szCs w:val="22"/>
              </w:rPr>
              <w:t>UDOT</w:t>
            </w:r>
            <w:r w:rsidRPr="00091238">
              <w:rPr>
                <w:rFonts w:ascii="Arial" w:hAnsi="Arial" w:cs="Arial"/>
                <w:kern w:val="32"/>
                <w:sz w:val="22"/>
                <w:szCs w:val="22"/>
              </w:rPr>
              <w:t xml:space="preserve"> in response to the investigation, lawsuit, or complaint.</w:t>
            </w:r>
          </w:p>
        </w:tc>
      </w:tr>
      <w:tr w:rsidR="00255EE1" w:rsidRPr="007851AF" w:rsidTr="0004231E">
        <w:trPr>
          <w:cantSplit/>
        </w:trPr>
        <w:tc>
          <w:tcPr>
            <w:tcW w:w="9360" w:type="dxa"/>
          </w:tcPr>
          <w:p w:rsidR="00255EE1" w:rsidRPr="00091238" w:rsidRDefault="00255EE1" w:rsidP="007851AF">
            <w:pPr>
              <w:spacing w:before="40" w:after="40"/>
              <w:rPr>
                <w:rFonts w:ascii="Arial" w:hAnsi="Arial" w:cs="Arial"/>
                <w:b/>
                <w:sz w:val="22"/>
                <w:szCs w:val="22"/>
              </w:rPr>
            </w:pPr>
            <w:r w:rsidRPr="00091238">
              <w:rPr>
                <w:rFonts w:ascii="Arial" w:hAnsi="Arial" w:cs="Arial"/>
                <w:b/>
                <w:sz w:val="22"/>
                <w:szCs w:val="22"/>
              </w:rPr>
              <w:t>5. Notice to Beneficiaries of Protection Under Title VI (FTA C. 4702.1A, IV.5.)</w:t>
            </w:r>
          </w:p>
        </w:tc>
      </w:tr>
      <w:tr w:rsidR="00255EE1" w:rsidTr="0004231E">
        <w:trPr>
          <w:cantSplit/>
        </w:trPr>
        <w:tc>
          <w:tcPr>
            <w:tcW w:w="9360" w:type="dxa"/>
          </w:tcPr>
          <w:p w:rsidR="00255EE1" w:rsidRPr="0004231E" w:rsidRDefault="00255EE1" w:rsidP="0064099D">
            <w:pPr>
              <w:numPr>
                <w:ilvl w:val="0"/>
                <w:numId w:val="22"/>
              </w:numPr>
              <w:rPr>
                <w:rFonts w:ascii="Arial" w:hAnsi="Arial" w:cs="Arial"/>
                <w:sz w:val="22"/>
                <w:szCs w:val="22"/>
              </w:rPr>
            </w:pPr>
            <w:r>
              <w:rPr>
                <w:rFonts w:ascii="Arial" w:hAnsi="Arial" w:cs="Arial"/>
                <w:sz w:val="22"/>
                <w:szCs w:val="22"/>
              </w:rPr>
              <w:t xml:space="preserve">Copy of </w:t>
            </w:r>
            <w:r w:rsidR="006C274C">
              <w:rPr>
                <w:rFonts w:ascii="Arial" w:hAnsi="Arial" w:cs="Arial"/>
                <w:sz w:val="22"/>
                <w:szCs w:val="22"/>
              </w:rPr>
              <w:t>UDOT</w:t>
            </w:r>
            <w:r>
              <w:rPr>
                <w:rFonts w:ascii="Arial" w:hAnsi="Arial" w:cs="Arial"/>
                <w:sz w:val="22"/>
                <w:szCs w:val="22"/>
              </w:rPr>
              <w:t xml:space="preserve">’s  Notice to Beneficiaries of Protections Under Title VI </w:t>
            </w:r>
          </w:p>
        </w:tc>
      </w:tr>
      <w:tr w:rsidR="00255EE1" w:rsidTr="0004231E">
        <w:trPr>
          <w:cantSplit/>
        </w:trPr>
        <w:tc>
          <w:tcPr>
            <w:tcW w:w="9360" w:type="dxa"/>
          </w:tcPr>
          <w:p w:rsidR="00255EE1" w:rsidRDefault="00255EE1" w:rsidP="0064099D">
            <w:pPr>
              <w:numPr>
                <w:ilvl w:val="0"/>
                <w:numId w:val="22"/>
              </w:numPr>
              <w:rPr>
                <w:rFonts w:ascii="Arial" w:hAnsi="Arial" w:cs="Arial"/>
                <w:sz w:val="22"/>
                <w:szCs w:val="22"/>
              </w:rPr>
            </w:pPr>
            <w:r w:rsidRPr="00091238">
              <w:rPr>
                <w:rFonts w:ascii="Arial" w:hAnsi="Arial" w:cs="Arial"/>
                <w:sz w:val="22"/>
                <w:szCs w:val="22"/>
              </w:rPr>
              <w:t xml:space="preserve">Description of efforts made by </w:t>
            </w:r>
            <w:r w:rsidR="006C274C">
              <w:rPr>
                <w:rFonts w:ascii="Arial" w:hAnsi="Arial" w:cs="Arial"/>
                <w:sz w:val="22"/>
                <w:szCs w:val="22"/>
              </w:rPr>
              <w:t>UDOT</w:t>
            </w:r>
            <w:r w:rsidRPr="00091238">
              <w:rPr>
                <w:rFonts w:ascii="Arial" w:hAnsi="Arial" w:cs="Arial"/>
                <w:sz w:val="22"/>
                <w:szCs w:val="22"/>
              </w:rPr>
              <w:t xml:space="preserve"> to apprise members of the public of the protections against discrimination afforded to them by Title VI.</w:t>
            </w:r>
          </w:p>
        </w:tc>
      </w:tr>
      <w:tr w:rsidR="00255EE1" w:rsidRPr="007851AF" w:rsidTr="0004231E">
        <w:trPr>
          <w:cantSplit/>
        </w:trPr>
        <w:tc>
          <w:tcPr>
            <w:tcW w:w="9360" w:type="dxa"/>
          </w:tcPr>
          <w:p w:rsidR="00255EE1" w:rsidRPr="00091238" w:rsidRDefault="00255EE1" w:rsidP="007851AF">
            <w:pPr>
              <w:spacing w:before="40" w:after="40"/>
              <w:rPr>
                <w:rFonts w:ascii="Arial" w:hAnsi="Arial" w:cs="Arial"/>
                <w:b/>
                <w:sz w:val="22"/>
                <w:szCs w:val="22"/>
              </w:rPr>
            </w:pPr>
            <w:r w:rsidRPr="00091238">
              <w:rPr>
                <w:rFonts w:ascii="Arial" w:hAnsi="Arial" w:cs="Arial"/>
                <w:b/>
                <w:sz w:val="22"/>
                <w:szCs w:val="22"/>
              </w:rPr>
              <w:t>6. Annual Title VI Certification and Assurance (FTA C. 4702.1A, VI.1.)</w:t>
            </w:r>
          </w:p>
        </w:tc>
      </w:tr>
      <w:tr w:rsidR="00255EE1" w:rsidTr="0004231E">
        <w:trPr>
          <w:cantSplit/>
        </w:trPr>
        <w:tc>
          <w:tcPr>
            <w:tcW w:w="9360" w:type="dxa"/>
          </w:tcPr>
          <w:p w:rsidR="00255EE1" w:rsidRPr="00091238" w:rsidRDefault="00255EE1" w:rsidP="0004231E">
            <w:pPr>
              <w:ind w:left="720"/>
              <w:rPr>
                <w:rFonts w:ascii="Arial" w:hAnsi="Arial" w:cs="Arial"/>
                <w:sz w:val="22"/>
                <w:szCs w:val="22"/>
              </w:rPr>
            </w:pPr>
            <w:r w:rsidRPr="00091238">
              <w:rPr>
                <w:rFonts w:ascii="Arial" w:hAnsi="Arial" w:cs="Arial"/>
                <w:sz w:val="22"/>
                <w:szCs w:val="22"/>
              </w:rPr>
              <w:t>No documents requested</w:t>
            </w:r>
            <w:r>
              <w:rPr>
                <w:rFonts w:ascii="Arial" w:hAnsi="Arial" w:cs="Arial"/>
                <w:sz w:val="22"/>
                <w:szCs w:val="22"/>
              </w:rPr>
              <w:t>.</w:t>
            </w:r>
          </w:p>
        </w:tc>
      </w:tr>
      <w:tr w:rsidR="00255EE1" w:rsidRPr="007851AF" w:rsidTr="0004231E">
        <w:trPr>
          <w:cantSplit/>
        </w:trPr>
        <w:tc>
          <w:tcPr>
            <w:tcW w:w="9360" w:type="dxa"/>
          </w:tcPr>
          <w:p w:rsidR="00255EE1" w:rsidRPr="007851AF" w:rsidRDefault="00255EE1" w:rsidP="007851AF">
            <w:pPr>
              <w:spacing w:before="40" w:after="40"/>
              <w:rPr>
                <w:rFonts w:ascii="Arial" w:hAnsi="Arial" w:cs="Arial"/>
                <w:b/>
                <w:sz w:val="22"/>
                <w:szCs w:val="22"/>
              </w:rPr>
            </w:pPr>
            <w:r w:rsidRPr="00091238">
              <w:rPr>
                <w:rFonts w:ascii="Arial" w:hAnsi="Arial" w:cs="Arial"/>
                <w:b/>
                <w:sz w:val="22"/>
                <w:szCs w:val="22"/>
              </w:rPr>
              <w:t>7. Environmental Justice Analysis of Construction Projects (FTA C. 4702.1A, IV.8.)</w:t>
            </w:r>
          </w:p>
        </w:tc>
      </w:tr>
      <w:tr w:rsidR="00255EE1" w:rsidTr="0004231E">
        <w:trPr>
          <w:cantSplit/>
        </w:trPr>
        <w:tc>
          <w:tcPr>
            <w:tcW w:w="9360" w:type="dxa"/>
          </w:tcPr>
          <w:p w:rsidR="00255EE1" w:rsidRPr="00091238" w:rsidRDefault="00255EE1" w:rsidP="0064099D">
            <w:pPr>
              <w:numPr>
                <w:ilvl w:val="0"/>
                <w:numId w:val="28"/>
              </w:numPr>
              <w:rPr>
                <w:rFonts w:ascii="Arial" w:hAnsi="Arial" w:cs="Arial"/>
                <w:b/>
                <w:sz w:val="22"/>
                <w:szCs w:val="22"/>
              </w:rPr>
            </w:pPr>
            <w:r w:rsidRPr="00091238">
              <w:rPr>
                <w:rFonts w:ascii="Arial" w:hAnsi="Arial" w:cs="Arial"/>
                <w:sz w:val="22"/>
                <w:szCs w:val="22"/>
              </w:rPr>
              <w:t>Copies of any environmental justice assessments conducted for construction projects during the past three years and, if needed, a description of the program or other measures used or planned to mitigate any identified adverse impact on the minority or low-income communities, including FTA Section 5309, 5310, 5311, 5316, and 5317 subrecipients.</w:t>
            </w:r>
          </w:p>
        </w:tc>
      </w:tr>
      <w:tr w:rsidR="00255EE1" w:rsidRPr="007851AF" w:rsidTr="0004231E">
        <w:trPr>
          <w:cantSplit/>
        </w:trPr>
        <w:tc>
          <w:tcPr>
            <w:tcW w:w="9360" w:type="dxa"/>
          </w:tcPr>
          <w:p w:rsidR="00255EE1" w:rsidRPr="00091238" w:rsidRDefault="00255EE1" w:rsidP="007851AF">
            <w:pPr>
              <w:spacing w:before="40" w:after="40"/>
              <w:rPr>
                <w:rFonts w:ascii="Arial" w:hAnsi="Arial" w:cs="Arial"/>
                <w:b/>
                <w:sz w:val="22"/>
                <w:szCs w:val="22"/>
              </w:rPr>
            </w:pPr>
            <w:r w:rsidRPr="00091238">
              <w:rPr>
                <w:rFonts w:ascii="Arial" w:hAnsi="Arial" w:cs="Arial"/>
                <w:b/>
                <w:sz w:val="22"/>
                <w:szCs w:val="22"/>
              </w:rPr>
              <w:t>8. Submission of Title VI Program (FTA C. 4702.1A, IV.7.)</w:t>
            </w:r>
          </w:p>
        </w:tc>
      </w:tr>
      <w:tr w:rsidR="00255EE1" w:rsidTr="0004231E">
        <w:trPr>
          <w:cantSplit/>
        </w:trPr>
        <w:tc>
          <w:tcPr>
            <w:tcW w:w="9360" w:type="dxa"/>
          </w:tcPr>
          <w:p w:rsidR="00255EE1" w:rsidRPr="00091238" w:rsidRDefault="00255EE1" w:rsidP="00B95DAC">
            <w:pPr>
              <w:ind w:left="720"/>
              <w:rPr>
                <w:rFonts w:ascii="Arial" w:hAnsi="Arial" w:cs="Arial"/>
                <w:sz w:val="22"/>
                <w:szCs w:val="22"/>
              </w:rPr>
            </w:pPr>
            <w:r w:rsidRPr="00091238">
              <w:rPr>
                <w:rFonts w:ascii="Arial" w:hAnsi="Arial" w:cs="Arial"/>
                <w:sz w:val="22"/>
                <w:szCs w:val="22"/>
              </w:rPr>
              <w:t>No documents requested.</w:t>
            </w:r>
          </w:p>
        </w:tc>
      </w:tr>
      <w:tr w:rsidR="00255EE1" w:rsidTr="0004231E">
        <w:trPr>
          <w:cantSplit/>
        </w:trPr>
        <w:tc>
          <w:tcPr>
            <w:tcW w:w="9360" w:type="dxa"/>
            <w:shd w:val="clear" w:color="auto" w:fill="BFBFBF"/>
          </w:tcPr>
          <w:p w:rsidR="00255EE1" w:rsidRPr="00091238" w:rsidRDefault="00255EE1" w:rsidP="0004231E">
            <w:pPr>
              <w:keepNext/>
              <w:spacing w:before="40" w:after="40"/>
              <w:jc w:val="center"/>
              <w:rPr>
                <w:rFonts w:ascii="Arial" w:hAnsi="Arial" w:cs="Arial"/>
                <w:b/>
                <w:sz w:val="22"/>
                <w:szCs w:val="22"/>
              </w:rPr>
            </w:pPr>
            <w:r w:rsidRPr="00091238">
              <w:rPr>
                <w:rFonts w:ascii="Arial" w:hAnsi="Arial" w:cs="Arial"/>
                <w:b/>
                <w:sz w:val="22"/>
                <w:szCs w:val="22"/>
              </w:rPr>
              <w:t>PROGRAM-SPECIFIC REQUIREMENTS FOR STATE DOTS</w:t>
            </w:r>
          </w:p>
        </w:tc>
      </w:tr>
      <w:tr w:rsidR="00255EE1" w:rsidRPr="007851AF" w:rsidTr="0004231E">
        <w:trPr>
          <w:cantSplit/>
        </w:trPr>
        <w:tc>
          <w:tcPr>
            <w:tcW w:w="9360" w:type="dxa"/>
          </w:tcPr>
          <w:p w:rsidR="00255EE1" w:rsidRPr="00091238" w:rsidRDefault="00255EE1" w:rsidP="007851AF">
            <w:pPr>
              <w:spacing w:before="40" w:after="40"/>
              <w:rPr>
                <w:rFonts w:ascii="Arial" w:hAnsi="Arial" w:cs="Arial"/>
                <w:b/>
                <w:sz w:val="22"/>
                <w:szCs w:val="22"/>
              </w:rPr>
            </w:pPr>
            <w:r w:rsidRPr="00091238">
              <w:rPr>
                <w:rFonts w:ascii="Arial" w:hAnsi="Arial" w:cs="Arial"/>
                <w:b/>
                <w:sz w:val="22"/>
                <w:szCs w:val="22"/>
              </w:rPr>
              <w:t>9. Statewide Transportation Planning (FTA C. 4702.1A, VI.1.)</w:t>
            </w:r>
          </w:p>
        </w:tc>
      </w:tr>
      <w:tr w:rsidR="00255EE1" w:rsidTr="0004231E">
        <w:trPr>
          <w:cantSplit/>
        </w:trPr>
        <w:tc>
          <w:tcPr>
            <w:tcW w:w="9360" w:type="dxa"/>
          </w:tcPr>
          <w:p w:rsidR="00255EE1" w:rsidRPr="00091238" w:rsidRDefault="006C274C" w:rsidP="0064099D">
            <w:pPr>
              <w:pStyle w:val="BodyTextIndent2"/>
              <w:numPr>
                <w:ilvl w:val="0"/>
                <w:numId w:val="29"/>
              </w:numPr>
              <w:tabs>
                <w:tab w:val="left" w:pos="729"/>
              </w:tabs>
              <w:ind w:left="720"/>
              <w:rPr>
                <w:rFonts w:ascii="Arial" w:hAnsi="Arial" w:cs="Arial"/>
                <w:szCs w:val="22"/>
              </w:rPr>
            </w:pPr>
            <w:r>
              <w:rPr>
                <w:rFonts w:ascii="Arial" w:hAnsi="Arial" w:cs="Arial"/>
                <w:szCs w:val="22"/>
              </w:rPr>
              <w:t>UDOT</w:t>
            </w:r>
            <w:r w:rsidR="00255EE1" w:rsidRPr="00091238">
              <w:rPr>
                <w:rFonts w:ascii="Arial" w:hAnsi="Arial" w:cs="Arial"/>
                <w:szCs w:val="22"/>
              </w:rPr>
              <w:t>’s statewide transportation planning process that identifies the needs of low-income and minority populations.</w:t>
            </w:r>
          </w:p>
        </w:tc>
      </w:tr>
      <w:tr w:rsidR="00255EE1" w:rsidTr="0004231E">
        <w:trPr>
          <w:cantSplit/>
        </w:trPr>
        <w:tc>
          <w:tcPr>
            <w:tcW w:w="9360" w:type="dxa"/>
          </w:tcPr>
          <w:p w:rsidR="00255EE1" w:rsidRPr="00091238" w:rsidRDefault="006C274C" w:rsidP="0064099D">
            <w:pPr>
              <w:pStyle w:val="BodyTextIndent2"/>
              <w:numPr>
                <w:ilvl w:val="0"/>
                <w:numId w:val="29"/>
              </w:numPr>
              <w:tabs>
                <w:tab w:val="left" w:pos="745"/>
              </w:tabs>
              <w:ind w:left="720"/>
              <w:rPr>
                <w:rFonts w:ascii="Arial" w:hAnsi="Arial" w:cs="Arial"/>
                <w:szCs w:val="22"/>
              </w:rPr>
            </w:pPr>
            <w:r>
              <w:rPr>
                <w:rFonts w:ascii="Arial" w:hAnsi="Arial" w:cs="Arial"/>
                <w:szCs w:val="22"/>
              </w:rPr>
              <w:t>UDOT</w:t>
            </w:r>
            <w:r w:rsidR="00255EE1" w:rsidRPr="00091238">
              <w:rPr>
                <w:rFonts w:ascii="Arial" w:hAnsi="Arial" w:cs="Arial"/>
                <w:szCs w:val="22"/>
              </w:rPr>
              <w:t>’s analytical process that identifies the benefits and burdens of the State’s transportation system investments for different socioeconomic groups, identifying imbalances, and responding to the analyses produced.</w:t>
            </w:r>
          </w:p>
        </w:tc>
      </w:tr>
      <w:tr w:rsidR="00255EE1" w:rsidTr="0004231E">
        <w:trPr>
          <w:cantSplit/>
        </w:trPr>
        <w:tc>
          <w:tcPr>
            <w:tcW w:w="9360" w:type="dxa"/>
          </w:tcPr>
          <w:p w:rsidR="00255EE1" w:rsidRPr="00091238" w:rsidRDefault="00255EE1" w:rsidP="0064099D">
            <w:pPr>
              <w:numPr>
                <w:ilvl w:val="0"/>
                <w:numId w:val="29"/>
              </w:numPr>
              <w:tabs>
                <w:tab w:val="left" w:pos="729"/>
              </w:tabs>
              <w:ind w:left="720"/>
              <w:rPr>
                <w:rFonts w:ascii="Arial" w:hAnsi="Arial" w:cs="Arial"/>
                <w:sz w:val="22"/>
                <w:szCs w:val="22"/>
              </w:rPr>
            </w:pPr>
            <w:r w:rsidRPr="00091238">
              <w:rPr>
                <w:rFonts w:ascii="Arial" w:hAnsi="Arial" w:cs="Arial"/>
                <w:sz w:val="22"/>
                <w:szCs w:val="22"/>
              </w:rPr>
              <w:t>A copy of the procedures used for certifying that the statewide planning process complies with Title VI.</w:t>
            </w:r>
          </w:p>
        </w:tc>
      </w:tr>
      <w:tr w:rsidR="00255EE1" w:rsidRPr="007851AF" w:rsidTr="0004231E">
        <w:trPr>
          <w:cantSplit/>
        </w:trPr>
        <w:tc>
          <w:tcPr>
            <w:tcW w:w="9360" w:type="dxa"/>
          </w:tcPr>
          <w:p w:rsidR="00255EE1" w:rsidRPr="007851AF" w:rsidRDefault="00255EE1" w:rsidP="007851AF">
            <w:pPr>
              <w:spacing w:before="40" w:after="40"/>
              <w:rPr>
                <w:rFonts w:ascii="Arial" w:hAnsi="Arial" w:cs="Arial"/>
                <w:b/>
                <w:sz w:val="22"/>
                <w:szCs w:val="22"/>
              </w:rPr>
            </w:pPr>
            <w:r w:rsidRPr="00091238">
              <w:rPr>
                <w:rFonts w:ascii="Arial" w:hAnsi="Arial" w:cs="Arial"/>
                <w:b/>
                <w:sz w:val="22"/>
                <w:szCs w:val="22"/>
              </w:rPr>
              <w:t>10. Program Administration</w:t>
            </w:r>
            <w:r w:rsidRPr="007851AF">
              <w:rPr>
                <w:rFonts w:ascii="Arial" w:hAnsi="Arial" w:cs="Arial"/>
                <w:b/>
                <w:sz w:val="22"/>
                <w:szCs w:val="22"/>
              </w:rPr>
              <w:t xml:space="preserve"> </w:t>
            </w:r>
            <w:r w:rsidRPr="00091238">
              <w:rPr>
                <w:rFonts w:ascii="Arial" w:hAnsi="Arial" w:cs="Arial"/>
                <w:b/>
                <w:sz w:val="22"/>
                <w:szCs w:val="22"/>
              </w:rPr>
              <w:t>(FTA C. 4702.1A</w:t>
            </w:r>
            <w:r>
              <w:rPr>
                <w:rFonts w:ascii="Arial" w:hAnsi="Arial" w:cs="Arial"/>
                <w:b/>
                <w:sz w:val="22"/>
                <w:szCs w:val="22"/>
              </w:rPr>
              <w:t>, VI.2</w:t>
            </w:r>
            <w:r w:rsidRPr="00091238">
              <w:rPr>
                <w:rFonts w:ascii="Arial" w:hAnsi="Arial" w:cs="Arial"/>
                <w:b/>
                <w:sz w:val="22"/>
                <w:szCs w:val="22"/>
              </w:rPr>
              <w:t>.)</w:t>
            </w:r>
          </w:p>
        </w:tc>
      </w:tr>
      <w:tr w:rsidR="0004231E" w:rsidTr="0004231E">
        <w:trPr>
          <w:cantSplit/>
          <w:trHeight w:val="3066"/>
        </w:trPr>
        <w:tc>
          <w:tcPr>
            <w:tcW w:w="9360" w:type="dxa"/>
          </w:tcPr>
          <w:p w:rsidR="0004231E" w:rsidRPr="00091238" w:rsidRDefault="0004231E" w:rsidP="0064099D">
            <w:pPr>
              <w:numPr>
                <w:ilvl w:val="0"/>
                <w:numId w:val="30"/>
              </w:numPr>
              <w:tabs>
                <w:tab w:val="left" w:pos="712"/>
              </w:tabs>
              <w:rPr>
                <w:rFonts w:ascii="Arial" w:hAnsi="Arial" w:cs="Arial"/>
                <w:sz w:val="22"/>
                <w:szCs w:val="22"/>
              </w:rPr>
            </w:pPr>
            <w:r w:rsidRPr="00091238">
              <w:rPr>
                <w:rFonts w:ascii="Arial" w:hAnsi="Arial" w:cs="Arial"/>
                <w:sz w:val="22"/>
                <w:szCs w:val="22"/>
              </w:rPr>
              <w:t xml:space="preserve">A description of how </w:t>
            </w:r>
            <w:r w:rsidR="006C274C">
              <w:rPr>
                <w:rFonts w:ascii="Arial" w:hAnsi="Arial" w:cs="Arial"/>
                <w:sz w:val="22"/>
                <w:szCs w:val="22"/>
              </w:rPr>
              <w:t>UDOT</w:t>
            </w:r>
            <w:r w:rsidRPr="00091238">
              <w:rPr>
                <w:rFonts w:ascii="Arial" w:hAnsi="Arial" w:cs="Arial"/>
                <w:sz w:val="22"/>
                <w:szCs w:val="22"/>
              </w:rPr>
              <w:t xml:space="preserve"> develops its competitive selection process or annual program of projects for Section 5310, 5311, 5316, and 5317 programs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p w:rsidR="0004231E" w:rsidRPr="00091238" w:rsidRDefault="0004231E" w:rsidP="0064099D">
            <w:pPr>
              <w:numPr>
                <w:ilvl w:val="0"/>
                <w:numId w:val="30"/>
              </w:numPr>
              <w:tabs>
                <w:tab w:val="left" w:pos="720"/>
              </w:tabs>
              <w:rPr>
                <w:rFonts w:ascii="Arial" w:hAnsi="Arial" w:cs="Arial"/>
                <w:sz w:val="22"/>
                <w:szCs w:val="22"/>
              </w:rPr>
            </w:pPr>
            <w:r w:rsidRPr="00091238">
              <w:rPr>
                <w:rFonts w:ascii="Arial" w:hAnsi="Arial" w:cs="Arial"/>
                <w:sz w:val="22"/>
                <w:szCs w:val="22"/>
              </w:rPr>
              <w:t xml:space="preserve">A description of </w:t>
            </w:r>
            <w:r w:rsidR="006C274C">
              <w:rPr>
                <w:rFonts w:ascii="Arial" w:hAnsi="Arial" w:cs="Arial"/>
                <w:sz w:val="22"/>
                <w:szCs w:val="22"/>
              </w:rPr>
              <w:t>UDOT</w:t>
            </w:r>
            <w:r w:rsidRPr="00091238">
              <w:rPr>
                <w:rFonts w:ascii="Arial" w:hAnsi="Arial" w:cs="Arial"/>
                <w:sz w:val="22"/>
                <w:szCs w:val="22"/>
              </w:rPr>
              <w:t>’s criteria for selecting transit providers to participate in any FTA grant program.</w:t>
            </w:r>
          </w:p>
          <w:p w:rsidR="0004231E" w:rsidRPr="00091238" w:rsidRDefault="0004231E" w:rsidP="0064099D">
            <w:pPr>
              <w:numPr>
                <w:ilvl w:val="0"/>
                <w:numId w:val="30"/>
              </w:numPr>
              <w:rPr>
                <w:rFonts w:ascii="Arial" w:hAnsi="Arial" w:cs="Arial"/>
                <w:sz w:val="22"/>
                <w:szCs w:val="22"/>
              </w:rPr>
            </w:pPr>
            <w:r w:rsidRPr="00091238">
              <w:rPr>
                <w:rFonts w:ascii="Arial" w:hAnsi="Arial" w:cs="Arial"/>
                <w:sz w:val="22"/>
                <w:szCs w:val="22"/>
              </w:rPr>
              <w:t>A record of requests for Section 5310, 5311, 5316, 5317 funding.  The record should identify those applicants that would use grant program funds to provide assistance to predominantly minority and low-income populations.  The record should also indicate whether those applicants were accepted or rejected for funding.</w:t>
            </w:r>
          </w:p>
        </w:tc>
      </w:tr>
    </w:tbl>
    <w:p w:rsidR="00266F9B" w:rsidRDefault="00266F9B">
      <w:r>
        <w:br w:type="page"/>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60"/>
      </w:tblGrid>
      <w:tr w:rsidR="00255EE1" w:rsidRPr="007851AF" w:rsidTr="0004231E">
        <w:trPr>
          <w:cantSplit/>
          <w:trHeight w:val="291"/>
        </w:trPr>
        <w:tc>
          <w:tcPr>
            <w:tcW w:w="9360" w:type="dxa"/>
          </w:tcPr>
          <w:p w:rsidR="00255EE1" w:rsidRPr="00091238" w:rsidRDefault="00255EE1" w:rsidP="007851AF">
            <w:pPr>
              <w:spacing w:before="40" w:after="40"/>
              <w:rPr>
                <w:rFonts w:ascii="Arial" w:hAnsi="Arial" w:cs="Arial"/>
                <w:b/>
                <w:sz w:val="22"/>
                <w:szCs w:val="22"/>
              </w:rPr>
            </w:pPr>
            <w:r w:rsidRPr="00091238">
              <w:rPr>
                <w:rFonts w:ascii="Arial" w:hAnsi="Arial" w:cs="Arial"/>
                <w:b/>
                <w:sz w:val="22"/>
                <w:szCs w:val="22"/>
              </w:rPr>
              <w:lastRenderedPageBreak/>
              <w:t>11. Monitoring Subrecipients</w:t>
            </w:r>
            <w:r>
              <w:rPr>
                <w:rFonts w:ascii="Arial" w:hAnsi="Arial" w:cs="Arial"/>
                <w:b/>
                <w:sz w:val="22"/>
                <w:szCs w:val="22"/>
              </w:rPr>
              <w:t xml:space="preserve"> </w:t>
            </w:r>
            <w:r w:rsidRPr="00091238">
              <w:rPr>
                <w:rFonts w:ascii="Arial" w:hAnsi="Arial" w:cs="Arial"/>
                <w:b/>
                <w:sz w:val="22"/>
                <w:szCs w:val="22"/>
              </w:rPr>
              <w:t>(FTA C. 4702.1A</w:t>
            </w:r>
            <w:r>
              <w:rPr>
                <w:rFonts w:ascii="Arial" w:hAnsi="Arial" w:cs="Arial"/>
                <w:b/>
                <w:sz w:val="22"/>
                <w:szCs w:val="22"/>
              </w:rPr>
              <w:t>, VI.3</w:t>
            </w:r>
            <w:r w:rsidRPr="00091238">
              <w:rPr>
                <w:rFonts w:ascii="Arial" w:hAnsi="Arial" w:cs="Arial"/>
                <w:b/>
                <w:sz w:val="22"/>
                <w:szCs w:val="22"/>
              </w:rPr>
              <w:t>.)</w:t>
            </w:r>
          </w:p>
        </w:tc>
      </w:tr>
      <w:tr w:rsidR="00255EE1" w:rsidTr="0004231E">
        <w:trPr>
          <w:cantSplit/>
        </w:trPr>
        <w:tc>
          <w:tcPr>
            <w:tcW w:w="9360" w:type="dxa"/>
          </w:tcPr>
          <w:p w:rsidR="00255EE1" w:rsidRPr="00091238" w:rsidRDefault="00255EE1" w:rsidP="0064099D">
            <w:pPr>
              <w:numPr>
                <w:ilvl w:val="0"/>
                <w:numId w:val="32"/>
              </w:numPr>
              <w:rPr>
                <w:rFonts w:ascii="Arial" w:hAnsi="Arial" w:cs="Arial"/>
                <w:sz w:val="22"/>
                <w:szCs w:val="22"/>
              </w:rPr>
            </w:pPr>
            <w:r w:rsidRPr="00091238">
              <w:rPr>
                <w:rFonts w:ascii="Arial" w:hAnsi="Arial" w:cs="Arial"/>
                <w:sz w:val="22"/>
                <w:szCs w:val="22"/>
              </w:rPr>
              <w:t xml:space="preserve">A description of how </w:t>
            </w:r>
            <w:r w:rsidR="006C274C">
              <w:rPr>
                <w:rFonts w:ascii="Arial" w:hAnsi="Arial" w:cs="Arial"/>
                <w:sz w:val="22"/>
                <w:szCs w:val="22"/>
              </w:rPr>
              <w:t>UDOT</w:t>
            </w:r>
            <w:r w:rsidRPr="00091238">
              <w:rPr>
                <w:rFonts w:ascii="Arial" w:hAnsi="Arial" w:cs="Arial"/>
                <w:sz w:val="22"/>
                <w:szCs w:val="22"/>
              </w:rPr>
              <w:t xml:space="preserve"> monitors its Section 5309, 5310, 5311, 5316, and 5317 subrecipients for compliance with Title VI and a summary of the results of this monitoring, including: </w:t>
            </w:r>
          </w:p>
          <w:p w:rsidR="00255EE1" w:rsidRPr="00091238" w:rsidRDefault="00255EE1" w:rsidP="0064099D">
            <w:pPr>
              <w:numPr>
                <w:ilvl w:val="0"/>
                <w:numId w:val="21"/>
              </w:numPr>
              <w:tabs>
                <w:tab w:val="clear" w:pos="720"/>
                <w:tab w:val="num" w:pos="1440"/>
              </w:tabs>
              <w:ind w:left="1440"/>
              <w:rPr>
                <w:rFonts w:ascii="Arial" w:hAnsi="Arial" w:cs="Arial"/>
                <w:sz w:val="22"/>
                <w:szCs w:val="22"/>
              </w:rPr>
            </w:pPr>
            <w:r w:rsidRPr="00091238">
              <w:rPr>
                <w:rFonts w:ascii="Arial" w:hAnsi="Arial" w:cs="Arial"/>
                <w:sz w:val="22"/>
                <w:szCs w:val="22"/>
              </w:rPr>
              <w:t>The process for ensuring that all subrecipients are complying with the General Reporting Requirements of FTA Circular 4702.1A.</w:t>
            </w:r>
          </w:p>
          <w:p w:rsidR="004B54C0" w:rsidRPr="004B54C0" w:rsidRDefault="00255EE1" w:rsidP="004B54C0">
            <w:pPr>
              <w:numPr>
                <w:ilvl w:val="0"/>
                <w:numId w:val="21"/>
              </w:numPr>
              <w:tabs>
                <w:tab w:val="clear" w:pos="720"/>
                <w:tab w:val="num" w:pos="1440"/>
              </w:tabs>
              <w:ind w:left="1440"/>
              <w:rPr>
                <w:rFonts w:ascii="Arial" w:hAnsi="Arial" w:cs="Arial"/>
                <w:sz w:val="22"/>
                <w:szCs w:val="22"/>
              </w:rPr>
            </w:pPr>
            <w:r w:rsidRPr="00091238">
              <w:rPr>
                <w:rFonts w:ascii="Arial" w:hAnsi="Arial" w:cs="Arial"/>
                <w:sz w:val="22"/>
                <w:szCs w:val="22"/>
              </w:rPr>
              <w:t>The process for subrecipients who provide transportation services to verify that their level and quality of service is provided on an equitable basis, including the development of system-wide service standards and verification that service provided to predominantly minority and low-income communities meets these standards.</w:t>
            </w:r>
          </w:p>
        </w:tc>
      </w:tr>
      <w:tr w:rsidR="00255EE1" w:rsidRPr="007851AF" w:rsidTr="0004231E">
        <w:trPr>
          <w:cantSplit/>
        </w:trPr>
        <w:tc>
          <w:tcPr>
            <w:tcW w:w="9360" w:type="dxa"/>
          </w:tcPr>
          <w:p w:rsidR="00255EE1" w:rsidRPr="00091238" w:rsidRDefault="00255EE1" w:rsidP="007851AF">
            <w:pPr>
              <w:spacing w:before="40" w:after="40"/>
              <w:rPr>
                <w:rFonts w:ascii="Arial" w:hAnsi="Arial" w:cs="Arial"/>
                <w:b/>
                <w:sz w:val="22"/>
                <w:szCs w:val="22"/>
              </w:rPr>
            </w:pPr>
            <w:r w:rsidRPr="00091238">
              <w:rPr>
                <w:rFonts w:ascii="Arial" w:hAnsi="Arial" w:cs="Arial"/>
                <w:b/>
                <w:sz w:val="22"/>
                <w:szCs w:val="22"/>
              </w:rPr>
              <w:t>12. Providing Assistance to Subrecipients</w:t>
            </w:r>
            <w:r>
              <w:rPr>
                <w:rFonts w:ascii="Arial" w:hAnsi="Arial" w:cs="Arial"/>
                <w:b/>
                <w:sz w:val="22"/>
                <w:szCs w:val="22"/>
              </w:rPr>
              <w:t xml:space="preserve"> </w:t>
            </w:r>
            <w:r w:rsidRPr="00091238">
              <w:rPr>
                <w:rFonts w:ascii="Arial" w:hAnsi="Arial" w:cs="Arial"/>
                <w:b/>
                <w:sz w:val="22"/>
                <w:szCs w:val="22"/>
              </w:rPr>
              <w:t>(FTA C. 4702.1A</w:t>
            </w:r>
            <w:r>
              <w:rPr>
                <w:rFonts w:ascii="Arial" w:hAnsi="Arial" w:cs="Arial"/>
                <w:b/>
                <w:sz w:val="22"/>
                <w:szCs w:val="22"/>
              </w:rPr>
              <w:t>, VI.4</w:t>
            </w:r>
            <w:r w:rsidRPr="00091238">
              <w:rPr>
                <w:rFonts w:ascii="Arial" w:hAnsi="Arial" w:cs="Arial"/>
                <w:b/>
                <w:sz w:val="22"/>
                <w:szCs w:val="22"/>
              </w:rPr>
              <w:t>.)</w:t>
            </w:r>
          </w:p>
        </w:tc>
      </w:tr>
      <w:tr w:rsidR="00255EE1" w:rsidTr="0004231E">
        <w:trPr>
          <w:cantSplit/>
        </w:trPr>
        <w:tc>
          <w:tcPr>
            <w:tcW w:w="9360" w:type="dxa"/>
          </w:tcPr>
          <w:p w:rsidR="00255EE1" w:rsidRPr="0004231E" w:rsidRDefault="00255EE1" w:rsidP="0064099D">
            <w:pPr>
              <w:numPr>
                <w:ilvl w:val="0"/>
                <w:numId w:val="33"/>
              </w:numPr>
              <w:rPr>
                <w:rFonts w:ascii="Arial" w:hAnsi="Arial" w:cs="Arial"/>
                <w:sz w:val="22"/>
                <w:szCs w:val="22"/>
              </w:rPr>
            </w:pPr>
            <w:r w:rsidRPr="00091238">
              <w:rPr>
                <w:rFonts w:ascii="Arial" w:hAnsi="Arial" w:cs="Arial"/>
                <w:sz w:val="22"/>
                <w:szCs w:val="22"/>
              </w:rPr>
              <w:t xml:space="preserve">A description of </w:t>
            </w:r>
            <w:r w:rsidR="006C274C">
              <w:rPr>
                <w:rFonts w:ascii="Arial" w:hAnsi="Arial" w:cs="Arial"/>
                <w:sz w:val="22"/>
                <w:szCs w:val="22"/>
              </w:rPr>
              <w:t>UDOT</w:t>
            </w:r>
            <w:r w:rsidRPr="00091238">
              <w:rPr>
                <w:rFonts w:ascii="Arial" w:hAnsi="Arial" w:cs="Arial"/>
                <w:sz w:val="22"/>
                <w:szCs w:val="22"/>
              </w:rPr>
              <w:t>’s procedures to assist potential subrecipients in applying for Section 5310, 5311, 5316, and 5317 funding, including any efforts to assist applicants that would serve predominantly minority and low-income population</w:t>
            </w:r>
            <w:r>
              <w:rPr>
                <w:rFonts w:ascii="Arial" w:hAnsi="Arial" w:cs="Arial"/>
                <w:sz w:val="22"/>
                <w:szCs w:val="22"/>
              </w:rPr>
              <w:t xml:space="preserve">s. </w:t>
            </w:r>
          </w:p>
        </w:tc>
      </w:tr>
      <w:tr w:rsidR="00255EE1" w:rsidTr="0004231E">
        <w:trPr>
          <w:cantSplit/>
        </w:trPr>
        <w:tc>
          <w:tcPr>
            <w:tcW w:w="9360" w:type="dxa"/>
          </w:tcPr>
          <w:p w:rsidR="00255EE1" w:rsidRPr="00091238" w:rsidRDefault="00255EE1" w:rsidP="0064099D">
            <w:pPr>
              <w:numPr>
                <w:ilvl w:val="0"/>
                <w:numId w:val="33"/>
              </w:numPr>
              <w:rPr>
                <w:rFonts w:ascii="Arial" w:hAnsi="Arial" w:cs="Arial"/>
                <w:sz w:val="22"/>
                <w:szCs w:val="22"/>
              </w:rPr>
            </w:pPr>
            <w:r w:rsidRPr="00091238">
              <w:rPr>
                <w:rFonts w:ascii="Arial" w:hAnsi="Arial" w:cs="Arial"/>
                <w:sz w:val="22"/>
                <w:szCs w:val="22"/>
              </w:rPr>
              <w:t xml:space="preserve">A description of the assistance </w:t>
            </w:r>
            <w:r w:rsidR="006C274C">
              <w:rPr>
                <w:rFonts w:ascii="Arial" w:hAnsi="Arial" w:cs="Arial"/>
                <w:sz w:val="22"/>
                <w:szCs w:val="22"/>
              </w:rPr>
              <w:t>UDOT</w:t>
            </w:r>
            <w:r w:rsidRPr="00091238">
              <w:rPr>
                <w:rFonts w:ascii="Arial" w:hAnsi="Arial" w:cs="Arial"/>
                <w:sz w:val="22"/>
                <w:szCs w:val="22"/>
              </w:rPr>
              <w:t xml:space="preserve"> provides to subrecipients, upon their request, to help them comply with the FTA Title VI General Reporting Requirements.  The following are examples of information that m</w:t>
            </w:r>
            <w:r>
              <w:rPr>
                <w:rFonts w:ascii="Arial" w:hAnsi="Arial" w:cs="Arial"/>
                <w:sz w:val="22"/>
                <w:szCs w:val="22"/>
              </w:rPr>
              <w:t>ay be provided to subrecipients:</w:t>
            </w:r>
          </w:p>
          <w:p w:rsidR="00255EE1" w:rsidRPr="00091238" w:rsidRDefault="00255EE1" w:rsidP="0064099D">
            <w:pPr>
              <w:numPr>
                <w:ilvl w:val="0"/>
                <w:numId w:val="21"/>
              </w:numPr>
              <w:tabs>
                <w:tab w:val="clear" w:pos="720"/>
                <w:tab w:val="num" w:pos="1440"/>
              </w:tabs>
              <w:ind w:left="1440"/>
              <w:rPr>
                <w:rFonts w:ascii="Arial" w:hAnsi="Arial" w:cs="Arial"/>
                <w:sz w:val="22"/>
                <w:szCs w:val="22"/>
              </w:rPr>
            </w:pPr>
            <w:r w:rsidRPr="00091238">
              <w:rPr>
                <w:rFonts w:ascii="Arial" w:hAnsi="Arial" w:cs="Arial"/>
                <w:sz w:val="22"/>
                <w:szCs w:val="22"/>
              </w:rPr>
              <w:t>Sample notices to the public informing beneficiaries of their rights under Title VI and procedures on how to file a Title VI complaint.</w:t>
            </w:r>
          </w:p>
          <w:p w:rsidR="00255EE1" w:rsidRPr="00091238" w:rsidRDefault="00255EE1" w:rsidP="0064099D">
            <w:pPr>
              <w:numPr>
                <w:ilvl w:val="0"/>
                <w:numId w:val="21"/>
              </w:numPr>
              <w:tabs>
                <w:tab w:val="clear" w:pos="720"/>
                <w:tab w:val="num" w:pos="1440"/>
              </w:tabs>
              <w:ind w:left="1440"/>
              <w:rPr>
                <w:rFonts w:ascii="Arial" w:hAnsi="Arial" w:cs="Arial"/>
                <w:sz w:val="22"/>
                <w:szCs w:val="22"/>
              </w:rPr>
            </w:pPr>
            <w:r w:rsidRPr="00091238">
              <w:rPr>
                <w:rFonts w:ascii="Arial" w:hAnsi="Arial" w:cs="Arial"/>
                <w:sz w:val="22"/>
                <w:szCs w:val="22"/>
              </w:rPr>
              <w:t xml:space="preserve">Sample procedures for tracking and investigating Title VI complaints filed with a subrecipient. </w:t>
            </w:r>
          </w:p>
          <w:p w:rsidR="00255EE1" w:rsidRPr="00091238" w:rsidRDefault="00255EE1" w:rsidP="0064099D">
            <w:pPr>
              <w:numPr>
                <w:ilvl w:val="0"/>
                <w:numId w:val="21"/>
              </w:numPr>
              <w:tabs>
                <w:tab w:val="clear" w:pos="720"/>
                <w:tab w:val="num" w:pos="1440"/>
              </w:tabs>
              <w:ind w:left="1440"/>
              <w:rPr>
                <w:rFonts w:ascii="Arial" w:hAnsi="Arial" w:cs="Arial"/>
                <w:sz w:val="22"/>
                <w:szCs w:val="22"/>
              </w:rPr>
            </w:pPr>
            <w:r w:rsidRPr="00091238">
              <w:rPr>
                <w:rFonts w:ascii="Arial" w:hAnsi="Arial" w:cs="Arial"/>
                <w:sz w:val="22"/>
                <w:szCs w:val="22"/>
              </w:rPr>
              <w:t>Demographic information on the race, income, and English proficiency of residents served by the subrecipient.</w:t>
            </w:r>
          </w:p>
        </w:tc>
      </w:tr>
    </w:tbl>
    <w:p w:rsidR="00F80A8D" w:rsidRDefault="00F80A8D">
      <w:pPr>
        <w:pStyle w:val="BodyText2"/>
        <w:spacing w:line="360" w:lineRule="auto"/>
        <w:jc w:val="left"/>
        <w:rPr>
          <w:b w:val="0"/>
          <w:bCs/>
          <w:sz w:val="28"/>
          <w:szCs w:val="28"/>
        </w:rPr>
      </w:pPr>
    </w:p>
    <w:p w:rsidR="00F80A8D" w:rsidRDefault="006C274C">
      <w:pPr>
        <w:pStyle w:val="BodyText2"/>
        <w:spacing w:line="360" w:lineRule="auto"/>
        <w:jc w:val="left"/>
        <w:rPr>
          <w:b w:val="0"/>
          <w:bCs/>
          <w:sz w:val="28"/>
          <w:szCs w:val="28"/>
        </w:rPr>
      </w:pPr>
      <w:r>
        <w:rPr>
          <w:b w:val="0"/>
          <w:bCs/>
          <w:sz w:val="28"/>
          <w:szCs w:val="28"/>
        </w:rPr>
        <w:t>UDOT</w:t>
      </w:r>
      <w:r w:rsidR="00F80A8D">
        <w:rPr>
          <w:b w:val="0"/>
          <w:bCs/>
          <w:sz w:val="28"/>
          <w:szCs w:val="28"/>
        </w:rPr>
        <w:t xml:space="preserve"> assembled most of the documents </w:t>
      </w:r>
      <w:r w:rsidR="00345816">
        <w:rPr>
          <w:b w:val="0"/>
          <w:bCs/>
          <w:sz w:val="28"/>
          <w:szCs w:val="28"/>
        </w:rPr>
        <w:t xml:space="preserve">it provided for the </w:t>
      </w:r>
      <w:r w:rsidR="00155FDB">
        <w:rPr>
          <w:b w:val="0"/>
          <w:bCs/>
          <w:sz w:val="28"/>
          <w:szCs w:val="28"/>
        </w:rPr>
        <w:t xml:space="preserve">Compliance </w:t>
      </w:r>
      <w:r w:rsidR="00345816">
        <w:rPr>
          <w:b w:val="0"/>
          <w:bCs/>
          <w:sz w:val="28"/>
          <w:szCs w:val="28"/>
        </w:rPr>
        <w:t>Review t</w:t>
      </w:r>
      <w:r w:rsidR="00F80A8D">
        <w:rPr>
          <w:b w:val="0"/>
          <w:bCs/>
          <w:sz w:val="28"/>
          <w:szCs w:val="28"/>
        </w:rPr>
        <w:t xml:space="preserve">o the Compliance Review team </w:t>
      </w:r>
      <w:r w:rsidR="00345816">
        <w:rPr>
          <w:b w:val="0"/>
          <w:bCs/>
          <w:sz w:val="28"/>
          <w:szCs w:val="28"/>
        </w:rPr>
        <w:t xml:space="preserve">prior to the site visit </w:t>
      </w:r>
      <w:r w:rsidR="00F80A8D">
        <w:rPr>
          <w:b w:val="0"/>
          <w:bCs/>
          <w:sz w:val="28"/>
          <w:szCs w:val="28"/>
        </w:rPr>
        <w:t xml:space="preserve">for advance review. </w:t>
      </w:r>
      <w:r w:rsidR="008F0120">
        <w:rPr>
          <w:b w:val="0"/>
          <w:bCs/>
          <w:sz w:val="28"/>
          <w:szCs w:val="28"/>
        </w:rPr>
        <w:t xml:space="preserve"> </w:t>
      </w:r>
      <w:r w:rsidR="00F80A8D">
        <w:rPr>
          <w:b w:val="0"/>
          <w:bCs/>
          <w:sz w:val="28"/>
          <w:szCs w:val="28"/>
        </w:rPr>
        <w:t xml:space="preserve">A detailed schedule for the </w:t>
      </w:r>
      <w:r w:rsidR="00AA59B8">
        <w:rPr>
          <w:b w:val="0"/>
          <w:bCs/>
          <w:sz w:val="28"/>
          <w:szCs w:val="28"/>
        </w:rPr>
        <w:t>four</w:t>
      </w:r>
      <w:r w:rsidR="00F80A8D">
        <w:rPr>
          <w:b w:val="0"/>
          <w:bCs/>
          <w:sz w:val="28"/>
          <w:szCs w:val="28"/>
        </w:rPr>
        <w:t>-day site visit was developed.</w:t>
      </w:r>
    </w:p>
    <w:p w:rsidR="00F80A8D" w:rsidRDefault="00F80A8D">
      <w:pPr>
        <w:pStyle w:val="BodyText2"/>
        <w:spacing w:line="360" w:lineRule="auto"/>
        <w:jc w:val="left"/>
        <w:rPr>
          <w:b w:val="0"/>
          <w:bCs/>
          <w:sz w:val="28"/>
          <w:szCs w:val="28"/>
        </w:rPr>
      </w:pPr>
    </w:p>
    <w:p w:rsidR="00F80A8D" w:rsidRDefault="00F80A8D">
      <w:pPr>
        <w:pStyle w:val="BodyText2"/>
        <w:spacing w:line="360" w:lineRule="auto"/>
        <w:jc w:val="left"/>
        <w:rPr>
          <w:b w:val="0"/>
          <w:sz w:val="28"/>
        </w:rPr>
      </w:pPr>
      <w:r>
        <w:rPr>
          <w:b w:val="0"/>
          <w:bCs/>
          <w:sz w:val="28"/>
          <w:szCs w:val="28"/>
        </w:rPr>
        <w:t xml:space="preserve">The site visit to </w:t>
      </w:r>
      <w:r w:rsidR="006C274C">
        <w:rPr>
          <w:b w:val="0"/>
          <w:bCs/>
          <w:sz w:val="28"/>
          <w:szCs w:val="28"/>
        </w:rPr>
        <w:t>UDOT</w:t>
      </w:r>
      <w:r>
        <w:rPr>
          <w:b w:val="0"/>
          <w:bCs/>
          <w:sz w:val="28"/>
          <w:szCs w:val="28"/>
        </w:rPr>
        <w:t xml:space="preserve"> occurred </w:t>
      </w:r>
      <w:r w:rsidR="00C10F1F">
        <w:rPr>
          <w:b w:val="0"/>
          <w:bCs/>
          <w:sz w:val="28"/>
          <w:szCs w:val="28"/>
        </w:rPr>
        <w:t>May 3 - 6</w:t>
      </w:r>
      <w:r>
        <w:rPr>
          <w:b w:val="0"/>
          <w:bCs/>
          <w:sz w:val="28"/>
          <w:szCs w:val="28"/>
        </w:rPr>
        <w:t>, 20</w:t>
      </w:r>
      <w:r w:rsidR="00B95DAC">
        <w:rPr>
          <w:b w:val="0"/>
          <w:bCs/>
          <w:sz w:val="28"/>
          <w:szCs w:val="28"/>
        </w:rPr>
        <w:t>10</w:t>
      </w:r>
      <w:r>
        <w:rPr>
          <w:b w:val="0"/>
          <w:bCs/>
          <w:sz w:val="28"/>
          <w:szCs w:val="28"/>
        </w:rPr>
        <w:t>.  The individuals participating in the Review are listed in Section VIII of this report.</w:t>
      </w:r>
      <w:r>
        <w:rPr>
          <w:sz w:val="28"/>
          <w:szCs w:val="28"/>
        </w:rPr>
        <w:t xml:space="preserve"> </w:t>
      </w:r>
      <w:r>
        <w:rPr>
          <w:b w:val="0"/>
          <w:sz w:val="28"/>
        </w:rPr>
        <w:t xml:space="preserve"> </w:t>
      </w:r>
      <w:r w:rsidR="00EA0F06">
        <w:rPr>
          <w:b w:val="0"/>
          <w:sz w:val="28"/>
        </w:rPr>
        <w:t>An</w:t>
      </w:r>
      <w:r>
        <w:rPr>
          <w:b w:val="0"/>
          <w:sz w:val="28"/>
        </w:rPr>
        <w:t xml:space="preserve"> Entrance Conference was conducted at the beginning of the </w:t>
      </w:r>
      <w:r w:rsidR="00B1784C">
        <w:rPr>
          <w:b w:val="0"/>
          <w:sz w:val="28"/>
        </w:rPr>
        <w:t xml:space="preserve">Title VI </w:t>
      </w:r>
      <w:r>
        <w:rPr>
          <w:b w:val="0"/>
          <w:sz w:val="28"/>
        </w:rPr>
        <w:t xml:space="preserve">Compliance Review with </w:t>
      </w:r>
      <w:r w:rsidR="006C274C">
        <w:rPr>
          <w:b w:val="0"/>
          <w:sz w:val="28"/>
        </w:rPr>
        <w:t>UDOT</w:t>
      </w:r>
      <w:r w:rsidRPr="00A203F5">
        <w:rPr>
          <w:b w:val="0"/>
          <w:sz w:val="28"/>
        </w:rPr>
        <w:t xml:space="preserve"> senior management staff</w:t>
      </w:r>
      <w:r w:rsidR="00AA59B8">
        <w:rPr>
          <w:b w:val="0"/>
          <w:sz w:val="28"/>
        </w:rPr>
        <w:t xml:space="preserve">, </w:t>
      </w:r>
      <w:r w:rsidR="00D70B2B">
        <w:rPr>
          <w:b w:val="0"/>
          <w:sz w:val="28"/>
        </w:rPr>
        <w:t xml:space="preserve">the </w:t>
      </w:r>
      <w:r w:rsidR="00B1784C">
        <w:rPr>
          <w:b w:val="0"/>
          <w:sz w:val="28"/>
        </w:rPr>
        <w:t xml:space="preserve">FTA </w:t>
      </w:r>
      <w:r w:rsidR="0042277B">
        <w:rPr>
          <w:b w:val="0"/>
          <w:sz w:val="28"/>
        </w:rPr>
        <w:t>R</w:t>
      </w:r>
      <w:r w:rsidR="00B1784C">
        <w:rPr>
          <w:b w:val="0"/>
          <w:sz w:val="28"/>
        </w:rPr>
        <w:t xml:space="preserve">egion VIII </w:t>
      </w:r>
      <w:r w:rsidR="00D70B2B">
        <w:rPr>
          <w:b w:val="0"/>
          <w:sz w:val="28"/>
        </w:rPr>
        <w:t>Program Manager for State Management Reviews and Tribal Transit</w:t>
      </w:r>
      <w:r w:rsidR="00B1784C">
        <w:rPr>
          <w:b w:val="0"/>
          <w:sz w:val="28"/>
        </w:rPr>
        <w:t xml:space="preserve">, </w:t>
      </w:r>
      <w:r w:rsidR="009734DD" w:rsidRPr="009734DD">
        <w:rPr>
          <w:b w:val="0"/>
          <w:sz w:val="28"/>
        </w:rPr>
        <w:t xml:space="preserve">the FTA </w:t>
      </w:r>
      <w:r w:rsidR="00B1784C">
        <w:rPr>
          <w:b w:val="0"/>
          <w:sz w:val="28"/>
        </w:rPr>
        <w:t>Headquarters Equal Opportunity Specialist</w:t>
      </w:r>
      <w:r w:rsidR="009734DD" w:rsidRPr="009734DD">
        <w:rPr>
          <w:b w:val="0"/>
          <w:sz w:val="28"/>
        </w:rPr>
        <w:t>,</w:t>
      </w:r>
      <w:r w:rsidR="002207BE" w:rsidRPr="00AA59B8">
        <w:rPr>
          <w:b w:val="0"/>
          <w:sz w:val="28"/>
        </w:rPr>
        <w:t xml:space="preserve"> </w:t>
      </w:r>
      <w:r w:rsidRPr="00A203F5">
        <w:rPr>
          <w:b w:val="0"/>
          <w:sz w:val="28"/>
        </w:rPr>
        <w:t>and the contractor Review team.</w:t>
      </w:r>
      <w:r>
        <w:rPr>
          <w:b w:val="0"/>
          <w:sz w:val="28"/>
        </w:rPr>
        <w:t xml:space="preserve">  The Review team showed the participants a U.S. Justice Department Title VI film during the Entrance Conference.  Also, during the Entrance Conference, the Review team explained the goals of the Review and the </w:t>
      </w:r>
      <w:r>
        <w:rPr>
          <w:b w:val="0"/>
          <w:sz w:val="28"/>
        </w:rPr>
        <w:lastRenderedPageBreak/>
        <w:t xml:space="preserve">needed cooperation of staff members.  </w:t>
      </w:r>
      <w:r>
        <w:rPr>
          <w:b w:val="0"/>
          <w:bCs/>
          <w:sz w:val="28"/>
          <w:szCs w:val="28"/>
        </w:rPr>
        <w:t>A detailed schedule for conducting the on-site visit was discussed.</w:t>
      </w:r>
    </w:p>
    <w:p w:rsidR="00F80A8D" w:rsidRDefault="00F80A8D">
      <w:pPr>
        <w:pStyle w:val="BodyText2"/>
        <w:spacing w:line="360" w:lineRule="auto"/>
        <w:rPr>
          <w:b w:val="0"/>
          <w:sz w:val="28"/>
        </w:rPr>
      </w:pPr>
    </w:p>
    <w:p w:rsidR="00F80A8D" w:rsidRDefault="00F80A8D">
      <w:pPr>
        <w:spacing w:line="360" w:lineRule="auto"/>
        <w:rPr>
          <w:sz w:val="28"/>
        </w:rPr>
      </w:pPr>
      <w:r>
        <w:rPr>
          <w:bCs/>
          <w:sz w:val="28"/>
        </w:rPr>
        <w:t xml:space="preserve">Following the Entrance Conference, the Title VI Compliance Review team met with staff </w:t>
      </w:r>
      <w:r w:rsidR="00EA0F06">
        <w:rPr>
          <w:bCs/>
          <w:sz w:val="28"/>
        </w:rPr>
        <w:t xml:space="preserve">from the </w:t>
      </w:r>
      <w:r w:rsidR="006C274C">
        <w:rPr>
          <w:bCs/>
          <w:sz w:val="28"/>
        </w:rPr>
        <w:t>UDOT</w:t>
      </w:r>
      <w:r w:rsidR="00AA59B8">
        <w:rPr>
          <w:bCs/>
          <w:sz w:val="28"/>
        </w:rPr>
        <w:t xml:space="preserve"> </w:t>
      </w:r>
      <w:r w:rsidR="00EA0F06">
        <w:rPr>
          <w:bCs/>
          <w:sz w:val="28"/>
        </w:rPr>
        <w:t xml:space="preserve">Office of Civil Rights </w:t>
      </w:r>
      <w:r>
        <w:rPr>
          <w:bCs/>
          <w:sz w:val="28"/>
        </w:rPr>
        <w:t>responsible for Title VI Compliance</w:t>
      </w:r>
      <w:r w:rsidR="00AA59B8">
        <w:rPr>
          <w:bCs/>
          <w:sz w:val="28"/>
        </w:rPr>
        <w:t xml:space="preserve"> and </w:t>
      </w:r>
      <w:r w:rsidR="00B1784C">
        <w:rPr>
          <w:bCs/>
          <w:sz w:val="28"/>
        </w:rPr>
        <w:t>with staff fr</w:t>
      </w:r>
      <w:r w:rsidR="00AA59B8">
        <w:rPr>
          <w:bCs/>
          <w:sz w:val="28"/>
        </w:rPr>
        <w:t xml:space="preserve">om the </w:t>
      </w:r>
      <w:r w:rsidR="006C274C">
        <w:rPr>
          <w:bCs/>
          <w:sz w:val="28"/>
        </w:rPr>
        <w:t>UDOT</w:t>
      </w:r>
      <w:r w:rsidR="00AA59B8">
        <w:rPr>
          <w:bCs/>
          <w:sz w:val="28"/>
        </w:rPr>
        <w:t xml:space="preserve"> </w:t>
      </w:r>
      <w:r w:rsidR="00B1784C">
        <w:rPr>
          <w:bCs/>
          <w:sz w:val="28"/>
        </w:rPr>
        <w:t>PTT</w:t>
      </w:r>
      <w:r w:rsidR="00AA59B8">
        <w:rPr>
          <w:bCs/>
          <w:sz w:val="28"/>
        </w:rPr>
        <w:t xml:space="preserve"> </w:t>
      </w:r>
      <w:r w:rsidR="00B1784C">
        <w:rPr>
          <w:bCs/>
          <w:sz w:val="28"/>
        </w:rPr>
        <w:t>Unit</w:t>
      </w:r>
      <w:r>
        <w:rPr>
          <w:bCs/>
          <w:sz w:val="28"/>
        </w:rPr>
        <w:t xml:space="preserve">.  During this meeting, </w:t>
      </w:r>
      <w:r w:rsidR="00B1784C">
        <w:rPr>
          <w:bCs/>
          <w:sz w:val="28"/>
        </w:rPr>
        <w:t>t</w:t>
      </w:r>
      <w:r>
        <w:rPr>
          <w:bCs/>
          <w:sz w:val="28"/>
        </w:rPr>
        <w:t xml:space="preserve">he Review team </w:t>
      </w:r>
      <w:r w:rsidR="0042277B">
        <w:rPr>
          <w:bCs/>
          <w:sz w:val="28"/>
        </w:rPr>
        <w:t>and</w:t>
      </w:r>
      <w:r w:rsidR="00AA59B8">
        <w:rPr>
          <w:bCs/>
          <w:sz w:val="28"/>
        </w:rPr>
        <w:t xml:space="preserve"> </w:t>
      </w:r>
      <w:r w:rsidR="006C274C">
        <w:rPr>
          <w:bCs/>
          <w:sz w:val="28"/>
        </w:rPr>
        <w:t>UDOT</w:t>
      </w:r>
      <w:r>
        <w:rPr>
          <w:bCs/>
          <w:sz w:val="28"/>
        </w:rPr>
        <w:t xml:space="preserve"> </w:t>
      </w:r>
      <w:r w:rsidR="00AA59B8">
        <w:rPr>
          <w:bCs/>
          <w:sz w:val="28"/>
        </w:rPr>
        <w:t xml:space="preserve">staff </w:t>
      </w:r>
      <w:r>
        <w:rPr>
          <w:bCs/>
          <w:sz w:val="28"/>
        </w:rPr>
        <w:t>discuss</w:t>
      </w:r>
      <w:r w:rsidR="00D70B2B">
        <w:rPr>
          <w:bCs/>
          <w:sz w:val="28"/>
        </w:rPr>
        <w:t>ed</w:t>
      </w:r>
      <w:r>
        <w:rPr>
          <w:bCs/>
          <w:sz w:val="28"/>
        </w:rPr>
        <w:t xml:space="preserve"> how </w:t>
      </w:r>
      <w:r w:rsidR="006C274C">
        <w:rPr>
          <w:bCs/>
          <w:sz w:val="28"/>
        </w:rPr>
        <w:t>UDOT</w:t>
      </w:r>
      <w:r>
        <w:rPr>
          <w:bCs/>
          <w:sz w:val="28"/>
        </w:rPr>
        <w:t xml:space="preserve"> incorporate</w:t>
      </w:r>
      <w:r w:rsidR="0042277B">
        <w:rPr>
          <w:bCs/>
          <w:sz w:val="28"/>
        </w:rPr>
        <w:t>d</w:t>
      </w:r>
      <w:r>
        <w:rPr>
          <w:bCs/>
          <w:sz w:val="28"/>
        </w:rPr>
        <w:t xml:space="preserve"> FTA Title VI requirements into its </w:t>
      </w:r>
      <w:r w:rsidR="0042277B">
        <w:rPr>
          <w:bCs/>
          <w:sz w:val="28"/>
        </w:rPr>
        <w:t>FTA programs</w:t>
      </w:r>
      <w:r>
        <w:rPr>
          <w:bCs/>
          <w:sz w:val="28"/>
        </w:rPr>
        <w:t>.</w:t>
      </w:r>
      <w:r w:rsidR="00A203F5">
        <w:rPr>
          <w:bCs/>
          <w:sz w:val="28"/>
        </w:rPr>
        <w:t xml:space="preserve"> </w:t>
      </w:r>
      <w:r>
        <w:rPr>
          <w:bCs/>
          <w:sz w:val="28"/>
        </w:rPr>
        <w:t xml:space="preserve"> </w:t>
      </w:r>
      <w:r w:rsidR="00651DDB">
        <w:rPr>
          <w:sz w:val="28"/>
        </w:rPr>
        <w:t xml:space="preserve">During the site </w:t>
      </w:r>
      <w:r w:rsidR="00C10F1F">
        <w:rPr>
          <w:sz w:val="28"/>
        </w:rPr>
        <w:t xml:space="preserve">visit, </w:t>
      </w:r>
      <w:r w:rsidR="00D70B2B">
        <w:rPr>
          <w:sz w:val="28"/>
        </w:rPr>
        <w:t>members of the SMR</w:t>
      </w:r>
      <w:r w:rsidR="00C10F1F">
        <w:rPr>
          <w:sz w:val="28"/>
        </w:rPr>
        <w:t xml:space="preserve"> Review team visited two</w:t>
      </w:r>
      <w:r w:rsidR="00651DDB">
        <w:rPr>
          <w:sz w:val="28"/>
        </w:rPr>
        <w:t xml:space="preserve"> Section 5311 subrecipient</w:t>
      </w:r>
      <w:r w:rsidR="00C10F1F">
        <w:rPr>
          <w:sz w:val="28"/>
        </w:rPr>
        <w:t>s, the Cache Valley Transit District and Park City Transit</w:t>
      </w:r>
      <w:r w:rsidR="00651DDB">
        <w:rPr>
          <w:color w:val="000000"/>
          <w:sz w:val="28"/>
          <w:szCs w:val="28"/>
        </w:rPr>
        <w:t>,</w:t>
      </w:r>
      <w:r w:rsidR="00C10F1F">
        <w:rPr>
          <w:color w:val="000000"/>
          <w:sz w:val="28"/>
          <w:szCs w:val="28"/>
        </w:rPr>
        <w:t xml:space="preserve"> and one Section 5310 subrecipient, the Cache Employment and Training, </w:t>
      </w:r>
      <w:r w:rsidR="00D70B2B">
        <w:rPr>
          <w:color w:val="000000"/>
          <w:sz w:val="28"/>
          <w:szCs w:val="28"/>
        </w:rPr>
        <w:t xml:space="preserve">on behalf of the Title VI </w:t>
      </w:r>
      <w:r w:rsidR="00B66BF3">
        <w:rPr>
          <w:color w:val="000000"/>
          <w:sz w:val="28"/>
          <w:szCs w:val="28"/>
        </w:rPr>
        <w:t>R</w:t>
      </w:r>
      <w:r w:rsidR="00D70B2B">
        <w:rPr>
          <w:color w:val="000000"/>
          <w:sz w:val="28"/>
          <w:szCs w:val="28"/>
        </w:rPr>
        <w:t xml:space="preserve">eview team </w:t>
      </w:r>
      <w:r w:rsidR="00651DDB">
        <w:rPr>
          <w:color w:val="000000"/>
          <w:sz w:val="28"/>
          <w:szCs w:val="28"/>
        </w:rPr>
        <w:t xml:space="preserve">to ascertain the extent to which Title VI was being incorporated into the </w:t>
      </w:r>
      <w:r w:rsidR="006C274C">
        <w:rPr>
          <w:color w:val="000000"/>
          <w:sz w:val="28"/>
          <w:szCs w:val="28"/>
        </w:rPr>
        <w:t>UDOT</w:t>
      </w:r>
      <w:r w:rsidR="00651DDB">
        <w:rPr>
          <w:color w:val="000000"/>
          <w:sz w:val="28"/>
          <w:szCs w:val="28"/>
        </w:rPr>
        <w:t xml:space="preserve"> subrecipient activities. </w:t>
      </w:r>
      <w:r>
        <w:rPr>
          <w:sz w:val="28"/>
        </w:rPr>
        <w:t xml:space="preserve">At the end of the site visit, an Exit Conference was held with </w:t>
      </w:r>
      <w:r w:rsidR="006C274C">
        <w:rPr>
          <w:sz w:val="28"/>
        </w:rPr>
        <w:t>UDOT</w:t>
      </w:r>
      <w:r>
        <w:rPr>
          <w:sz w:val="28"/>
        </w:rPr>
        <w:t xml:space="preserve"> </w:t>
      </w:r>
      <w:r w:rsidR="00AA59B8">
        <w:rPr>
          <w:sz w:val="28"/>
        </w:rPr>
        <w:t>staff</w:t>
      </w:r>
      <w:r>
        <w:rPr>
          <w:sz w:val="28"/>
        </w:rPr>
        <w:t xml:space="preserve"> and the contractor Review team.  At the Exit Conference, initial findings and corrective actions were discussed with </w:t>
      </w:r>
      <w:r w:rsidR="006C274C">
        <w:rPr>
          <w:sz w:val="28"/>
        </w:rPr>
        <w:t>UDOT</w:t>
      </w:r>
      <w:r>
        <w:rPr>
          <w:sz w:val="28"/>
        </w:rPr>
        <w:t>.</w:t>
      </w:r>
    </w:p>
    <w:p w:rsidR="00F80A8D" w:rsidRPr="009A52A0" w:rsidRDefault="00750E12" w:rsidP="009A52A0">
      <w:pPr>
        <w:pStyle w:val="BHLevel1"/>
        <w:numPr>
          <w:ilvl w:val="0"/>
          <w:numId w:val="0"/>
        </w:numPr>
        <w:spacing w:line="360" w:lineRule="auto"/>
        <w:ind w:left="-720" w:firstLine="720"/>
        <w:rPr>
          <w:sz w:val="28"/>
          <w:szCs w:val="28"/>
          <w:u w:val="none"/>
        </w:rPr>
      </w:pPr>
      <w:bookmarkStart w:id="11" w:name="_Toc106790242"/>
      <w:r>
        <w:rPr>
          <w:sz w:val="28"/>
          <w:szCs w:val="28"/>
          <w:u w:val="none"/>
        </w:rPr>
        <w:br w:type="page"/>
      </w:r>
      <w:bookmarkStart w:id="12" w:name="_Toc253152152"/>
      <w:r w:rsidR="00F80A8D" w:rsidRPr="009A52A0">
        <w:rPr>
          <w:sz w:val="28"/>
          <w:szCs w:val="28"/>
          <w:u w:val="none"/>
        </w:rPr>
        <w:lastRenderedPageBreak/>
        <w:t xml:space="preserve">VI. </w:t>
      </w:r>
      <w:r w:rsidR="00F80A8D" w:rsidRPr="009A52A0">
        <w:rPr>
          <w:sz w:val="28"/>
          <w:szCs w:val="28"/>
          <w:u w:val="none"/>
        </w:rPr>
        <w:tab/>
      </w:r>
      <w:r w:rsidR="00F80A8D" w:rsidRPr="009A52A0">
        <w:rPr>
          <w:sz w:val="28"/>
          <w:szCs w:val="28"/>
        </w:rPr>
        <w:t>FINDINGS AND RECOMMENDATIONS</w:t>
      </w:r>
      <w:bookmarkEnd w:id="11"/>
      <w:bookmarkEnd w:id="12"/>
    </w:p>
    <w:p w:rsidR="00F80A8D" w:rsidRDefault="00F80A8D">
      <w:pPr>
        <w:spacing w:line="360" w:lineRule="auto"/>
        <w:rPr>
          <w:sz w:val="28"/>
          <w:szCs w:val="28"/>
        </w:rPr>
      </w:pPr>
      <w:r>
        <w:rPr>
          <w:sz w:val="28"/>
          <w:szCs w:val="28"/>
        </w:rPr>
        <w:t xml:space="preserve">The Title VI Compliance Review focused on </w:t>
      </w:r>
      <w:r w:rsidR="006C274C">
        <w:rPr>
          <w:sz w:val="28"/>
          <w:szCs w:val="28"/>
        </w:rPr>
        <w:t>UDOT</w:t>
      </w:r>
      <w:r>
        <w:rPr>
          <w:sz w:val="28"/>
          <w:szCs w:val="28"/>
        </w:rPr>
        <w:t xml:space="preserve">'s compliance with the General Reporting Requirements </w:t>
      </w:r>
      <w:r w:rsidR="0042277B">
        <w:rPr>
          <w:sz w:val="28"/>
          <w:szCs w:val="28"/>
        </w:rPr>
        <w:t xml:space="preserve">and Guidelines </w:t>
      </w:r>
      <w:r>
        <w:rPr>
          <w:sz w:val="28"/>
          <w:szCs w:val="28"/>
        </w:rPr>
        <w:t>and the Program-Specific Requirements</w:t>
      </w:r>
      <w:r w:rsidR="0042277B">
        <w:rPr>
          <w:sz w:val="28"/>
          <w:szCs w:val="28"/>
        </w:rPr>
        <w:t xml:space="preserve"> and Guidelines for State DOTs and Other Administering Agencies</w:t>
      </w:r>
      <w:r>
        <w:rPr>
          <w:sz w:val="28"/>
          <w:szCs w:val="28"/>
        </w:rPr>
        <w:t xml:space="preserve">.  This section describes the requirements and findings at the time of the Compliance Review site visit.  In summary, </w:t>
      </w:r>
      <w:r w:rsidR="008E06FC" w:rsidRPr="00A92E80">
        <w:rPr>
          <w:sz w:val="28"/>
          <w:szCs w:val="28"/>
        </w:rPr>
        <w:t xml:space="preserve">no deficiencies were identified in </w:t>
      </w:r>
      <w:r w:rsidR="00A92E80" w:rsidRPr="00A92E80">
        <w:rPr>
          <w:sz w:val="28"/>
          <w:szCs w:val="28"/>
        </w:rPr>
        <w:t>two</w:t>
      </w:r>
      <w:r w:rsidR="004B54C0" w:rsidRPr="00A92E80">
        <w:rPr>
          <w:sz w:val="28"/>
          <w:szCs w:val="28"/>
        </w:rPr>
        <w:t xml:space="preserve"> </w:t>
      </w:r>
      <w:r w:rsidR="008E06FC" w:rsidRPr="00A92E80">
        <w:rPr>
          <w:sz w:val="28"/>
          <w:szCs w:val="28"/>
        </w:rPr>
        <w:t>of the</w:t>
      </w:r>
      <w:r w:rsidR="008C59EE" w:rsidRPr="00A92E80">
        <w:rPr>
          <w:sz w:val="28"/>
          <w:szCs w:val="28"/>
        </w:rPr>
        <w:t xml:space="preserve"> twelve</w:t>
      </w:r>
      <w:r w:rsidR="00236583">
        <w:rPr>
          <w:sz w:val="28"/>
          <w:szCs w:val="28"/>
        </w:rPr>
        <w:t xml:space="preserve"> areas reviewed</w:t>
      </w:r>
      <w:r w:rsidR="001248A6">
        <w:rPr>
          <w:sz w:val="28"/>
          <w:szCs w:val="28"/>
        </w:rPr>
        <w:t>.</w:t>
      </w:r>
      <w:r w:rsidR="00236583">
        <w:rPr>
          <w:sz w:val="28"/>
          <w:szCs w:val="28"/>
        </w:rPr>
        <w:t xml:space="preserve"> </w:t>
      </w:r>
      <w:r w:rsidR="001248A6">
        <w:rPr>
          <w:sz w:val="28"/>
          <w:szCs w:val="28"/>
        </w:rPr>
        <w:t>A</w:t>
      </w:r>
      <w:r w:rsidR="00236583">
        <w:rPr>
          <w:sz w:val="28"/>
          <w:szCs w:val="28"/>
        </w:rPr>
        <w:t xml:space="preserve">n </w:t>
      </w:r>
      <w:r w:rsidR="001248A6">
        <w:rPr>
          <w:sz w:val="28"/>
          <w:szCs w:val="28"/>
        </w:rPr>
        <w:t>A</w:t>
      </w:r>
      <w:r w:rsidR="00236583">
        <w:rPr>
          <w:sz w:val="28"/>
          <w:szCs w:val="28"/>
        </w:rPr>
        <w:t xml:space="preserve">dvisory </w:t>
      </w:r>
      <w:r w:rsidR="001248A6">
        <w:rPr>
          <w:sz w:val="28"/>
          <w:szCs w:val="28"/>
        </w:rPr>
        <w:t>C</w:t>
      </w:r>
      <w:r w:rsidR="00236583">
        <w:rPr>
          <w:sz w:val="28"/>
          <w:szCs w:val="28"/>
        </w:rPr>
        <w:t xml:space="preserve">omment was made in one </w:t>
      </w:r>
      <w:r w:rsidR="001248A6">
        <w:rPr>
          <w:sz w:val="28"/>
          <w:szCs w:val="28"/>
        </w:rPr>
        <w:t xml:space="preserve">of the two </w:t>
      </w:r>
      <w:r w:rsidR="00236583">
        <w:rPr>
          <w:sz w:val="28"/>
          <w:szCs w:val="28"/>
        </w:rPr>
        <w:t>area</w:t>
      </w:r>
      <w:r w:rsidR="001248A6">
        <w:rPr>
          <w:sz w:val="28"/>
          <w:szCs w:val="28"/>
        </w:rPr>
        <w:t>s</w:t>
      </w:r>
      <w:r w:rsidR="00236583">
        <w:rPr>
          <w:sz w:val="28"/>
          <w:szCs w:val="28"/>
        </w:rPr>
        <w:t>:</w:t>
      </w:r>
      <w:r w:rsidR="00566D76">
        <w:rPr>
          <w:sz w:val="28"/>
          <w:szCs w:val="28"/>
        </w:rPr>
        <w:t xml:space="preserve"> </w:t>
      </w:r>
      <w:r w:rsidR="00566D76" w:rsidRPr="00566D76">
        <w:rPr>
          <w:i/>
          <w:sz w:val="28"/>
          <w:szCs w:val="28"/>
        </w:rPr>
        <w:t>Environmental Justice Analys</w:t>
      </w:r>
      <w:r w:rsidR="00C44317">
        <w:rPr>
          <w:i/>
          <w:sz w:val="28"/>
          <w:szCs w:val="28"/>
        </w:rPr>
        <w:t>i</w:t>
      </w:r>
      <w:r w:rsidR="00566D76" w:rsidRPr="00566D76">
        <w:rPr>
          <w:i/>
          <w:sz w:val="28"/>
          <w:szCs w:val="28"/>
        </w:rPr>
        <w:t>s of Construction Projects</w:t>
      </w:r>
      <w:r w:rsidR="00236583">
        <w:rPr>
          <w:sz w:val="28"/>
          <w:szCs w:val="28"/>
        </w:rPr>
        <w:t xml:space="preserve">.  </w:t>
      </w:r>
      <w:r w:rsidR="008E06FC" w:rsidRPr="00A92E80">
        <w:rPr>
          <w:sz w:val="28"/>
          <w:szCs w:val="28"/>
        </w:rPr>
        <w:t>D</w:t>
      </w:r>
      <w:r w:rsidRPr="00A92E80">
        <w:rPr>
          <w:sz w:val="28"/>
          <w:szCs w:val="28"/>
        </w:rPr>
        <w:t xml:space="preserve">eficiencies were identified in </w:t>
      </w:r>
      <w:r w:rsidR="008E06FC" w:rsidRPr="00A92E80">
        <w:rPr>
          <w:sz w:val="28"/>
          <w:szCs w:val="28"/>
        </w:rPr>
        <w:t xml:space="preserve">the following </w:t>
      </w:r>
      <w:r w:rsidR="001248A6">
        <w:rPr>
          <w:sz w:val="28"/>
          <w:szCs w:val="28"/>
        </w:rPr>
        <w:t xml:space="preserve">ten </w:t>
      </w:r>
      <w:r w:rsidR="008E06FC" w:rsidRPr="00A92E80">
        <w:rPr>
          <w:sz w:val="28"/>
          <w:szCs w:val="28"/>
        </w:rPr>
        <w:t>Title VI requirement areas:</w:t>
      </w:r>
      <w:r w:rsidR="008E06FC">
        <w:rPr>
          <w:sz w:val="28"/>
          <w:szCs w:val="28"/>
        </w:rPr>
        <w:t xml:space="preserve"> </w:t>
      </w:r>
    </w:p>
    <w:p w:rsidR="00F80A8D" w:rsidRPr="00577BF9" w:rsidRDefault="00AD546D" w:rsidP="0064099D">
      <w:pPr>
        <w:numPr>
          <w:ilvl w:val="0"/>
          <w:numId w:val="18"/>
        </w:numPr>
        <w:rPr>
          <w:i/>
          <w:sz w:val="28"/>
          <w:szCs w:val="28"/>
        </w:rPr>
      </w:pPr>
      <w:r w:rsidRPr="00577BF9">
        <w:rPr>
          <w:i/>
          <w:sz w:val="28"/>
          <w:szCs w:val="28"/>
        </w:rPr>
        <w:t>Inclusive Public Participation</w:t>
      </w:r>
    </w:p>
    <w:p w:rsidR="004B54C0" w:rsidRDefault="001248A6" w:rsidP="004B54C0">
      <w:pPr>
        <w:numPr>
          <w:ilvl w:val="0"/>
          <w:numId w:val="18"/>
        </w:numPr>
        <w:rPr>
          <w:i/>
          <w:sz w:val="28"/>
          <w:szCs w:val="28"/>
        </w:rPr>
      </w:pPr>
      <w:r>
        <w:rPr>
          <w:i/>
          <w:sz w:val="28"/>
          <w:szCs w:val="28"/>
        </w:rPr>
        <w:t>Language Access to LEP Persons</w:t>
      </w:r>
    </w:p>
    <w:p w:rsidR="001248A6" w:rsidRDefault="001248A6" w:rsidP="004B54C0">
      <w:pPr>
        <w:numPr>
          <w:ilvl w:val="0"/>
          <w:numId w:val="18"/>
        </w:numPr>
        <w:rPr>
          <w:i/>
          <w:sz w:val="28"/>
          <w:szCs w:val="28"/>
        </w:rPr>
      </w:pPr>
      <w:r>
        <w:rPr>
          <w:i/>
          <w:sz w:val="28"/>
          <w:szCs w:val="28"/>
        </w:rPr>
        <w:t>Title VI Complaint Procedures</w:t>
      </w:r>
    </w:p>
    <w:p w:rsidR="005004EC" w:rsidRPr="00577BF9" w:rsidRDefault="005004EC" w:rsidP="004B54C0">
      <w:pPr>
        <w:numPr>
          <w:ilvl w:val="0"/>
          <w:numId w:val="18"/>
        </w:numPr>
        <w:rPr>
          <w:i/>
          <w:sz w:val="28"/>
          <w:szCs w:val="28"/>
        </w:rPr>
      </w:pPr>
      <w:r>
        <w:rPr>
          <w:i/>
          <w:sz w:val="28"/>
          <w:szCs w:val="28"/>
        </w:rPr>
        <w:t>Record of Title VI Investigations, Complaints, and Lawsuits</w:t>
      </w:r>
    </w:p>
    <w:p w:rsidR="008C59EE" w:rsidRPr="00577BF9" w:rsidRDefault="008C59EE" w:rsidP="0064099D">
      <w:pPr>
        <w:numPr>
          <w:ilvl w:val="0"/>
          <w:numId w:val="18"/>
        </w:numPr>
        <w:rPr>
          <w:i/>
          <w:sz w:val="28"/>
          <w:szCs w:val="28"/>
        </w:rPr>
      </w:pPr>
      <w:r w:rsidRPr="00577BF9">
        <w:rPr>
          <w:i/>
          <w:sz w:val="28"/>
          <w:szCs w:val="28"/>
        </w:rPr>
        <w:t>Noti</w:t>
      </w:r>
      <w:r w:rsidR="001248A6">
        <w:rPr>
          <w:i/>
          <w:sz w:val="28"/>
          <w:szCs w:val="28"/>
        </w:rPr>
        <w:t>ce</w:t>
      </w:r>
      <w:r w:rsidRPr="00577BF9">
        <w:rPr>
          <w:i/>
          <w:sz w:val="28"/>
          <w:szCs w:val="28"/>
        </w:rPr>
        <w:t xml:space="preserve"> to</w:t>
      </w:r>
      <w:r w:rsidR="001248A6">
        <w:rPr>
          <w:i/>
          <w:sz w:val="28"/>
          <w:szCs w:val="28"/>
        </w:rPr>
        <w:t xml:space="preserve"> </w:t>
      </w:r>
      <w:r w:rsidRPr="00577BF9">
        <w:rPr>
          <w:i/>
          <w:sz w:val="28"/>
          <w:szCs w:val="28"/>
        </w:rPr>
        <w:t>Beneficiaries</w:t>
      </w:r>
      <w:r w:rsidR="001248A6">
        <w:rPr>
          <w:i/>
          <w:sz w:val="28"/>
          <w:szCs w:val="28"/>
        </w:rPr>
        <w:t xml:space="preserve"> of Protection Under Title VI</w:t>
      </w:r>
    </w:p>
    <w:p w:rsidR="008D1286" w:rsidRPr="00577BF9" w:rsidRDefault="008D1286" w:rsidP="0064099D">
      <w:pPr>
        <w:numPr>
          <w:ilvl w:val="0"/>
          <w:numId w:val="18"/>
        </w:numPr>
        <w:rPr>
          <w:i/>
          <w:sz w:val="28"/>
          <w:szCs w:val="28"/>
        </w:rPr>
      </w:pPr>
      <w:r w:rsidRPr="00577BF9">
        <w:rPr>
          <w:i/>
          <w:sz w:val="28"/>
          <w:szCs w:val="28"/>
        </w:rPr>
        <w:t>Submit Title VI Program</w:t>
      </w:r>
    </w:p>
    <w:p w:rsidR="004B54C0" w:rsidRPr="00577BF9" w:rsidRDefault="004B54C0" w:rsidP="0064099D">
      <w:pPr>
        <w:numPr>
          <w:ilvl w:val="0"/>
          <w:numId w:val="18"/>
        </w:numPr>
        <w:rPr>
          <w:i/>
          <w:sz w:val="28"/>
          <w:szCs w:val="28"/>
        </w:rPr>
      </w:pPr>
      <w:r w:rsidRPr="00577BF9">
        <w:rPr>
          <w:i/>
          <w:sz w:val="28"/>
          <w:szCs w:val="28"/>
        </w:rPr>
        <w:t>Statewide Planning Activities</w:t>
      </w:r>
    </w:p>
    <w:p w:rsidR="004B54C0" w:rsidRDefault="004B54C0" w:rsidP="0064099D">
      <w:pPr>
        <w:numPr>
          <w:ilvl w:val="0"/>
          <w:numId w:val="18"/>
        </w:numPr>
        <w:rPr>
          <w:i/>
          <w:sz w:val="28"/>
          <w:szCs w:val="28"/>
        </w:rPr>
      </w:pPr>
      <w:r w:rsidRPr="00577BF9">
        <w:rPr>
          <w:i/>
          <w:sz w:val="28"/>
          <w:szCs w:val="28"/>
        </w:rPr>
        <w:t>Program Administration</w:t>
      </w:r>
    </w:p>
    <w:p w:rsidR="00A92E80" w:rsidRDefault="00A92E80" w:rsidP="0064099D">
      <w:pPr>
        <w:numPr>
          <w:ilvl w:val="0"/>
          <w:numId w:val="18"/>
        </w:numPr>
        <w:rPr>
          <w:i/>
          <w:sz w:val="28"/>
          <w:szCs w:val="28"/>
        </w:rPr>
      </w:pPr>
      <w:r>
        <w:rPr>
          <w:i/>
          <w:sz w:val="28"/>
          <w:szCs w:val="28"/>
        </w:rPr>
        <w:t>Providing Assistance to Subrecipients</w:t>
      </w:r>
    </w:p>
    <w:p w:rsidR="00A92E80" w:rsidRPr="00577BF9" w:rsidRDefault="00A92E80" w:rsidP="0064099D">
      <w:pPr>
        <w:numPr>
          <w:ilvl w:val="0"/>
          <w:numId w:val="18"/>
        </w:numPr>
        <w:rPr>
          <w:i/>
          <w:sz w:val="28"/>
          <w:szCs w:val="28"/>
        </w:rPr>
      </w:pPr>
      <w:r>
        <w:rPr>
          <w:i/>
          <w:sz w:val="28"/>
          <w:szCs w:val="28"/>
        </w:rPr>
        <w:t>Monitoring Subrecipients</w:t>
      </w:r>
    </w:p>
    <w:p w:rsidR="006071F2" w:rsidRDefault="006071F2" w:rsidP="006071F2">
      <w:pPr>
        <w:ind w:left="720"/>
        <w:rPr>
          <w:sz w:val="28"/>
          <w:szCs w:val="28"/>
        </w:rPr>
      </w:pPr>
    </w:p>
    <w:p w:rsidR="008C59EE" w:rsidRDefault="008C59EE" w:rsidP="008C59EE">
      <w:pPr>
        <w:rPr>
          <w:sz w:val="28"/>
          <w:szCs w:val="28"/>
        </w:rPr>
      </w:pPr>
    </w:p>
    <w:p w:rsidR="00F80A8D" w:rsidRDefault="00F80A8D">
      <w:pPr>
        <w:pStyle w:val="Heading4"/>
        <w:rPr>
          <w:sz w:val="28"/>
          <w:szCs w:val="28"/>
        </w:rPr>
      </w:pPr>
      <w:r>
        <w:rPr>
          <w:sz w:val="28"/>
          <w:szCs w:val="28"/>
        </w:rPr>
        <w:t>FINDINGS OF THE GENERAL REPORTING REQUIREMENTS</w:t>
      </w:r>
      <w:r w:rsidR="001476B5">
        <w:rPr>
          <w:sz w:val="28"/>
          <w:szCs w:val="28"/>
        </w:rPr>
        <w:t xml:space="preserve"> AND GUIDELINES</w:t>
      </w:r>
    </w:p>
    <w:p w:rsidR="00F80A8D" w:rsidRDefault="00F80A8D"/>
    <w:p w:rsidR="00F80A8D" w:rsidRDefault="00F80A8D">
      <w:pPr>
        <w:pStyle w:val="BHLevel2"/>
        <w:rPr>
          <w:sz w:val="28"/>
          <w:szCs w:val="28"/>
        </w:rPr>
      </w:pPr>
      <w:bookmarkStart w:id="13" w:name="_Toc253152153"/>
      <w:r>
        <w:rPr>
          <w:sz w:val="28"/>
          <w:szCs w:val="28"/>
        </w:rPr>
        <w:t>Inclusive Public Participation</w:t>
      </w:r>
      <w:bookmarkEnd w:id="13"/>
    </w:p>
    <w:p w:rsidR="00F80A8D" w:rsidRDefault="00F80A8D">
      <w:pPr>
        <w:pStyle w:val="Outlinea"/>
        <w:tabs>
          <w:tab w:val="clear" w:pos="720"/>
        </w:tabs>
        <w:ind w:left="0" w:firstLine="0"/>
        <w:rPr>
          <w:i/>
          <w:iCs/>
          <w:sz w:val="28"/>
        </w:rPr>
      </w:pPr>
      <w:r>
        <w:rPr>
          <w:b/>
          <w:sz w:val="28"/>
          <w:szCs w:val="28"/>
        </w:rPr>
        <w:t>Guidance:</w:t>
      </w:r>
      <w:r>
        <w:rPr>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F52DBA" w:rsidRDefault="00F80A8D">
      <w:pPr>
        <w:spacing w:line="360" w:lineRule="auto"/>
        <w:rPr>
          <w:sz w:val="28"/>
          <w:szCs w:val="28"/>
        </w:rPr>
      </w:pPr>
      <w:r>
        <w:rPr>
          <w:b/>
          <w:sz w:val="28"/>
          <w:szCs w:val="28"/>
        </w:rPr>
        <w:lastRenderedPageBreak/>
        <w:t>Findings:</w:t>
      </w:r>
      <w:r>
        <w:rPr>
          <w:sz w:val="28"/>
          <w:szCs w:val="28"/>
        </w:rPr>
        <w:t xml:space="preserve"> During this Title VI Compliance Review of </w:t>
      </w:r>
      <w:r w:rsidR="006C274C">
        <w:rPr>
          <w:sz w:val="28"/>
          <w:szCs w:val="28"/>
        </w:rPr>
        <w:t>UDOT</w:t>
      </w:r>
      <w:r>
        <w:rPr>
          <w:sz w:val="28"/>
          <w:szCs w:val="28"/>
        </w:rPr>
        <w:t xml:space="preserve">, deficiencies were found regarding </w:t>
      </w:r>
      <w:r w:rsidR="006C274C">
        <w:rPr>
          <w:sz w:val="28"/>
          <w:szCs w:val="28"/>
        </w:rPr>
        <w:t>UDOT</w:t>
      </w:r>
      <w:r>
        <w:rPr>
          <w:sz w:val="28"/>
          <w:szCs w:val="28"/>
        </w:rPr>
        <w:t>’s compliance with FTA guidance for Inclusive Public Participatio</w:t>
      </w:r>
      <w:r w:rsidR="008E06FC">
        <w:rPr>
          <w:sz w:val="28"/>
          <w:szCs w:val="28"/>
        </w:rPr>
        <w:t xml:space="preserve">n.  </w:t>
      </w:r>
      <w:r w:rsidR="00B66BF3">
        <w:rPr>
          <w:sz w:val="28"/>
          <w:szCs w:val="28"/>
        </w:rPr>
        <w:t>UDOT did not provide any documentation that it or its subrecipients had sought</w:t>
      </w:r>
      <w:r w:rsidR="00B66BF3" w:rsidRPr="009734DD">
        <w:rPr>
          <w:iCs/>
          <w:sz w:val="28"/>
        </w:rPr>
        <w:t xml:space="preserve"> out and consider</w:t>
      </w:r>
      <w:r w:rsidR="00B66BF3">
        <w:rPr>
          <w:iCs/>
          <w:sz w:val="28"/>
        </w:rPr>
        <w:t>ed</w:t>
      </w:r>
      <w:r w:rsidR="00B66BF3" w:rsidRPr="009734DD">
        <w:rPr>
          <w:iCs/>
          <w:sz w:val="28"/>
        </w:rPr>
        <w:t xml:space="preserve"> the viewpoints of minority and LEP populations in the course of conducting public outreach and involvement </w:t>
      </w:r>
      <w:r w:rsidR="00B66BF3">
        <w:rPr>
          <w:iCs/>
          <w:sz w:val="28"/>
        </w:rPr>
        <w:t>for FTA funded program</w:t>
      </w:r>
      <w:r w:rsidR="009B20FE">
        <w:rPr>
          <w:iCs/>
          <w:sz w:val="28"/>
        </w:rPr>
        <w:t>s</w:t>
      </w:r>
      <w:r w:rsidR="00B66BF3">
        <w:rPr>
          <w:sz w:val="28"/>
          <w:szCs w:val="28"/>
        </w:rPr>
        <w:t xml:space="preserve">.  </w:t>
      </w:r>
      <w:r w:rsidR="008E06FC">
        <w:rPr>
          <w:sz w:val="28"/>
          <w:szCs w:val="28"/>
        </w:rPr>
        <w:t xml:space="preserve">Prior to </w:t>
      </w:r>
      <w:r>
        <w:rPr>
          <w:sz w:val="28"/>
          <w:szCs w:val="28"/>
        </w:rPr>
        <w:t>the</w:t>
      </w:r>
      <w:r w:rsidR="004B4661">
        <w:rPr>
          <w:sz w:val="28"/>
          <w:szCs w:val="28"/>
        </w:rPr>
        <w:t xml:space="preserve"> site visit, </w:t>
      </w:r>
      <w:r w:rsidR="006C274C">
        <w:rPr>
          <w:sz w:val="28"/>
          <w:szCs w:val="28"/>
        </w:rPr>
        <w:t>UDOT</w:t>
      </w:r>
      <w:r w:rsidR="004B4661">
        <w:rPr>
          <w:sz w:val="28"/>
          <w:szCs w:val="28"/>
        </w:rPr>
        <w:t xml:space="preserve"> provided</w:t>
      </w:r>
      <w:r w:rsidR="00561623">
        <w:rPr>
          <w:sz w:val="28"/>
          <w:szCs w:val="28"/>
        </w:rPr>
        <w:t xml:space="preserve"> information regarding </w:t>
      </w:r>
      <w:r w:rsidR="00B66BF3">
        <w:rPr>
          <w:sz w:val="28"/>
          <w:szCs w:val="28"/>
        </w:rPr>
        <w:t xml:space="preserve">its </w:t>
      </w:r>
      <w:r w:rsidR="00566D76">
        <w:rPr>
          <w:sz w:val="28"/>
          <w:szCs w:val="28"/>
        </w:rPr>
        <w:t>public participation</w:t>
      </w:r>
      <w:r w:rsidR="00B66BF3">
        <w:rPr>
          <w:sz w:val="28"/>
          <w:szCs w:val="28"/>
        </w:rPr>
        <w:t xml:space="preserve"> as part of a document entitled </w:t>
      </w:r>
      <w:r w:rsidR="00B66BF3" w:rsidRPr="00B66BF3">
        <w:rPr>
          <w:i/>
          <w:sz w:val="28"/>
          <w:szCs w:val="28"/>
        </w:rPr>
        <w:t>Utah Department of Transportation – Public Transit Team Title VI Report – 3-19-10</w:t>
      </w:r>
      <w:r w:rsidR="00B66BF3">
        <w:rPr>
          <w:sz w:val="28"/>
          <w:szCs w:val="28"/>
        </w:rPr>
        <w:t>.</w:t>
      </w:r>
      <w:r w:rsidR="00566D76">
        <w:rPr>
          <w:sz w:val="28"/>
          <w:szCs w:val="28"/>
        </w:rPr>
        <w:t xml:space="preserve"> </w:t>
      </w:r>
      <w:r w:rsidR="00F52DBA">
        <w:rPr>
          <w:sz w:val="28"/>
          <w:szCs w:val="28"/>
        </w:rPr>
        <w:t>The document included the following:</w:t>
      </w:r>
    </w:p>
    <w:p w:rsidR="00F52DBA" w:rsidRDefault="00F52DBA">
      <w:pPr>
        <w:spacing w:line="360" w:lineRule="auto"/>
        <w:rPr>
          <w:sz w:val="28"/>
          <w:szCs w:val="28"/>
        </w:rPr>
      </w:pPr>
    </w:p>
    <w:p w:rsidR="00F52DBA" w:rsidRPr="00F52DBA" w:rsidRDefault="00F52DBA" w:rsidP="00736965">
      <w:pPr>
        <w:ind w:left="720"/>
        <w:rPr>
          <w:i/>
          <w:sz w:val="28"/>
          <w:szCs w:val="28"/>
          <w:u w:val="single"/>
        </w:rPr>
      </w:pPr>
      <w:r w:rsidRPr="00F52DBA">
        <w:rPr>
          <w:i/>
          <w:sz w:val="28"/>
          <w:szCs w:val="28"/>
          <w:u w:val="single"/>
        </w:rPr>
        <w:t>Inclusive public participation</w:t>
      </w:r>
    </w:p>
    <w:p w:rsidR="00F52DBA" w:rsidRPr="00F52DBA" w:rsidRDefault="00F52DBA" w:rsidP="00736965">
      <w:pPr>
        <w:ind w:left="720"/>
        <w:rPr>
          <w:i/>
          <w:sz w:val="28"/>
          <w:szCs w:val="28"/>
        </w:rPr>
      </w:pPr>
      <w:r w:rsidRPr="00F52DBA">
        <w:rPr>
          <w:i/>
          <w:sz w:val="28"/>
          <w:szCs w:val="28"/>
        </w:rPr>
        <w:t>Annual presentations of information pertaining to FTA Programs are presented at Local Government Meetings in all 29 counties of the State of Utah.  All locations of outreach meetings are accessible to the general public. Other involvement activities since our last review include workshops, focus groups, and public forums for Utah’s Coordinated Human Service Public Transportation development. During the last year Mobility Management Planning activities statewide have included all demographic involvement.</w:t>
      </w:r>
    </w:p>
    <w:p w:rsidR="00D51C40" w:rsidRDefault="00D51C40" w:rsidP="00736965">
      <w:pPr>
        <w:autoSpaceDE w:val="0"/>
        <w:autoSpaceDN w:val="0"/>
        <w:adjustRightInd w:val="0"/>
        <w:ind w:left="720"/>
        <w:rPr>
          <w:rFonts w:cs="Calibri"/>
          <w:i/>
          <w:sz w:val="28"/>
          <w:szCs w:val="28"/>
        </w:rPr>
      </w:pPr>
    </w:p>
    <w:p w:rsidR="00F52DBA" w:rsidRPr="00F52DBA" w:rsidRDefault="00F52DBA" w:rsidP="00736965">
      <w:pPr>
        <w:autoSpaceDE w:val="0"/>
        <w:autoSpaceDN w:val="0"/>
        <w:adjustRightInd w:val="0"/>
        <w:ind w:left="720"/>
        <w:rPr>
          <w:rFonts w:cs="Calibri"/>
          <w:i/>
          <w:sz w:val="28"/>
          <w:szCs w:val="28"/>
        </w:rPr>
      </w:pPr>
      <w:r w:rsidRPr="00F52DBA">
        <w:rPr>
          <w:rFonts w:cs="Calibri"/>
          <w:i/>
          <w:sz w:val="28"/>
          <w:szCs w:val="28"/>
        </w:rPr>
        <w:t>Each year’s cycle of funding begins with a project development process that is initiated by an announcement of the availability of FTA funds. This announcement is sent via e-mail and mail to each agency listed in the PTT’s database of transportation providers, non</w:t>
      </w:r>
      <w:r>
        <w:rPr>
          <w:rFonts w:cs="Calibri"/>
          <w:i/>
          <w:sz w:val="28"/>
          <w:szCs w:val="28"/>
        </w:rPr>
        <w:t>-</w:t>
      </w:r>
      <w:r w:rsidRPr="00F52DBA">
        <w:rPr>
          <w:rFonts w:cs="Calibri"/>
          <w:i/>
          <w:sz w:val="28"/>
          <w:szCs w:val="28"/>
        </w:rPr>
        <w:t>profit organizations, and local government agencies. The announcement is also posted on the UDOT website and posted as legal notices in newspapers. Following the announcement of funds, the PTT invites all interested agencies to attend planning workshops that are conducted in each of the state’s AOG’s. These workshops offer an opportunity for the PTT to interact with potential subrecipients, answer any questions regarding the grant programs, and offer</w:t>
      </w:r>
      <w:r w:rsidRPr="00F52DBA">
        <w:rPr>
          <w:i/>
          <w:sz w:val="28"/>
          <w:szCs w:val="28"/>
        </w:rPr>
        <w:t xml:space="preserve"> </w:t>
      </w:r>
      <w:r w:rsidRPr="00F52DBA">
        <w:rPr>
          <w:rFonts w:cs="Calibri"/>
          <w:i/>
          <w:sz w:val="28"/>
          <w:szCs w:val="28"/>
        </w:rPr>
        <w:t>training in other topics. The workshops also serve as an opportunity for</w:t>
      </w:r>
      <w:r w:rsidRPr="00F52DBA">
        <w:rPr>
          <w:i/>
          <w:sz w:val="28"/>
          <w:szCs w:val="28"/>
        </w:rPr>
        <w:t xml:space="preserve"> </w:t>
      </w:r>
      <w:r w:rsidRPr="00F52DBA">
        <w:rPr>
          <w:rFonts w:cs="Calibri"/>
          <w:i/>
          <w:sz w:val="28"/>
          <w:szCs w:val="28"/>
        </w:rPr>
        <w:t>improved coordination among proposed projects.</w:t>
      </w:r>
    </w:p>
    <w:p w:rsidR="00F52DBA" w:rsidRDefault="00F52DBA" w:rsidP="00736965">
      <w:pPr>
        <w:spacing w:line="360" w:lineRule="auto"/>
        <w:ind w:left="720"/>
        <w:rPr>
          <w:sz w:val="28"/>
          <w:szCs w:val="28"/>
        </w:rPr>
      </w:pPr>
    </w:p>
    <w:p w:rsidR="00493660" w:rsidRDefault="00F52DBA">
      <w:pPr>
        <w:spacing w:line="360" w:lineRule="auto"/>
        <w:rPr>
          <w:sz w:val="28"/>
          <w:szCs w:val="28"/>
        </w:rPr>
      </w:pPr>
      <w:r>
        <w:rPr>
          <w:sz w:val="28"/>
          <w:szCs w:val="28"/>
        </w:rPr>
        <w:lastRenderedPageBreak/>
        <w:t xml:space="preserve">Further, UDOT provided some additional information for this Review in its document entitled </w:t>
      </w:r>
      <w:r w:rsidRPr="00F52DBA">
        <w:rPr>
          <w:i/>
          <w:sz w:val="28"/>
          <w:szCs w:val="28"/>
        </w:rPr>
        <w:t>Documents Required for Title 6 Review</w:t>
      </w:r>
      <w:r>
        <w:rPr>
          <w:sz w:val="28"/>
          <w:szCs w:val="28"/>
        </w:rPr>
        <w:t>:</w:t>
      </w:r>
    </w:p>
    <w:p w:rsidR="00F52DBA" w:rsidRDefault="00F52DBA">
      <w:pPr>
        <w:spacing w:line="360" w:lineRule="auto"/>
        <w:rPr>
          <w:sz w:val="28"/>
          <w:szCs w:val="28"/>
        </w:rPr>
      </w:pPr>
    </w:p>
    <w:p w:rsidR="00F52DBA" w:rsidRPr="00F52DBA" w:rsidRDefault="00F52DBA" w:rsidP="00736965">
      <w:pPr>
        <w:ind w:left="720"/>
        <w:rPr>
          <w:i/>
          <w:sz w:val="28"/>
          <w:szCs w:val="28"/>
        </w:rPr>
      </w:pPr>
      <w:r w:rsidRPr="00F52DBA">
        <w:rPr>
          <w:i/>
          <w:sz w:val="28"/>
          <w:szCs w:val="28"/>
        </w:rPr>
        <w:t xml:space="preserve">The Public Transit Team </w:t>
      </w:r>
      <w:proofErr w:type="gramStart"/>
      <w:r w:rsidRPr="00F52DBA">
        <w:rPr>
          <w:i/>
          <w:sz w:val="28"/>
          <w:szCs w:val="28"/>
        </w:rPr>
        <w:t>announce</w:t>
      </w:r>
      <w:proofErr w:type="gramEnd"/>
      <w:r w:rsidRPr="00F52DBA">
        <w:rPr>
          <w:i/>
          <w:sz w:val="28"/>
          <w:szCs w:val="28"/>
        </w:rPr>
        <w:t xml:space="preserve"> funds via newspapers, website, e-mails to all demographics, notification to local governmental and planning authorities to disseminate information. The Public Transit Team provides workshops to the general public to offer verbal direction on how to apply for funds.</w:t>
      </w:r>
    </w:p>
    <w:p w:rsidR="00F52DBA" w:rsidRDefault="00F52DBA" w:rsidP="00493660">
      <w:pPr>
        <w:spacing w:line="360" w:lineRule="auto"/>
        <w:rPr>
          <w:sz w:val="28"/>
          <w:szCs w:val="28"/>
        </w:rPr>
      </w:pPr>
    </w:p>
    <w:p w:rsidR="00D51C40" w:rsidRDefault="00D51C40" w:rsidP="00493660">
      <w:pPr>
        <w:spacing w:line="360" w:lineRule="auto"/>
        <w:rPr>
          <w:sz w:val="28"/>
          <w:szCs w:val="28"/>
        </w:rPr>
      </w:pPr>
      <w:r>
        <w:rPr>
          <w:sz w:val="28"/>
          <w:szCs w:val="28"/>
        </w:rPr>
        <w:t>These public participation activities were adequate to inform the general public and local governments about the FTA programs but did not address the inclusive public participation requirements of the FTA Circular.</w:t>
      </w:r>
    </w:p>
    <w:p w:rsidR="008B2555" w:rsidRDefault="008B2555" w:rsidP="00493660">
      <w:pPr>
        <w:spacing w:line="360" w:lineRule="auto"/>
        <w:rPr>
          <w:sz w:val="28"/>
          <w:szCs w:val="28"/>
        </w:rPr>
      </w:pPr>
    </w:p>
    <w:p w:rsidR="008B2555" w:rsidRDefault="008B2555" w:rsidP="008B2555">
      <w:pPr>
        <w:spacing w:line="360" w:lineRule="auto"/>
        <w:rPr>
          <w:sz w:val="28"/>
          <w:szCs w:val="28"/>
        </w:rPr>
      </w:pPr>
      <w:r>
        <w:rPr>
          <w:sz w:val="28"/>
          <w:szCs w:val="28"/>
        </w:rPr>
        <w:t xml:space="preserve">The Civil Rights section of the UDOT State Management Plan (SMP) contained the following language: </w:t>
      </w:r>
    </w:p>
    <w:p w:rsidR="008B2555" w:rsidRDefault="008B2555" w:rsidP="008B2555">
      <w:pPr>
        <w:spacing w:line="360" w:lineRule="auto"/>
        <w:rPr>
          <w:sz w:val="28"/>
          <w:szCs w:val="28"/>
        </w:rPr>
      </w:pPr>
    </w:p>
    <w:p w:rsidR="008B2555" w:rsidRPr="00DF7E1B" w:rsidRDefault="008B2555" w:rsidP="00736965">
      <w:pPr>
        <w:ind w:left="720"/>
        <w:rPr>
          <w:i/>
          <w:sz w:val="28"/>
          <w:szCs w:val="28"/>
        </w:rPr>
      </w:pPr>
      <w:r w:rsidRPr="00DF7E1B">
        <w:rPr>
          <w:i/>
          <w:sz w:val="28"/>
          <w:szCs w:val="28"/>
        </w:rPr>
        <w:t xml:space="preserve">UDOT adheres to Federal Civil Rights requirements through agency monitoring and </w:t>
      </w:r>
      <w:proofErr w:type="gramStart"/>
      <w:r w:rsidRPr="00DF7E1B">
        <w:rPr>
          <w:i/>
          <w:sz w:val="28"/>
          <w:szCs w:val="28"/>
        </w:rPr>
        <w:t>administration,</w:t>
      </w:r>
      <w:proofErr w:type="gramEnd"/>
      <w:r w:rsidRPr="00DF7E1B">
        <w:rPr>
          <w:i/>
          <w:sz w:val="28"/>
          <w:szCs w:val="28"/>
        </w:rPr>
        <w:t xml:space="preserve"> and the establishment of a Title VI program plan.</w:t>
      </w:r>
    </w:p>
    <w:p w:rsidR="00736965" w:rsidRDefault="00736965" w:rsidP="00736965">
      <w:pPr>
        <w:ind w:left="720"/>
        <w:rPr>
          <w:i/>
          <w:sz w:val="28"/>
          <w:szCs w:val="28"/>
        </w:rPr>
      </w:pPr>
    </w:p>
    <w:p w:rsidR="008B2555" w:rsidRPr="00DF7E1B" w:rsidRDefault="008B2555" w:rsidP="00736965">
      <w:pPr>
        <w:ind w:left="720"/>
        <w:rPr>
          <w:i/>
          <w:sz w:val="28"/>
          <w:szCs w:val="28"/>
        </w:rPr>
      </w:pPr>
      <w:r w:rsidRPr="00DF7E1B">
        <w:rPr>
          <w:i/>
          <w:sz w:val="28"/>
          <w:szCs w:val="28"/>
        </w:rPr>
        <w:t>The PTT also maintains a records file of Section 5310, 5311, 5316, and 5317 Program funding requests that identifies applicants that are minority organizations or provides assistance to minority communities.  In order to reach out to minority organizations and inform them of the opportunity to participate in Section programs, the Department will provide annual notices of the availability of funding to all known transit operators, including Indian tribes and minority organizations.  Additionally, statewide media coverage is facilitated through Public Notice advertisements.</w:t>
      </w:r>
    </w:p>
    <w:p w:rsidR="008B2555" w:rsidRDefault="008B2555" w:rsidP="00493660">
      <w:pPr>
        <w:spacing w:line="360" w:lineRule="auto"/>
        <w:rPr>
          <w:sz w:val="28"/>
          <w:szCs w:val="28"/>
        </w:rPr>
      </w:pPr>
    </w:p>
    <w:p w:rsidR="008B2555" w:rsidRDefault="008B2555" w:rsidP="00493660">
      <w:pPr>
        <w:spacing w:line="360" w:lineRule="auto"/>
        <w:rPr>
          <w:sz w:val="28"/>
          <w:szCs w:val="28"/>
        </w:rPr>
      </w:pPr>
      <w:r>
        <w:rPr>
          <w:sz w:val="28"/>
          <w:szCs w:val="28"/>
        </w:rPr>
        <w:t>During the Review, UDOT did not provide documentation that it had provided annual notices to minority organizations other than tribes.</w:t>
      </w:r>
    </w:p>
    <w:p w:rsidR="00232C6E" w:rsidRDefault="008B2555" w:rsidP="00493660">
      <w:pPr>
        <w:spacing w:line="360" w:lineRule="auto"/>
        <w:rPr>
          <w:sz w:val="28"/>
          <w:szCs w:val="28"/>
        </w:rPr>
      </w:pPr>
      <w:r>
        <w:rPr>
          <w:sz w:val="28"/>
          <w:szCs w:val="28"/>
        </w:rPr>
        <w:t xml:space="preserve"> </w:t>
      </w:r>
    </w:p>
    <w:p w:rsidR="00493660" w:rsidRDefault="00493660" w:rsidP="00493660">
      <w:pPr>
        <w:spacing w:line="360" w:lineRule="auto"/>
        <w:rPr>
          <w:sz w:val="28"/>
          <w:szCs w:val="28"/>
        </w:rPr>
      </w:pPr>
      <w:r>
        <w:rPr>
          <w:sz w:val="28"/>
          <w:szCs w:val="28"/>
        </w:rPr>
        <w:lastRenderedPageBreak/>
        <w:t>FTA Circular 4702.1A, 4.9 states that:</w:t>
      </w:r>
    </w:p>
    <w:p w:rsidR="00493660" w:rsidRPr="00733A47" w:rsidRDefault="00493660" w:rsidP="00493660">
      <w:pPr>
        <w:ind w:left="720"/>
        <w:rPr>
          <w:sz w:val="24"/>
          <w:szCs w:val="24"/>
        </w:rPr>
      </w:pPr>
      <w:r>
        <w:rPr>
          <w:sz w:val="28"/>
          <w:szCs w:val="28"/>
        </w:rPr>
        <w:t xml:space="preserve"> </w:t>
      </w:r>
      <w:proofErr w:type="gramStart"/>
      <w:r>
        <w:rPr>
          <w:i/>
          <w:iCs/>
          <w:sz w:val="28"/>
        </w:rPr>
        <w:t>FTA recipients should seek out and consider the viewpoints of minority, low-income, and LEP populations in the course of conducting public outreach and involvement activities.</w:t>
      </w:r>
      <w:proofErr w:type="gramEnd"/>
      <w:r>
        <w:rPr>
          <w:i/>
          <w:iCs/>
          <w:sz w:val="28"/>
        </w:rPr>
        <w:t xml:space="preserve">  </w:t>
      </w:r>
    </w:p>
    <w:p w:rsidR="000055D5" w:rsidRDefault="000055D5">
      <w:pPr>
        <w:spacing w:line="360" w:lineRule="auto"/>
        <w:rPr>
          <w:sz w:val="28"/>
          <w:szCs w:val="28"/>
        </w:rPr>
      </w:pPr>
    </w:p>
    <w:p w:rsidR="000055D5" w:rsidRDefault="000055D5" w:rsidP="000055D5">
      <w:pPr>
        <w:spacing w:line="360" w:lineRule="auto"/>
        <w:rPr>
          <w:sz w:val="28"/>
          <w:szCs w:val="28"/>
        </w:rPr>
      </w:pPr>
      <w:r>
        <w:rPr>
          <w:sz w:val="28"/>
          <w:szCs w:val="28"/>
        </w:rPr>
        <w:t xml:space="preserve">The FTA Circular </w:t>
      </w:r>
      <w:r w:rsidR="00493660">
        <w:rPr>
          <w:sz w:val="28"/>
          <w:szCs w:val="28"/>
        </w:rPr>
        <w:t xml:space="preserve">also </w:t>
      </w:r>
      <w:r>
        <w:rPr>
          <w:sz w:val="28"/>
          <w:szCs w:val="28"/>
        </w:rPr>
        <w:t xml:space="preserve">states that the public participation strategy of agencies such as </w:t>
      </w:r>
      <w:r w:rsidR="006C274C">
        <w:rPr>
          <w:sz w:val="28"/>
          <w:szCs w:val="28"/>
        </w:rPr>
        <w:t>UDOT</w:t>
      </w:r>
      <w:r>
        <w:rPr>
          <w:sz w:val="28"/>
          <w:szCs w:val="28"/>
        </w:rPr>
        <w:t>:</w:t>
      </w:r>
    </w:p>
    <w:p w:rsidR="000055D5" w:rsidRPr="00CE4D3B" w:rsidRDefault="000055D5" w:rsidP="00736965">
      <w:pPr>
        <w:ind w:left="720"/>
        <w:rPr>
          <w:sz w:val="28"/>
          <w:szCs w:val="28"/>
        </w:rPr>
      </w:pPr>
      <w:r>
        <w:rPr>
          <w:sz w:val="28"/>
          <w:szCs w:val="28"/>
        </w:rPr>
        <w:t xml:space="preserve"> </w:t>
      </w:r>
      <w:r w:rsidR="009734DD" w:rsidRPr="00CE4D3B">
        <w:rPr>
          <w:i/>
          <w:sz w:val="28"/>
          <w:szCs w:val="28"/>
        </w:rPr>
        <w:t>…shall offer</w:t>
      </w:r>
      <w:r w:rsidRPr="00CE4D3B">
        <w:rPr>
          <w:sz w:val="28"/>
          <w:szCs w:val="28"/>
        </w:rPr>
        <w:t xml:space="preserve"> </w:t>
      </w:r>
      <w:r w:rsidRPr="00CE4D3B">
        <w:rPr>
          <w:i/>
          <w:iCs/>
          <w:sz w:val="28"/>
          <w:szCs w:val="28"/>
        </w:rPr>
        <w:t>early and continuous opportunities for the public to be involved in the identification of social, economic, and environmental impacts of proposed transportation decisions.</w:t>
      </w:r>
      <w:r w:rsidR="008B106E" w:rsidRPr="00CE4D3B">
        <w:rPr>
          <w:sz w:val="28"/>
          <w:szCs w:val="28"/>
        </w:rPr>
        <w:t xml:space="preserve"> </w:t>
      </w:r>
    </w:p>
    <w:p w:rsidR="000055D5" w:rsidRDefault="000055D5" w:rsidP="000055D5">
      <w:pPr>
        <w:spacing w:line="360" w:lineRule="auto"/>
        <w:rPr>
          <w:sz w:val="28"/>
          <w:szCs w:val="28"/>
        </w:rPr>
      </w:pPr>
    </w:p>
    <w:p w:rsidR="00DD4180" w:rsidRDefault="00BD3EFF" w:rsidP="000055D5">
      <w:pPr>
        <w:spacing w:line="360" w:lineRule="auto"/>
        <w:rPr>
          <w:sz w:val="28"/>
          <w:szCs w:val="28"/>
        </w:rPr>
      </w:pPr>
      <w:r>
        <w:rPr>
          <w:sz w:val="28"/>
          <w:szCs w:val="28"/>
        </w:rPr>
        <w:t xml:space="preserve">The </w:t>
      </w:r>
      <w:r w:rsidR="000055D5">
        <w:rPr>
          <w:sz w:val="28"/>
          <w:szCs w:val="28"/>
        </w:rPr>
        <w:t>FTA Circular 4702.1A, IV.</w:t>
      </w:r>
      <w:r w:rsidR="00CE4D3B">
        <w:rPr>
          <w:sz w:val="28"/>
          <w:szCs w:val="28"/>
        </w:rPr>
        <w:t xml:space="preserve"> </w:t>
      </w:r>
      <w:r w:rsidR="000055D5">
        <w:rPr>
          <w:sz w:val="28"/>
          <w:szCs w:val="28"/>
        </w:rPr>
        <w:t>9(a)</w:t>
      </w:r>
      <w:r>
        <w:rPr>
          <w:sz w:val="28"/>
          <w:szCs w:val="28"/>
        </w:rPr>
        <w:t xml:space="preserve"> </w:t>
      </w:r>
      <w:r w:rsidR="008B106E">
        <w:rPr>
          <w:sz w:val="28"/>
          <w:szCs w:val="28"/>
        </w:rPr>
        <w:t xml:space="preserve">identifies the following </w:t>
      </w:r>
      <w:r w:rsidR="00DD4180" w:rsidRPr="004B4661">
        <w:rPr>
          <w:sz w:val="28"/>
          <w:szCs w:val="28"/>
        </w:rPr>
        <w:t>Effective Practices for Fulfilling the Inclusive Public Participation Requirement</w:t>
      </w:r>
      <w:r w:rsidR="00134B44">
        <w:rPr>
          <w:sz w:val="28"/>
          <w:szCs w:val="28"/>
        </w:rPr>
        <w:t xml:space="preserve">, </w:t>
      </w:r>
      <w:r w:rsidR="00DD4180">
        <w:rPr>
          <w:sz w:val="28"/>
          <w:szCs w:val="28"/>
        </w:rPr>
        <w:t>including:</w:t>
      </w:r>
    </w:p>
    <w:p w:rsidR="002207BE" w:rsidRDefault="002207BE">
      <w:pPr>
        <w:spacing w:line="360" w:lineRule="auto"/>
        <w:rPr>
          <w:sz w:val="28"/>
          <w:szCs w:val="28"/>
        </w:rPr>
      </w:pPr>
    </w:p>
    <w:p w:rsidR="00567B4B" w:rsidRPr="00CE4D3B" w:rsidRDefault="00567B4B" w:rsidP="0064099D">
      <w:pPr>
        <w:pStyle w:val="Outline10"/>
        <w:numPr>
          <w:ilvl w:val="0"/>
          <w:numId w:val="19"/>
        </w:numPr>
        <w:tabs>
          <w:tab w:val="clear" w:pos="1584"/>
          <w:tab w:val="left" w:pos="1440"/>
        </w:tabs>
        <w:rPr>
          <w:i/>
          <w:sz w:val="28"/>
          <w:szCs w:val="28"/>
        </w:rPr>
      </w:pPr>
      <w:r w:rsidRPr="00CE4D3B">
        <w:rPr>
          <w:i/>
          <w:sz w:val="28"/>
          <w:szCs w:val="28"/>
        </w:rPr>
        <w:t xml:space="preserve">Coordinating with individuals, institutions, or organizations and implementing community-based public involvement strategies to reach out to members in the affected minority and/or low-income communities.  </w:t>
      </w:r>
    </w:p>
    <w:p w:rsidR="00567B4B" w:rsidRPr="00CE4D3B" w:rsidRDefault="00567B4B" w:rsidP="0064099D">
      <w:pPr>
        <w:pStyle w:val="Outline10"/>
        <w:numPr>
          <w:ilvl w:val="0"/>
          <w:numId w:val="19"/>
        </w:numPr>
        <w:tabs>
          <w:tab w:val="clear" w:pos="1584"/>
          <w:tab w:val="left" w:pos="1440"/>
        </w:tabs>
        <w:rPr>
          <w:i/>
          <w:sz w:val="28"/>
          <w:szCs w:val="28"/>
        </w:rPr>
      </w:pPr>
      <w:r w:rsidRPr="00CE4D3B">
        <w:rPr>
          <w:i/>
          <w:sz w:val="28"/>
          <w:szCs w:val="28"/>
        </w:rPr>
        <w:t xml:space="preserve">Providing opportunities for public participation through means other than written communication, such as personal interviews or use of audio or video recording devices to capture oral comments.  </w:t>
      </w:r>
    </w:p>
    <w:p w:rsidR="00567B4B" w:rsidRPr="00CE4D3B" w:rsidRDefault="00567B4B" w:rsidP="0064099D">
      <w:pPr>
        <w:pStyle w:val="Outline10"/>
        <w:numPr>
          <w:ilvl w:val="0"/>
          <w:numId w:val="19"/>
        </w:numPr>
        <w:tabs>
          <w:tab w:val="clear" w:pos="1584"/>
          <w:tab w:val="left" w:pos="1440"/>
        </w:tabs>
        <w:rPr>
          <w:i/>
          <w:sz w:val="28"/>
          <w:szCs w:val="28"/>
        </w:rPr>
      </w:pPr>
      <w:r w:rsidRPr="00CE4D3B">
        <w:rPr>
          <w:i/>
          <w:sz w:val="28"/>
          <w:szCs w:val="28"/>
        </w:rPr>
        <w:t xml:space="preserve">Using locations, facilities, and meeting times that are convenient and accessible to low-income and minority communities.  </w:t>
      </w:r>
    </w:p>
    <w:p w:rsidR="00567B4B" w:rsidRPr="00CE4D3B" w:rsidRDefault="00567B4B" w:rsidP="0064099D">
      <w:pPr>
        <w:pStyle w:val="Outline10"/>
        <w:numPr>
          <w:ilvl w:val="0"/>
          <w:numId w:val="19"/>
        </w:numPr>
        <w:tabs>
          <w:tab w:val="clear" w:pos="1584"/>
          <w:tab w:val="left" w:pos="1440"/>
        </w:tabs>
        <w:rPr>
          <w:i/>
          <w:sz w:val="28"/>
          <w:szCs w:val="28"/>
        </w:rPr>
      </w:pPr>
      <w:r w:rsidRPr="00CE4D3B">
        <w:rPr>
          <w:i/>
          <w:sz w:val="28"/>
          <w:szCs w:val="28"/>
        </w:rPr>
        <w:t xml:space="preserve">Using different meeting sizes or formats, or varying the type and number of news media used to announce public participation opportunities, so that communications are tailored to the particular community or population.  </w:t>
      </w:r>
    </w:p>
    <w:p w:rsidR="00567B4B" w:rsidRPr="00CE4D3B" w:rsidRDefault="00567B4B" w:rsidP="0064099D">
      <w:pPr>
        <w:pStyle w:val="Outline10"/>
        <w:numPr>
          <w:ilvl w:val="0"/>
          <w:numId w:val="19"/>
        </w:numPr>
        <w:tabs>
          <w:tab w:val="clear" w:pos="1584"/>
          <w:tab w:val="left" w:pos="1440"/>
        </w:tabs>
        <w:rPr>
          <w:i/>
          <w:sz w:val="28"/>
          <w:szCs w:val="28"/>
        </w:rPr>
      </w:pPr>
      <w:r w:rsidRPr="00CE4D3B">
        <w:rPr>
          <w:i/>
          <w:sz w:val="28"/>
          <w:szCs w:val="28"/>
        </w:rPr>
        <w:t xml:space="preserve">Implementing DOT’s policy guidance concerning recipients’ responsibilities to LEP persons to overcome barriers to public participation.  </w:t>
      </w:r>
    </w:p>
    <w:p w:rsidR="00176420" w:rsidRDefault="00176420">
      <w:pPr>
        <w:rPr>
          <w:sz w:val="28"/>
          <w:szCs w:val="28"/>
        </w:rPr>
      </w:pPr>
    </w:p>
    <w:p w:rsidR="0046273D" w:rsidRDefault="00F52DBA">
      <w:pPr>
        <w:spacing w:line="360" w:lineRule="auto"/>
        <w:rPr>
          <w:sz w:val="28"/>
          <w:szCs w:val="28"/>
        </w:rPr>
      </w:pPr>
      <w:r>
        <w:rPr>
          <w:sz w:val="28"/>
          <w:szCs w:val="28"/>
        </w:rPr>
        <w:lastRenderedPageBreak/>
        <w:t xml:space="preserve">During the Review, </w:t>
      </w:r>
      <w:r w:rsidR="006C274C">
        <w:rPr>
          <w:sz w:val="28"/>
          <w:szCs w:val="28"/>
        </w:rPr>
        <w:t>UDOT</w:t>
      </w:r>
      <w:r w:rsidR="0046273D">
        <w:rPr>
          <w:sz w:val="28"/>
          <w:szCs w:val="28"/>
        </w:rPr>
        <w:t xml:space="preserve"> did not provide any </w:t>
      </w:r>
      <w:r>
        <w:rPr>
          <w:sz w:val="28"/>
          <w:szCs w:val="28"/>
        </w:rPr>
        <w:t xml:space="preserve">specific </w:t>
      </w:r>
      <w:r w:rsidR="0046273D">
        <w:rPr>
          <w:sz w:val="28"/>
          <w:szCs w:val="28"/>
        </w:rPr>
        <w:t xml:space="preserve">documentation that </w:t>
      </w:r>
      <w:r w:rsidR="005E5045">
        <w:rPr>
          <w:sz w:val="28"/>
          <w:szCs w:val="28"/>
        </w:rPr>
        <w:t xml:space="preserve">it </w:t>
      </w:r>
      <w:r w:rsidR="00493660">
        <w:rPr>
          <w:sz w:val="28"/>
          <w:szCs w:val="28"/>
        </w:rPr>
        <w:t xml:space="preserve">or its subrecipients </w:t>
      </w:r>
      <w:r w:rsidR="005E5045">
        <w:rPr>
          <w:sz w:val="28"/>
          <w:szCs w:val="28"/>
        </w:rPr>
        <w:t>had sought</w:t>
      </w:r>
      <w:r w:rsidR="009734DD" w:rsidRPr="009734DD">
        <w:rPr>
          <w:iCs/>
          <w:sz w:val="28"/>
        </w:rPr>
        <w:t xml:space="preserve"> out and consider</w:t>
      </w:r>
      <w:r w:rsidR="005E5045">
        <w:rPr>
          <w:iCs/>
          <w:sz w:val="28"/>
        </w:rPr>
        <w:t>ed</w:t>
      </w:r>
      <w:r w:rsidR="009734DD" w:rsidRPr="009734DD">
        <w:rPr>
          <w:iCs/>
          <w:sz w:val="28"/>
        </w:rPr>
        <w:t xml:space="preserve"> the viewpoints of minority and LEP populations in the course of conducting public outreach and involvement </w:t>
      </w:r>
      <w:r w:rsidR="007A4FD0">
        <w:rPr>
          <w:iCs/>
          <w:sz w:val="28"/>
        </w:rPr>
        <w:t xml:space="preserve">for FTA funded program </w:t>
      </w:r>
      <w:r w:rsidR="005E5045">
        <w:rPr>
          <w:iCs/>
          <w:sz w:val="28"/>
        </w:rPr>
        <w:t>as described in the Circular</w:t>
      </w:r>
      <w:r w:rsidR="0046273D">
        <w:rPr>
          <w:sz w:val="28"/>
          <w:szCs w:val="28"/>
        </w:rPr>
        <w:t xml:space="preserve">.  </w:t>
      </w:r>
    </w:p>
    <w:p w:rsidR="004B54C0" w:rsidRDefault="004B54C0">
      <w:pPr>
        <w:spacing w:line="360" w:lineRule="auto"/>
        <w:rPr>
          <w:sz w:val="28"/>
          <w:szCs w:val="28"/>
        </w:rPr>
      </w:pPr>
    </w:p>
    <w:p w:rsidR="00567B4B" w:rsidRPr="007C38C5" w:rsidRDefault="00567B4B" w:rsidP="001712C1">
      <w:pPr>
        <w:tabs>
          <w:tab w:val="left" w:pos="720"/>
        </w:tabs>
        <w:spacing w:line="360" w:lineRule="auto"/>
        <w:rPr>
          <w:i/>
          <w:sz w:val="28"/>
          <w:szCs w:val="28"/>
        </w:rPr>
      </w:pPr>
      <w:r w:rsidRPr="004B54C0">
        <w:rPr>
          <w:b/>
          <w:bCs/>
          <w:sz w:val="28"/>
          <w:szCs w:val="28"/>
        </w:rPr>
        <w:t xml:space="preserve">Corrective Actions and Schedules: </w:t>
      </w:r>
      <w:r w:rsidRPr="004B54C0">
        <w:rPr>
          <w:sz w:val="28"/>
          <w:szCs w:val="28"/>
        </w:rPr>
        <w:t xml:space="preserve">Within 90 days, </w:t>
      </w:r>
      <w:r w:rsidR="006C274C">
        <w:rPr>
          <w:sz w:val="28"/>
          <w:szCs w:val="28"/>
        </w:rPr>
        <w:t>UDOT</w:t>
      </w:r>
      <w:r w:rsidRPr="004B54C0">
        <w:rPr>
          <w:sz w:val="28"/>
          <w:szCs w:val="28"/>
        </w:rPr>
        <w:t xml:space="preserve"> must submit to </w:t>
      </w:r>
      <w:r w:rsidR="00DE71F1" w:rsidRPr="00C00537">
        <w:rPr>
          <w:sz w:val="28"/>
          <w:szCs w:val="28"/>
        </w:rPr>
        <w:t xml:space="preserve">the FTA </w:t>
      </w:r>
      <w:r w:rsidR="00DE71F1">
        <w:rPr>
          <w:sz w:val="28"/>
          <w:szCs w:val="28"/>
        </w:rPr>
        <w:t>Equal Opportunity Specialist in FTA’s Headquarters Office of Civil Rights</w:t>
      </w:r>
      <w:r w:rsidR="00DE71F1" w:rsidRPr="004B54C0">
        <w:rPr>
          <w:sz w:val="28"/>
          <w:szCs w:val="28"/>
        </w:rPr>
        <w:t xml:space="preserve"> </w:t>
      </w:r>
      <w:r w:rsidR="007C38C5" w:rsidRPr="004B54C0">
        <w:rPr>
          <w:sz w:val="28"/>
          <w:szCs w:val="28"/>
        </w:rPr>
        <w:t xml:space="preserve">documentation that it has procedures in place to fulfill the inclusive public participation requirements as </w:t>
      </w:r>
      <w:r w:rsidR="002207BE" w:rsidRPr="004B54C0">
        <w:rPr>
          <w:sz w:val="28"/>
          <w:szCs w:val="28"/>
        </w:rPr>
        <w:t>described</w:t>
      </w:r>
      <w:r w:rsidR="007C38C5" w:rsidRPr="004B54C0">
        <w:rPr>
          <w:sz w:val="28"/>
          <w:szCs w:val="28"/>
        </w:rPr>
        <w:t xml:space="preserve"> in FTA Circular 4702.1A</w:t>
      </w:r>
      <w:r w:rsidR="00CC3819">
        <w:rPr>
          <w:sz w:val="28"/>
          <w:szCs w:val="28"/>
        </w:rPr>
        <w:t xml:space="preserve"> for itself and its subrecipients</w:t>
      </w:r>
      <w:r w:rsidR="007C38C5" w:rsidRPr="004B54C0">
        <w:rPr>
          <w:sz w:val="28"/>
          <w:szCs w:val="28"/>
        </w:rPr>
        <w:t>.</w:t>
      </w:r>
    </w:p>
    <w:p w:rsidR="00F80A8D" w:rsidRDefault="00F80A8D">
      <w:pPr>
        <w:spacing w:line="360" w:lineRule="auto"/>
        <w:rPr>
          <w:sz w:val="28"/>
          <w:szCs w:val="28"/>
        </w:rPr>
      </w:pPr>
    </w:p>
    <w:p w:rsidR="00F80A8D" w:rsidRDefault="00F80A8D">
      <w:pPr>
        <w:pStyle w:val="BHLevel2"/>
        <w:spacing w:line="360" w:lineRule="auto"/>
        <w:rPr>
          <w:sz w:val="28"/>
          <w:szCs w:val="28"/>
        </w:rPr>
      </w:pPr>
      <w:bookmarkStart w:id="14" w:name="_Toc253152154"/>
      <w:r>
        <w:rPr>
          <w:sz w:val="28"/>
          <w:szCs w:val="28"/>
        </w:rPr>
        <w:t>Language Access to LEP Persons</w:t>
      </w:r>
      <w:bookmarkEnd w:id="14"/>
    </w:p>
    <w:p w:rsidR="00F80A8D" w:rsidRDefault="00F80A8D">
      <w:pPr>
        <w:pStyle w:val="Outline1"/>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F80A8D" w:rsidRDefault="00F80A8D">
      <w:pPr>
        <w:spacing w:line="360" w:lineRule="auto"/>
      </w:pPr>
    </w:p>
    <w:p w:rsidR="00FC6992" w:rsidRDefault="00F80A8D">
      <w:pPr>
        <w:spacing w:line="360" w:lineRule="auto"/>
        <w:rPr>
          <w:sz w:val="28"/>
          <w:szCs w:val="28"/>
        </w:rPr>
      </w:pPr>
      <w:r>
        <w:rPr>
          <w:b/>
          <w:sz w:val="28"/>
          <w:szCs w:val="28"/>
        </w:rPr>
        <w:t>Findings:</w:t>
      </w:r>
      <w:r>
        <w:rPr>
          <w:sz w:val="28"/>
          <w:szCs w:val="28"/>
        </w:rPr>
        <w:t xml:space="preserve">   During this Title VI Compliance Review of </w:t>
      </w:r>
      <w:r w:rsidR="006C274C">
        <w:rPr>
          <w:sz w:val="28"/>
          <w:szCs w:val="28"/>
        </w:rPr>
        <w:t>UDOT</w:t>
      </w:r>
      <w:r>
        <w:rPr>
          <w:sz w:val="28"/>
          <w:szCs w:val="28"/>
        </w:rPr>
        <w:t xml:space="preserve">, deficiencies were found regarding </w:t>
      </w:r>
      <w:r w:rsidR="006C274C">
        <w:rPr>
          <w:sz w:val="28"/>
          <w:szCs w:val="28"/>
        </w:rPr>
        <w:t>UDOT</w:t>
      </w:r>
      <w:r>
        <w:rPr>
          <w:sz w:val="28"/>
          <w:szCs w:val="28"/>
        </w:rPr>
        <w:t>’s compliance with FTA requirements for Language Access to LEP persons</w:t>
      </w:r>
      <w:r w:rsidRPr="00B965EA">
        <w:rPr>
          <w:sz w:val="28"/>
          <w:szCs w:val="28"/>
        </w:rPr>
        <w:t>.</w:t>
      </w:r>
      <w:r w:rsidR="00B965EA">
        <w:rPr>
          <w:sz w:val="28"/>
          <w:szCs w:val="28"/>
        </w:rPr>
        <w:t xml:space="preserve">  </w:t>
      </w:r>
      <w:r w:rsidR="00493660">
        <w:rPr>
          <w:sz w:val="28"/>
          <w:szCs w:val="28"/>
        </w:rPr>
        <w:t xml:space="preserve">Prior to the site visit, </w:t>
      </w:r>
      <w:r w:rsidR="00A0725D">
        <w:rPr>
          <w:sz w:val="28"/>
          <w:szCs w:val="28"/>
        </w:rPr>
        <w:t>UDOT indicated that it had not completed a four factor analysis or developed a language assistance plan</w:t>
      </w:r>
      <w:r w:rsidR="005624F9">
        <w:rPr>
          <w:sz w:val="28"/>
          <w:szCs w:val="28"/>
        </w:rPr>
        <w:t xml:space="preserve"> related to FTA funded transit projects</w:t>
      </w:r>
      <w:r w:rsidR="00A0725D">
        <w:rPr>
          <w:sz w:val="28"/>
          <w:szCs w:val="28"/>
        </w:rPr>
        <w:t xml:space="preserve">, however, UDOT </w:t>
      </w:r>
      <w:r w:rsidR="00493660">
        <w:rPr>
          <w:sz w:val="28"/>
          <w:szCs w:val="28"/>
        </w:rPr>
        <w:t xml:space="preserve">PTT indicated that it </w:t>
      </w:r>
      <w:r w:rsidR="00A0725D">
        <w:rPr>
          <w:sz w:val="28"/>
          <w:szCs w:val="28"/>
        </w:rPr>
        <w:t>plan</w:t>
      </w:r>
      <w:r w:rsidR="00493660">
        <w:rPr>
          <w:sz w:val="28"/>
          <w:szCs w:val="28"/>
        </w:rPr>
        <w:t>ned</w:t>
      </w:r>
      <w:r w:rsidR="00A0725D">
        <w:rPr>
          <w:sz w:val="28"/>
          <w:szCs w:val="28"/>
        </w:rPr>
        <w:t xml:space="preserve"> to work with the UDOT Civil Rights Department to complete the appropriate steps to comply with FTA requirements.</w:t>
      </w:r>
    </w:p>
    <w:p w:rsidR="00A0725D" w:rsidRDefault="00A0725D">
      <w:pPr>
        <w:spacing w:line="360" w:lineRule="auto"/>
        <w:rPr>
          <w:sz w:val="28"/>
          <w:szCs w:val="28"/>
        </w:rPr>
      </w:pPr>
    </w:p>
    <w:p w:rsidR="00A0725D" w:rsidRDefault="00A0725D">
      <w:pPr>
        <w:spacing w:line="360" w:lineRule="auto"/>
        <w:rPr>
          <w:sz w:val="28"/>
          <w:szCs w:val="28"/>
        </w:rPr>
      </w:pPr>
      <w:r>
        <w:rPr>
          <w:sz w:val="28"/>
          <w:szCs w:val="28"/>
        </w:rPr>
        <w:t xml:space="preserve">During the site visit, the </w:t>
      </w:r>
      <w:r w:rsidR="00493660">
        <w:rPr>
          <w:sz w:val="28"/>
          <w:szCs w:val="28"/>
        </w:rPr>
        <w:t>R</w:t>
      </w:r>
      <w:r>
        <w:rPr>
          <w:sz w:val="28"/>
          <w:szCs w:val="28"/>
        </w:rPr>
        <w:t>eview team discussed the elements required for</w:t>
      </w:r>
      <w:r w:rsidR="00493660">
        <w:rPr>
          <w:sz w:val="28"/>
          <w:szCs w:val="28"/>
        </w:rPr>
        <w:t xml:space="preserve"> a </w:t>
      </w:r>
      <w:r>
        <w:rPr>
          <w:sz w:val="28"/>
          <w:szCs w:val="28"/>
        </w:rPr>
        <w:t xml:space="preserve">LEP assessment and a language access plan.  A film was also shown to further illustrate </w:t>
      </w:r>
      <w:r>
        <w:rPr>
          <w:sz w:val="28"/>
          <w:szCs w:val="28"/>
        </w:rPr>
        <w:lastRenderedPageBreak/>
        <w:t>the requirements and importance of</w:t>
      </w:r>
      <w:r w:rsidR="005624F9">
        <w:rPr>
          <w:sz w:val="28"/>
          <w:szCs w:val="28"/>
        </w:rPr>
        <w:t xml:space="preserve"> providing meaningful access </w:t>
      </w:r>
      <w:r w:rsidR="00520240">
        <w:rPr>
          <w:iCs/>
          <w:sz w:val="28"/>
        </w:rPr>
        <w:t>to</w:t>
      </w:r>
      <w:r w:rsidRPr="00A0725D">
        <w:rPr>
          <w:iCs/>
          <w:sz w:val="28"/>
        </w:rPr>
        <w:t xml:space="preserve"> individuals wh</w:t>
      </w:r>
      <w:r>
        <w:rPr>
          <w:iCs/>
          <w:sz w:val="28"/>
        </w:rPr>
        <w:t xml:space="preserve">o </w:t>
      </w:r>
      <w:r w:rsidR="00493660">
        <w:rPr>
          <w:iCs/>
          <w:sz w:val="28"/>
        </w:rPr>
        <w:t>we</w:t>
      </w:r>
      <w:r>
        <w:rPr>
          <w:iCs/>
          <w:sz w:val="28"/>
        </w:rPr>
        <w:t>re LEP.</w:t>
      </w:r>
      <w:r w:rsidR="005624F9">
        <w:rPr>
          <w:iCs/>
          <w:sz w:val="28"/>
        </w:rPr>
        <w:t xml:space="preserve">  The elements discussed </w:t>
      </w:r>
      <w:r w:rsidR="00493660">
        <w:rPr>
          <w:iCs/>
          <w:sz w:val="28"/>
        </w:rPr>
        <w:t>we</w:t>
      </w:r>
      <w:r w:rsidR="005624F9">
        <w:rPr>
          <w:iCs/>
          <w:sz w:val="28"/>
        </w:rPr>
        <w:t>re as follows:</w:t>
      </w:r>
    </w:p>
    <w:p w:rsidR="00FC6992" w:rsidRDefault="00FC6992" w:rsidP="00FC6992">
      <w:pPr>
        <w:spacing w:line="360" w:lineRule="auto"/>
        <w:rPr>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9288"/>
        <w:gridCol w:w="18"/>
      </w:tblGrid>
      <w:tr w:rsidR="00FC6992" w:rsidTr="005F291D">
        <w:trPr>
          <w:cantSplit/>
          <w:trHeight w:val="561"/>
          <w:tblHeader/>
        </w:trPr>
        <w:tc>
          <w:tcPr>
            <w:tcW w:w="9306" w:type="dxa"/>
            <w:gridSpan w:val="2"/>
            <w:tcBorders>
              <w:bottom w:val="single" w:sz="4" w:space="0" w:color="000000"/>
            </w:tcBorders>
          </w:tcPr>
          <w:p w:rsidR="00FC6992" w:rsidRDefault="00FC6992" w:rsidP="00C22326">
            <w:pPr>
              <w:jc w:val="center"/>
              <w:rPr>
                <w:b/>
                <w:bCs/>
                <w:sz w:val="24"/>
                <w:szCs w:val="28"/>
              </w:rPr>
            </w:pPr>
            <w:r>
              <w:rPr>
                <w:b/>
                <w:bCs/>
                <w:sz w:val="24"/>
                <w:szCs w:val="28"/>
              </w:rPr>
              <w:t xml:space="preserve">Elements Required for LEP Assessment and Language Access Plan </w:t>
            </w:r>
          </w:p>
          <w:p w:rsidR="00FC6992" w:rsidRDefault="00FC6992" w:rsidP="00C22326">
            <w:pPr>
              <w:jc w:val="center"/>
              <w:rPr>
                <w:b/>
                <w:bCs/>
                <w:sz w:val="24"/>
                <w:szCs w:val="28"/>
              </w:rPr>
            </w:pPr>
            <w:r>
              <w:rPr>
                <w:b/>
                <w:bCs/>
                <w:sz w:val="24"/>
                <w:szCs w:val="28"/>
              </w:rPr>
              <w:t>(Per FTA C. 4702.1A, IV, 4. a. and DOT Policy Guidance)</w:t>
            </w:r>
          </w:p>
        </w:tc>
      </w:tr>
      <w:tr w:rsidR="00FC6992" w:rsidRPr="005F291D" w:rsidTr="005F291D">
        <w:trPr>
          <w:cantSplit/>
        </w:trPr>
        <w:tc>
          <w:tcPr>
            <w:tcW w:w="9306" w:type="dxa"/>
            <w:gridSpan w:val="2"/>
          </w:tcPr>
          <w:p w:rsidR="00FC6992" w:rsidRPr="005F291D" w:rsidRDefault="00FC6992" w:rsidP="00C22326">
            <w:pPr>
              <w:jc w:val="center"/>
              <w:rPr>
                <w:b/>
                <w:sz w:val="22"/>
                <w:szCs w:val="28"/>
              </w:rPr>
            </w:pPr>
            <w:r w:rsidRPr="005F291D">
              <w:rPr>
                <w:b/>
                <w:sz w:val="22"/>
                <w:szCs w:val="28"/>
              </w:rPr>
              <w:t>Part A – Four-Factor Assessment</w:t>
            </w:r>
          </w:p>
        </w:tc>
      </w:tr>
      <w:tr w:rsidR="005624F9" w:rsidTr="005624F9">
        <w:trPr>
          <w:gridAfter w:val="1"/>
          <w:wAfter w:w="18" w:type="dxa"/>
          <w:cantSplit/>
        </w:trPr>
        <w:tc>
          <w:tcPr>
            <w:tcW w:w="9288" w:type="dxa"/>
          </w:tcPr>
          <w:p w:rsidR="005624F9" w:rsidRDefault="005624F9" w:rsidP="00724AFC">
            <w:pPr>
              <w:numPr>
                <w:ilvl w:val="0"/>
                <w:numId w:val="11"/>
              </w:numPr>
              <w:rPr>
                <w:sz w:val="22"/>
                <w:szCs w:val="28"/>
              </w:rPr>
            </w:pPr>
            <w:r>
              <w:rPr>
                <w:sz w:val="22"/>
                <w:szCs w:val="28"/>
              </w:rPr>
              <w:t>Demography –The number or proportion of LEP persons eligible to be served or likely to be encountered</w:t>
            </w:r>
          </w:p>
        </w:tc>
      </w:tr>
      <w:tr w:rsidR="005624F9" w:rsidTr="005624F9">
        <w:trPr>
          <w:gridAfter w:val="1"/>
          <w:wAfter w:w="18" w:type="dxa"/>
          <w:cantSplit/>
        </w:trPr>
        <w:tc>
          <w:tcPr>
            <w:tcW w:w="9288" w:type="dxa"/>
          </w:tcPr>
          <w:p w:rsidR="005624F9" w:rsidRDefault="005624F9" w:rsidP="00724AFC">
            <w:pPr>
              <w:numPr>
                <w:ilvl w:val="0"/>
                <w:numId w:val="11"/>
              </w:numPr>
              <w:rPr>
                <w:sz w:val="22"/>
                <w:szCs w:val="28"/>
              </w:rPr>
            </w:pPr>
            <w:r>
              <w:rPr>
                <w:sz w:val="22"/>
                <w:szCs w:val="28"/>
              </w:rPr>
              <w:t xml:space="preserve">Frequency of Contact  - </w:t>
            </w:r>
            <w:r>
              <w:rPr>
                <w:sz w:val="22"/>
              </w:rPr>
              <w:t>the frequency with which LEP individuals come in contact with the program and/or activities</w:t>
            </w:r>
          </w:p>
        </w:tc>
      </w:tr>
      <w:tr w:rsidR="005624F9" w:rsidTr="005624F9">
        <w:trPr>
          <w:gridAfter w:val="1"/>
          <w:wAfter w:w="18" w:type="dxa"/>
          <w:cantSplit/>
        </w:trPr>
        <w:tc>
          <w:tcPr>
            <w:tcW w:w="9288" w:type="dxa"/>
          </w:tcPr>
          <w:p w:rsidR="005624F9" w:rsidRDefault="005624F9" w:rsidP="00724AFC">
            <w:pPr>
              <w:numPr>
                <w:ilvl w:val="0"/>
                <w:numId w:val="11"/>
              </w:numPr>
              <w:rPr>
                <w:sz w:val="22"/>
                <w:szCs w:val="28"/>
              </w:rPr>
            </w:pPr>
            <w:r>
              <w:rPr>
                <w:sz w:val="22"/>
              </w:rPr>
              <w:t>Importance - the nature and importance of the program, activity, or service to people's lives;</w:t>
            </w:r>
          </w:p>
        </w:tc>
      </w:tr>
      <w:tr w:rsidR="005624F9" w:rsidRPr="000D3659" w:rsidTr="005624F9">
        <w:trPr>
          <w:gridAfter w:val="1"/>
          <w:wAfter w:w="18" w:type="dxa"/>
          <w:cantSplit/>
        </w:trPr>
        <w:tc>
          <w:tcPr>
            <w:tcW w:w="9288" w:type="dxa"/>
          </w:tcPr>
          <w:p w:rsidR="005624F9" w:rsidRDefault="005624F9" w:rsidP="00724AFC">
            <w:pPr>
              <w:numPr>
                <w:ilvl w:val="0"/>
                <w:numId w:val="11"/>
              </w:numPr>
              <w:rPr>
                <w:sz w:val="22"/>
                <w:szCs w:val="28"/>
              </w:rPr>
            </w:pPr>
            <w:r>
              <w:rPr>
                <w:sz w:val="22"/>
              </w:rPr>
              <w:t>Resources - the resources available and costs</w:t>
            </w:r>
          </w:p>
        </w:tc>
      </w:tr>
      <w:tr w:rsidR="005F291D" w:rsidRPr="000D3659" w:rsidTr="00C22326">
        <w:trPr>
          <w:cantSplit/>
        </w:trPr>
        <w:tc>
          <w:tcPr>
            <w:tcW w:w="9306" w:type="dxa"/>
            <w:gridSpan w:val="2"/>
          </w:tcPr>
          <w:p w:rsidR="005F291D" w:rsidRPr="000D3659" w:rsidRDefault="005F291D" w:rsidP="00C22326">
            <w:pPr>
              <w:jc w:val="center"/>
              <w:rPr>
                <w:b/>
                <w:sz w:val="22"/>
                <w:szCs w:val="28"/>
              </w:rPr>
            </w:pPr>
            <w:r w:rsidRPr="000D3659">
              <w:rPr>
                <w:b/>
                <w:sz w:val="22"/>
                <w:szCs w:val="28"/>
              </w:rPr>
              <w:t>Part B - Develop Language Assistance Plan</w:t>
            </w:r>
          </w:p>
        </w:tc>
      </w:tr>
      <w:tr w:rsidR="005624F9" w:rsidRPr="000D3659" w:rsidTr="005624F9">
        <w:trPr>
          <w:gridAfter w:val="1"/>
          <w:wAfter w:w="18" w:type="dxa"/>
          <w:cantSplit/>
        </w:trPr>
        <w:tc>
          <w:tcPr>
            <w:tcW w:w="9288" w:type="dxa"/>
          </w:tcPr>
          <w:p w:rsidR="005624F9" w:rsidRDefault="005624F9" w:rsidP="00724AFC">
            <w:pPr>
              <w:numPr>
                <w:ilvl w:val="0"/>
                <w:numId w:val="12"/>
              </w:numPr>
              <w:rPr>
                <w:sz w:val="22"/>
                <w:szCs w:val="28"/>
              </w:rPr>
            </w:pPr>
            <w:r>
              <w:rPr>
                <w:sz w:val="22"/>
                <w:szCs w:val="28"/>
              </w:rPr>
              <w:t>Identification of LEP Persons</w:t>
            </w:r>
          </w:p>
        </w:tc>
      </w:tr>
      <w:tr w:rsidR="005624F9" w:rsidRPr="000D3659" w:rsidTr="005624F9">
        <w:trPr>
          <w:gridAfter w:val="1"/>
          <w:wAfter w:w="18" w:type="dxa"/>
          <w:cantSplit/>
        </w:trPr>
        <w:tc>
          <w:tcPr>
            <w:tcW w:w="9288" w:type="dxa"/>
          </w:tcPr>
          <w:p w:rsidR="005624F9" w:rsidRDefault="005624F9" w:rsidP="00724AFC">
            <w:pPr>
              <w:numPr>
                <w:ilvl w:val="0"/>
                <w:numId w:val="12"/>
              </w:numPr>
              <w:rPr>
                <w:sz w:val="22"/>
                <w:szCs w:val="28"/>
              </w:rPr>
            </w:pPr>
            <w:r>
              <w:rPr>
                <w:sz w:val="22"/>
                <w:szCs w:val="28"/>
              </w:rPr>
              <w:t>Language Assistance Measures</w:t>
            </w:r>
          </w:p>
        </w:tc>
      </w:tr>
      <w:tr w:rsidR="005624F9" w:rsidRPr="000D3659" w:rsidTr="005624F9">
        <w:trPr>
          <w:gridAfter w:val="1"/>
          <w:wAfter w:w="18" w:type="dxa"/>
          <w:cantSplit/>
        </w:trPr>
        <w:tc>
          <w:tcPr>
            <w:tcW w:w="9288" w:type="dxa"/>
          </w:tcPr>
          <w:p w:rsidR="005624F9" w:rsidRDefault="005624F9" w:rsidP="00724AFC">
            <w:pPr>
              <w:numPr>
                <w:ilvl w:val="0"/>
                <w:numId w:val="12"/>
              </w:numPr>
              <w:rPr>
                <w:sz w:val="22"/>
                <w:szCs w:val="28"/>
              </w:rPr>
            </w:pPr>
            <w:r>
              <w:rPr>
                <w:sz w:val="22"/>
                <w:szCs w:val="28"/>
              </w:rPr>
              <w:t>Training of Staff</w:t>
            </w:r>
          </w:p>
        </w:tc>
      </w:tr>
      <w:tr w:rsidR="005624F9" w:rsidRPr="000D3659" w:rsidTr="005624F9">
        <w:trPr>
          <w:gridAfter w:val="1"/>
          <w:wAfter w:w="18" w:type="dxa"/>
          <w:cantSplit/>
        </w:trPr>
        <w:tc>
          <w:tcPr>
            <w:tcW w:w="9288" w:type="dxa"/>
          </w:tcPr>
          <w:p w:rsidR="005624F9" w:rsidRDefault="005624F9" w:rsidP="00724AFC">
            <w:pPr>
              <w:numPr>
                <w:ilvl w:val="0"/>
                <w:numId w:val="12"/>
              </w:numPr>
              <w:rPr>
                <w:sz w:val="22"/>
                <w:szCs w:val="28"/>
              </w:rPr>
            </w:pPr>
            <w:r>
              <w:rPr>
                <w:sz w:val="22"/>
                <w:szCs w:val="28"/>
              </w:rPr>
              <w:t>Provide Notice to LEP Persons</w:t>
            </w:r>
          </w:p>
        </w:tc>
      </w:tr>
      <w:tr w:rsidR="005624F9" w:rsidRPr="000D3659" w:rsidTr="005624F9">
        <w:trPr>
          <w:gridAfter w:val="1"/>
          <w:wAfter w:w="18" w:type="dxa"/>
          <w:cantSplit/>
        </w:trPr>
        <w:tc>
          <w:tcPr>
            <w:tcW w:w="9288" w:type="dxa"/>
          </w:tcPr>
          <w:p w:rsidR="005624F9" w:rsidRDefault="005624F9" w:rsidP="00724AFC">
            <w:pPr>
              <w:numPr>
                <w:ilvl w:val="0"/>
                <w:numId w:val="12"/>
              </w:numPr>
              <w:rPr>
                <w:sz w:val="22"/>
                <w:szCs w:val="28"/>
              </w:rPr>
            </w:pPr>
            <w:r>
              <w:rPr>
                <w:sz w:val="22"/>
                <w:szCs w:val="28"/>
              </w:rPr>
              <w:t>Monitor and Update the LAP</w:t>
            </w:r>
          </w:p>
        </w:tc>
      </w:tr>
    </w:tbl>
    <w:p w:rsidR="00493660" w:rsidRDefault="00493660" w:rsidP="00C00537">
      <w:pPr>
        <w:spacing w:line="360" w:lineRule="auto"/>
        <w:rPr>
          <w:b/>
          <w:bCs/>
          <w:sz w:val="28"/>
          <w:szCs w:val="28"/>
        </w:rPr>
      </w:pPr>
    </w:p>
    <w:p w:rsidR="00C00537" w:rsidRDefault="00C00537" w:rsidP="00C00537">
      <w:pPr>
        <w:spacing w:line="360" w:lineRule="auto"/>
        <w:rPr>
          <w:sz w:val="28"/>
          <w:szCs w:val="28"/>
        </w:rPr>
      </w:pPr>
      <w:r w:rsidRPr="00CC3819">
        <w:rPr>
          <w:b/>
          <w:bCs/>
          <w:sz w:val="28"/>
          <w:szCs w:val="28"/>
        </w:rPr>
        <w:t xml:space="preserve">Corrective Actions and Schedules: </w:t>
      </w:r>
      <w:r w:rsidRPr="00CC3819">
        <w:rPr>
          <w:sz w:val="28"/>
          <w:szCs w:val="28"/>
        </w:rPr>
        <w:t xml:space="preserve">Within 90 days, </w:t>
      </w:r>
      <w:r w:rsidR="006C274C">
        <w:rPr>
          <w:sz w:val="28"/>
          <w:szCs w:val="28"/>
        </w:rPr>
        <w:t>UDOT</w:t>
      </w:r>
      <w:r w:rsidRPr="00CC3819">
        <w:rPr>
          <w:sz w:val="28"/>
          <w:szCs w:val="28"/>
        </w:rPr>
        <w:t xml:space="preserve"> must submit to the </w:t>
      </w:r>
      <w:r w:rsidR="00617FED" w:rsidRPr="00CC3819">
        <w:rPr>
          <w:sz w:val="28"/>
          <w:szCs w:val="28"/>
        </w:rPr>
        <w:t>FTA Equal Opportunity Specialist in FTA’s Hea</w:t>
      </w:r>
      <w:r w:rsidR="00135803" w:rsidRPr="00CC3819">
        <w:rPr>
          <w:sz w:val="28"/>
          <w:szCs w:val="28"/>
        </w:rPr>
        <w:t>dquarters Office of Civil Rights</w:t>
      </w:r>
      <w:r w:rsidR="00617FED" w:rsidRPr="00CC3819">
        <w:rPr>
          <w:sz w:val="28"/>
          <w:szCs w:val="28"/>
        </w:rPr>
        <w:t xml:space="preserve"> a </w:t>
      </w:r>
      <w:r w:rsidR="00493660">
        <w:rPr>
          <w:sz w:val="28"/>
          <w:szCs w:val="28"/>
        </w:rPr>
        <w:t xml:space="preserve">LEP Assessment and </w:t>
      </w:r>
      <w:r w:rsidR="00617FED" w:rsidRPr="00CC3819">
        <w:rPr>
          <w:sz w:val="28"/>
          <w:szCs w:val="28"/>
        </w:rPr>
        <w:t>Language Access Plan that meets the requirements of</w:t>
      </w:r>
      <w:r w:rsidR="00493660">
        <w:rPr>
          <w:sz w:val="28"/>
          <w:szCs w:val="28"/>
        </w:rPr>
        <w:t xml:space="preserve"> FTA C 4702.1A and</w:t>
      </w:r>
      <w:r w:rsidR="00617FED" w:rsidRPr="00CC3819">
        <w:rPr>
          <w:sz w:val="28"/>
          <w:szCs w:val="28"/>
        </w:rPr>
        <w:t xml:space="preserve"> </w:t>
      </w:r>
      <w:r w:rsidR="00617FED" w:rsidRPr="00CC3819">
        <w:rPr>
          <w:i/>
          <w:sz w:val="28"/>
          <w:szCs w:val="28"/>
        </w:rPr>
        <w:t>DOT Policy Guidance Concerning Recipients’ Responsibilities to Limited English Proficient Persons, (December 14, 2005).</w:t>
      </w:r>
    </w:p>
    <w:p w:rsidR="00C00537" w:rsidRDefault="00C00537">
      <w:pPr>
        <w:spacing w:line="360" w:lineRule="auto"/>
        <w:rPr>
          <w:sz w:val="28"/>
          <w:szCs w:val="28"/>
        </w:rPr>
      </w:pPr>
    </w:p>
    <w:p w:rsidR="00F80A8D" w:rsidRDefault="00F80A8D">
      <w:pPr>
        <w:pStyle w:val="BHLevel2"/>
        <w:spacing w:line="360" w:lineRule="auto"/>
        <w:rPr>
          <w:sz w:val="28"/>
          <w:szCs w:val="28"/>
        </w:rPr>
      </w:pPr>
      <w:bookmarkStart w:id="15" w:name="_Toc253152155"/>
      <w:r>
        <w:rPr>
          <w:sz w:val="28"/>
          <w:szCs w:val="28"/>
        </w:rPr>
        <w:t>Title VI Complaint Procedures</w:t>
      </w:r>
      <w:bookmarkEnd w:id="15"/>
    </w:p>
    <w:p w:rsidR="00F80A8D" w:rsidRDefault="00F80A8D">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F80A8D" w:rsidRDefault="00F80A8D">
      <w:pPr>
        <w:spacing w:line="360" w:lineRule="auto"/>
        <w:rPr>
          <w:b/>
          <w:sz w:val="28"/>
          <w:szCs w:val="28"/>
        </w:rPr>
      </w:pPr>
    </w:p>
    <w:p w:rsidR="00F80A8D" w:rsidRDefault="00F80A8D">
      <w:pPr>
        <w:spacing w:line="360" w:lineRule="auto"/>
        <w:rPr>
          <w:sz w:val="28"/>
          <w:szCs w:val="28"/>
        </w:rPr>
      </w:pPr>
      <w:r>
        <w:rPr>
          <w:b/>
          <w:sz w:val="28"/>
          <w:szCs w:val="28"/>
        </w:rPr>
        <w:t>Findings</w:t>
      </w:r>
      <w:r w:rsidRPr="00F52DBA">
        <w:rPr>
          <w:b/>
          <w:sz w:val="28"/>
          <w:szCs w:val="28"/>
        </w:rPr>
        <w:t>:</w:t>
      </w:r>
      <w:r w:rsidRPr="00F52DBA">
        <w:rPr>
          <w:sz w:val="28"/>
          <w:szCs w:val="28"/>
        </w:rPr>
        <w:t xml:space="preserve">  During this Title VI Compliance Review of </w:t>
      </w:r>
      <w:r w:rsidR="006C274C" w:rsidRPr="00F52DBA">
        <w:rPr>
          <w:sz w:val="28"/>
          <w:szCs w:val="28"/>
        </w:rPr>
        <w:t>UDOT</w:t>
      </w:r>
      <w:r w:rsidR="008C3DD1" w:rsidRPr="00F52DBA">
        <w:rPr>
          <w:sz w:val="28"/>
          <w:szCs w:val="28"/>
        </w:rPr>
        <w:t>,</w:t>
      </w:r>
      <w:r w:rsidRPr="00F52DBA">
        <w:rPr>
          <w:sz w:val="28"/>
          <w:szCs w:val="28"/>
        </w:rPr>
        <w:t xml:space="preserve"> deficiencies were found regarding </w:t>
      </w:r>
      <w:r w:rsidR="006C274C" w:rsidRPr="00F52DBA">
        <w:rPr>
          <w:sz w:val="28"/>
          <w:szCs w:val="28"/>
        </w:rPr>
        <w:t>UDOT</w:t>
      </w:r>
      <w:r w:rsidRPr="00F52DBA">
        <w:rPr>
          <w:sz w:val="28"/>
          <w:szCs w:val="28"/>
        </w:rPr>
        <w:t xml:space="preserve">’s compliance with FTA requirements for Title VI Complaint Procedures.  </w:t>
      </w:r>
      <w:r w:rsidR="00CE4E9B">
        <w:rPr>
          <w:sz w:val="28"/>
          <w:szCs w:val="28"/>
        </w:rPr>
        <w:t xml:space="preserve">UDOT did not have a clear </w:t>
      </w:r>
      <w:r w:rsidR="000C1C81" w:rsidRPr="000C1C81">
        <w:rPr>
          <w:iCs/>
          <w:sz w:val="28"/>
        </w:rPr>
        <w:t xml:space="preserve">procedure for investigating and </w:t>
      </w:r>
      <w:r w:rsidR="000C1C81" w:rsidRPr="000C1C81">
        <w:rPr>
          <w:iCs/>
          <w:sz w:val="28"/>
        </w:rPr>
        <w:lastRenderedPageBreak/>
        <w:t xml:space="preserve">tracking Title VI complaints filed against </w:t>
      </w:r>
      <w:r w:rsidR="000C1C81">
        <w:rPr>
          <w:iCs/>
          <w:sz w:val="28"/>
        </w:rPr>
        <w:t>i</w:t>
      </w:r>
      <w:r w:rsidR="000C1C81" w:rsidRPr="000C1C81">
        <w:rPr>
          <w:iCs/>
          <w:sz w:val="28"/>
        </w:rPr>
        <w:t>t</w:t>
      </w:r>
      <w:r w:rsidR="000C1C81">
        <w:rPr>
          <w:iCs/>
          <w:sz w:val="28"/>
        </w:rPr>
        <w:t xml:space="preserve"> and its subrecipients</w:t>
      </w:r>
      <w:r w:rsidR="000C1C81">
        <w:rPr>
          <w:sz w:val="28"/>
          <w:szCs w:val="28"/>
        </w:rPr>
        <w:t>.</w:t>
      </w:r>
      <w:r w:rsidR="00CE4E9B">
        <w:rPr>
          <w:sz w:val="28"/>
          <w:szCs w:val="28"/>
        </w:rPr>
        <w:t xml:space="preserve"> </w:t>
      </w:r>
      <w:r w:rsidR="00E91FBC">
        <w:rPr>
          <w:sz w:val="28"/>
          <w:szCs w:val="28"/>
        </w:rPr>
        <w:t xml:space="preserve"> </w:t>
      </w:r>
      <w:r w:rsidR="00383245">
        <w:rPr>
          <w:sz w:val="28"/>
          <w:szCs w:val="28"/>
        </w:rPr>
        <w:t>During the Review</w:t>
      </w:r>
      <w:r w:rsidRPr="00F52DBA">
        <w:rPr>
          <w:sz w:val="28"/>
          <w:szCs w:val="28"/>
        </w:rPr>
        <w:t xml:space="preserve">, </w:t>
      </w:r>
      <w:r w:rsidR="006C274C" w:rsidRPr="00F52DBA">
        <w:rPr>
          <w:sz w:val="28"/>
          <w:szCs w:val="28"/>
        </w:rPr>
        <w:t>UDOT</w:t>
      </w:r>
      <w:r w:rsidRPr="00F52DBA">
        <w:rPr>
          <w:sz w:val="28"/>
          <w:szCs w:val="28"/>
        </w:rPr>
        <w:t xml:space="preserve"> </w:t>
      </w:r>
      <w:r w:rsidR="00383245">
        <w:rPr>
          <w:sz w:val="28"/>
          <w:szCs w:val="28"/>
        </w:rPr>
        <w:t>provided documentation of two</w:t>
      </w:r>
      <w:r w:rsidR="00232C6E">
        <w:rPr>
          <w:sz w:val="28"/>
          <w:szCs w:val="28"/>
        </w:rPr>
        <w:t xml:space="preserve"> different</w:t>
      </w:r>
      <w:r w:rsidRPr="00F52DBA">
        <w:rPr>
          <w:sz w:val="28"/>
          <w:szCs w:val="28"/>
        </w:rPr>
        <w:t xml:space="preserve"> procedure</w:t>
      </w:r>
      <w:r w:rsidR="00383245">
        <w:rPr>
          <w:sz w:val="28"/>
          <w:szCs w:val="28"/>
        </w:rPr>
        <w:t>s</w:t>
      </w:r>
      <w:r w:rsidRPr="00F52DBA">
        <w:rPr>
          <w:sz w:val="28"/>
          <w:szCs w:val="28"/>
        </w:rPr>
        <w:t xml:space="preserve"> for investigating and tracking Title VI complaints.</w:t>
      </w:r>
      <w:r w:rsidR="00383245">
        <w:rPr>
          <w:sz w:val="28"/>
          <w:szCs w:val="28"/>
        </w:rPr>
        <w:t xml:space="preserve"> </w:t>
      </w:r>
      <w:r w:rsidR="00E91FBC">
        <w:rPr>
          <w:sz w:val="28"/>
          <w:szCs w:val="28"/>
        </w:rPr>
        <w:t xml:space="preserve"> </w:t>
      </w:r>
      <w:r w:rsidR="00383245">
        <w:rPr>
          <w:sz w:val="28"/>
          <w:szCs w:val="28"/>
        </w:rPr>
        <w:t xml:space="preserve">One complaint procedure was in the document entitled </w:t>
      </w:r>
      <w:r w:rsidR="00383245" w:rsidRPr="00974787">
        <w:rPr>
          <w:i/>
          <w:sz w:val="28"/>
          <w:szCs w:val="28"/>
        </w:rPr>
        <w:t xml:space="preserve">Utah Department of Transportation, Title VI Program, </w:t>
      </w:r>
      <w:proofErr w:type="gramStart"/>
      <w:r w:rsidR="00383245" w:rsidRPr="00974787">
        <w:rPr>
          <w:i/>
          <w:sz w:val="28"/>
          <w:szCs w:val="28"/>
        </w:rPr>
        <w:t>Non</w:t>
      </w:r>
      <w:proofErr w:type="gramEnd"/>
      <w:r w:rsidR="00383245" w:rsidRPr="00974787">
        <w:rPr>
          <w:i/>
          <w:sz w:val="28"/>
          <w:szCs w:val="28"/>
        </w:rPr>
        <w:t xml:space="preserve"> Discrimination in</w:t>
      </w:r>
      <w:r w:rsidR="00383245">
        <w:rPr>
          <w:i/>
          <w:sz w:val="28"/>
          <w:szCs w:val="28"/>
        </w:rPr>
        <w:t xml:space="preserve"> the Federal Aid Highway Program</w:t>
      </w:r>
      <w:r w:rsidR="00383245">
        <w:rPr>
          <w:sz w:val="28"/>
          <w:szCs w:val="28"/>
        </w:rPr>
        <w:t xml:space="preserve">. </w:t>
      </w:r>
      <w:r w:rsidR="007561AF">
        <w:rPr>
          <w:sz w:val="28"/>
          <w:szCs w:val="28"/>
        </w:rPr>
        <w:t>A</w:t>
      </w:r>
      <w:r w:rsidR="00232C6E">
        <w:rPr>
          <w:sz w:val="28"/>
          <w:szCs w:val="28"/>
        </w:rPr>
        <w:t xml:space="preserve"> different</w:t>
      </w:r>
      <w:r w:rsidR="00383245">
        <w:rPr>
          <w:sz w:val="28"/>
          <w:szCs w:val="28"/>
        </w:rPr>
        <w:t xml:space="preserve"> </w:t>
      </w:r>
      <w:r w:rsidR="007561AF">
        <w:rPr>
          <w:sz w:val="28"/>
          <w:szCs w:val="28"/>
        </w:rPr>
        <w:t xml:space="preserve">complaint procedure </w:t>
      </w:r>
      <w:r w:rsidR="00383245">
        <w:rPr>
          <w:sz w:val="28"/>
          <w:szCs w:val="28"/>
        </w:rPr>
        <w:t>was in</w:t>
      </w:r>
      <w:r w:rsidR="007561AF">
        <w:rPr>
          <w:sz w:val="28"/>
          <w:szCs w:val="28"/>
        </w:rPr>
        <w:t xml:space="preserve"> the</w:t>
      </w:r>
      <w:r w:rsidR="00383245">
        <w:rPr>
          <w:sz w:val="28"/>
          <w:szCs w:val="28"/>
        </w:rPr>
        <w:t xml:space="preserve"> </w:t>
      </w:r>
      <w:r w:rsidR="00383245" w:rsidRPr="004133E5">
        <w:rPr>
          <w:i/>
          <w:sz w:val="28"/>
          <w:szCs w:val="28"/>
        </w:rPr>
        <w:t>UDOT State Management Plan Federal Transit Grants Program</w:t>
      </w:r>
      <w:r w:rsidR="00383245">
        <w:rPr>
          <w:sz w:val="28"/>
          <w:szCs w:val="28"/>
        </w:rPr>
        <w:t>, dated February 2010.</w:t>
      </w:r>
      <w:r w:rsidR="007561AF">
        <w:rPr>
          <w:sz w:val="28"/>
          <w:szCs w:val="28"/>
        </w:rPr>
        <w:t xml:space="preserve"> </w:t>
      </w:r>
      <w:r w:rsidR="00E91FBC">
        <w:rPr>
          <w:sz w:val="28"/>
          <w:szCs w:val="28"/>
        </w:rPr>
        <w:t xml:space="preserve"> </w:t>
      </w:r>
      <w:r w:rsidR="007561AF">
        <w:rPr>
          <w:sz w:val="28"/>
          <w:szCs w:val="28"/>
        </w:rPr>
        <w:t>This</w:t>
      </w:r>
      <w:r w:rsidR="00383245">
        <w:rPr>
          <w:sz w:val="28"/>
          <w:szCs w:val="28"/>
        </w:rPr>
        <w:t xml:space="preserve"> </w:t>
      </w:r>
      <w:r w:rsidR="007561AF">
        <w:rPr>
          <w:sz w:val="28"/>
          <w:szCs w:val="28"/>
        </w:rPr>
        <w:t xml:space="preserve">complaint procedure was also in the document entitled </w:t>
      </w:r>
      <w:r w:rsidR="007561AF" w:rsidRPr="00B66BF3">
        <w:rPr>
          <w:i/>
          <w:sz w:val="28"/>
          <w:szCs w:val="28"/>
        </w:rPr>
        <w:t>Utah Department of Transportation – Public Transit Team Title VI Report – 3-19-10</w:t>
      </w:r>
      <w:r w:rsidR="007561AF">
        <w:rPr>
          <w:sz w:val="28"/>
          <w:szCs w:val="28"/>
        </w:rPr>
        <w:t xml:space="preserve"> and in the document entitled </w:t>
      </w:r>
      <w:r w:rsidR="007561AF" w:rsidRPr="00F52DBA">
        <w:rPr>
          <w:i/>
          <w:sz w:val="28"/>
          <w:szCs w:val="28"/>
        </w:rPr>
        <w:t>Documents Required for Title 6 Review</w:t>
      </w:r>
      <w:r w:rsidR="007561AF">
        <w:rPr>
          <w:sz w:val="28"/>
          <w:szCs w:val="28"/>
        </w:rPr>
        <w:t>.</w:t>
      </w:r>
      <w:r w:rsidRPr="00F52DBA">
        <w:rPr>
          <w:sz w:val="28"/>
          <w:szCs w:val="28"/>
        </w:rPr>
        <w:t xml:space="preserve"> </w:t>
      </w:r>
      <w:r w:rsidR="00E91FBC">
        <w:rPr>
          <w:sz w:val="28"/>
          <w:szCs w:val="28"/>
        </w:rPr>
        <w:t xml:space="preserve"> </w:t>
      </w:r>
      <w:r w:rsidR="00CE4E9B">
        <w:rPr>
          <w:sz w:val="28"/>
          <w:szCs w:val="28"/>
        </w:rPr>
        <w:t xml:space="preserve">On the UDOT website, there was another document entitled </w:t>
      </w:r>
      <w:r w:rsidR="00CE4E9B" w:rsidRPr="00CE4E9B">
        <w:rPr>
          <w:i/>
          <w:sz w:val="28"/>
          <w:szCs w:val="28"/>
        </w:rPr>
        <w:t>Utah Department of Transportation Title VI Requirements For FTA Sub-Recipients Rev. 10-99</w:t>
      </w:r>
      <w:r w:rsidR="00CE4E9B">
        <w:rPr>
          <w:sz w:val="28"/>
          <w:szCs w:val="28"/>
        </w:rPr>
        <w:t xml:space="preserve"> that had a complaint procedure in </w:t>
      </w:r>
      <w:r w:rsidR="00CE4E9B" w:rsidRPr="00B7221F">
        <w:rPr>
          <w:sz w:val="28"/>
          <w:szCs w:val="28"/>
        </w:rPr>
        <w:t>Part 3</w:t>
      </w:r>
      <w:proofErr w:type="gramStart"/>
      <w:r w:rsidR="00B7221F">
        <w:rPr>
          <w:sz w:val="28"/>
          <w:szCs w:val="28"/>
        </w:rPr>
        <w:t>,</w:t>
      </w:r>
      <w:r w:rsidR="00CE4E9B" w:rsidRPr="00CE4E9B">
        <w:rPr>
          <w:i/>
          <w:sz w:val="28"/>
          <w:szCs w:val="28"/>
        </w:rPr>
        <w:t xml:space="preserve"> </w:t>
      </w:r>
      <w:r w:rsidR="00E91FBC">
        <w:rPr>
          <w:i/>
          <w:sz w:val="28"/>
          <w:szCs w:val="28"/>
        </w:rPr>
        <w:t xml:space="preserve"> </w:t>
      </w:r>
      <w:r w:rsidR="00CE4E9B" w:rsidRPr="00CE4E9B">
        <w:rPr>
          <w:i/>
          <w:sz w:val="28"/>
          <w:szCs w:val="28"/>
        </w:rPr>
        <w:t>Title</w:t>
      </w:r>
      <w:proofErr w:type="gramEnd"/>
      <w:r w:rsidR="00CE4E9B" w:rsidRPr="00CE4E9B">
        <w:rPr>
          <w:i/>
          <w:sz w:val="28"/>
          <w:szCs w:val="28"/>
        </w:rPr>
        <w:t xml:space="preserve"> VI Discrimination Complaints</w:t>
      </w:r>
      <w:r w:rsidR="00B7221F">
        <w:rPr>
          <w:sz w:val="28"/>
          <w:szCs w:val="28"/>
        </w:rPr>
        <w:t xml:space="preserve">, </w:t>
      </w:r>
      <w:r w:rsidR="00CE4E9B">
        <w:rPr>
          <w:sz w:val="28"/>
          <w:szCs w:val="28"/>
        </w:rPr>
        <w:t>that was different than the other two procedures.</w:t>
      </w:r>
      <w:r w:rsidR="00E91FBC">
        <w:rPr>
          <w:sz w:val="28"/>
          <w:szCs w:val="28"/>
        </w:rPr>
        <w:t xml:space="preserve">  By having multiple Title VI complaint procedures, the public could easily be confused regarding where and how to file Title VI complaints.  </w:t>
      </w:r>
    </w:p>
    <w:p w:rsidR="00F80A8D" w:rsidRDefault="00F80A8D">
      <w:pPr>
        <w:spacing w:line="360" w:lineRule="auto"/>
        <w:rPr>
          <w:sz w:val="28"/>
          <w:szCs w:val="28"/>
          <w:u w:val="single"/>
        </w:rPr>
      </w:pPr>
    </w:p>
    <w:p w:rsidR="000C1C81" w:rsidRDefault="000C1C81">
      <w:pPr>
        <w:spacing w:line="360" w:lineRule="auto"/>
        <w:rPr>
          <w:sz w:val="28"/>
          <w:szCs w:val="28"/>
          <w:u w:val="single"/>
        </w:rPr>
      </w:pPr>
      <w:r w:rsidRPr="00CC3819">
        <w:rPr>
          <w:b/>
          <w:bCs/>
          <w:sz w:val="28"/>
          <w:szCs w:val="28"/>
        </w:rPr>
        <w:t xml:space="preserve">Corrective Actions and Schedules: </w:t>
      </w:r>
      <w:r>
        <w:rPr>
          <w:sz w:val="28"/>
          <w:szCs w:val="28"/>
        </w:rPr>
        <w:t>Within 9</w:t>
      </w:r>
      <w:r w:rsidRPr="00CC3819">
        <w:rPr>
          <w:sz w:val="28"/>
          <w:szCs w:val="28"/>
        </w:rPr>
        <w:t xml:space="preserve">0 days, </w:t>
      </w:r>
      <w:r>
        <w:rPr>
          <w:sz w:val="28"/>
          <w:szCs w:val="28"/>
        </w:rPr>
        <w:t>UDOT</w:t>
      </w:r>
      <w:r w:rsidRPr="00CC3819">
        <w:rPr>
          <w:sz w:val="28"/>
          <w:szCs w:val="28"/>
        </w:rPr>
        <w:t xml:space="preserve"> must submit to the FTA Equal Opportunity Specialist in FTA’s Headquarters Office of Civil Rights</w:t>
      </w:r>
      <w:r>
        <w:rPr>
          <w:sz w:val="28"/>
          <w:szCs w:val="28"/>
        </w:rPr>
        <w:t xml:space="preserve"> a clear </w:t>
      </w:r>
      <w:r w:rsidRPr="000C1C81">
        <w:rPr>
          <w:iCs/>
          <w:sz w:val="28"/>
        </w:rPr>
        <w:t xml:space="preserve">procedure for investigating and tracking Title VI complaints filed against </w:t>
      </w:r>
      <w:r>
        <w:rPr>
          <w:iCs/>
          <w:sz w:val="28"/>
        </w:rPr>
        <w:t>i</w:t>
      </w:r>
      <w:r w:rsidRPr="000C1C81">
        <w:rPr>
          <w:iCs/>
          <w:sz w:val="28"/>
        </w:rPr>
        <w:t>t</w:t>
      </w:r>
      <w:r>
        <w:rPr>
          <w:iCs/>
          <w:sz w:val="28"/>
        </w:rPr>
        <w:t xml:space="preserve"> and its subrecipients</w:t>
      </w:r>
      <w:r w:rsidR="00A379AD">
        <w:rPr>
          <w:iCs/>
          <w:sz w:val="28"/>
        </w:rPr>
        <w:t xml:space="preserve">.  UDOT must document how this information would be made available to members of </w:t>
      </w:r>
      <w:r w:rsidR="00E91FBC">
        <w:rPr>
          <w:iCs/>
          <w:sz w:val="28"/>
        </w:rPr>
        <w:t xml:space="preserve">the public </w:t>
      </w:r>
      <w:r w:rsidR="00A379AD">
        <w:rPr>
          <w:iCs/>
          <w:sz w:val="28"/>
        </w:rPr>
        <w:t>upon request</w:t>
      </w:r>
      <w:r>
        <w:rPr>
          <w:sz w:val="28"/>
          <w:szCs w:val="28"/>
        </w:rPr>
        <w:t>.</w:t>
      </w:r>
    </w:p>
    <w:p w:rsidR="00F80A8D" w:rsidRDefault="00F80A8D">
      <w:pPr>
        <w:spacing w:line="360" w:lineRule="auto"/>
        <w:rPr>
          <w:sz w:val="28"/>
          <w:szCs w:val="28"/>
        </w:rPr>
      </w:pPr>
    </w:p>
    <w:p w:rsidR="00F80A8D" w:rsidRDefault="00F80A8D">
      <w:pPr>
        <w:pStyle w:val="BHLevel2"/>
        <w:spacing w:line="360" w:lineRule="auto"/>
        <w:rPr>
          <w:sz w:val="28"/>
          <w:szCs w:val="28"/>
        </w:rPr>
      </w:pPr>
      <w:bookmarkStart w:id="16" w:name="_Toc253152156"/>
      <w:r>
        <w:rPr>
          <w:sz w:val="28"/>
          <w:szCs w:val="28"/>
        </w:rPr>
        <w:t>Record of Title VI Investigations, Complaints, and Lawsuits</w:t>
      </w:r>
      <w:bookmarkEnd w:id="16"/>
    </w:p>
    <w:p w:rsidR="00F80A8D" w:rsidRDefault="00F80A8D">
      <w:pPr>
        <w:rPr>
          <w:i/>
          <w:iCs/>
          <w:kern w:val="32"/>
          <w:sz w:val="28"/>
        </w:rPr>
      </w:pPr>
      <w:r>
        <w:rPr>
          <w:b/>
          <w:sz w:val="28"/>
          <w:szCs w:val="28"/>
        </w:rPr>
        <w:t xml:space="preserve">Requirement: </w:t>
      </w:r>
      <w:r>
        <w:rPr>
          <w:i/>
          <w:iCs/>
          <w:kern w:val="32"/>
          <w:sz w:val="28"/>
        </w:rPr>
        <w:t xml:space="preserve">FTA recipients shall prepare and maintain a list of any active investigations conducted by entities other than FTA, lawsuits, or complaints naming the recipients that allege discrimination on the basis of race, color, or </w:t>
      </w:r>
      <w:r>
        <w:rPr>
          <w:i/>
          <w:iCs/>
          <w:kern w:val="32"/>
          <w:sz w:val="28"/>
        </w:rPr>
        <w:lastRenderedPageBreak/>
        <w:t>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F80A8D" w:rsidRDefault="00F80A8D">
      <w:pPr>
        <w:pStyle w:val="ReferenceLine"/>
        <w:spacing w:line="360" w:lineRule="auto"/>
        <w:rPr>
          <w:sz w:val="28"/>
          <w:szCs w:val="28"/>
        </w:rPr>
      </w:pPr>
    </w:p>
    <w:p w:rsidR="002B6C30" w:rsidRDefault="00F80A8D">
      <w:pPr>
        <w:spacing w:line="360" w:lineRule="auto"/>
        <w:rPr>
          <w:sz w:val="28"/>
          <w:szCs w:val="28"/>
        </w:rPr>
      </w:pPr>
      <w:r>
        <w:rPr>
          <w:b/>
          <w:sz w:val="28"/>
          <w:szCs w:val="28"/>
        </w:rPr>
        <w:t xml:space="preserve">Findings: </w:t>
      </w:r>
      <w:r>
        <w:rPr>
          <w:sz w:val="28"/>
          <w:szCs w:val="28"/>
        </w:rPr>
        <w:t xml:space="preserve">During this Title VI Compliance Review of </w:t>
      </w:r>
      <w:r w:rsidR="006C274C">
        <w:rPr>
          <w:sz w:val="28"/>
          <w:szCs w:val="28"/>
        </w:rPr>
        <w:t>UDOT</w:t>
      </w:r>
      <w:r w:rsidR="00CA1585">
        <w:rPr>
          <w:sz w:val="28"/>
          <w:szCs w:val="28"/>
        </w:rPr>
        <w:t xml:space="preserve">, </w:t>
      </w:r>
      <w:r>
        <w:rPr>
          <w:sz w:val="28"/>
          <w:szCs w:val="28"/>
        </w:rPr>
        <w:t xml:space="preserve">deficiencies were found regarding </w:t>
      </w:r>
      <w:r w:rsidR="006C274C">
        <w:rPr>
          <w:sz w:val="28"/>
          <w:szCs w:val="28"/>
        </w:rPr>
        <w:t>UDOT</w:t>
      </w:r>
      <w:r>
        <w:rPr>
          <w:sz w:val="28"/>
          <w:szCs w:val="28"/>
        </w:rPr>
        <w:t xml:space="preserve">’s compliance with FTA requirements for Record of Title VI Investigations, Complaints, and Lawsuits.  </w:t>
      </w:r>
      <w:r w:rsidR="008C3DD1">
        <w:rPr>
          <w:sz w:val="28"/>
          <w:szCs w:val="28"/>
        </w:rPr>
        <w:t>Prior to the site visit</w:t>
      </w:r>
      <w:r w:rsidR="00232C6E">
        <w:rPr>
          <w:sz w:val="28"/>
          <w:szCs w:val="28"/>
        </w:rPr>
        <w:t xml:space="preserve"> and in its </w:t>
      </w:r>
      <w:r w:rsidR="00165CBD">
        <w:rPr>
          <w:sz w:val="28"/>
          <w:szCs w:val="28"/>
        </w:rPr>
        <w:t xml:space="preserve">document entitled </w:t>
      </w:r>
      <w:r w:rsidR="00165CBD" w:rsidRPr="00B66BF3">
        <w:rPr>
          <w:i/>
          <w:sz w:val="28"/>
          <w:szCs w:val="28"/>
        </w:rPr>
        <w:t>Utah Department of Transportation – Public Transit Team Title VI Report – 3-19-10</w:t>
      </w:r>
      <w:r w:rsidR="00165CBD">
        <w:rPr>
          <w:sz w:val="28"/>
          <w:szCs w:val="28"/>
        </w:rPr>
        <w:t xml:space="preserve"> that was submitted to FTA and in the document entitled </w:t>
      </w:r>
      <w:r w:rsidR="00165CBD" w:rsidRPr="00F52DBA">
        <w:rPr>
          <w:i/>
          <w:sz w:val="28"/>
          <w:szCs w:val="28"/>
        </w:rPr>
        <w:t>Documents Required for Title 6 Review</w:t>
      </w:r>
      <w:r w:rsidR="00165CBD">
        <w:rPr>
          <w:sz w:val="28"/>
          <w:szCs w:val="28"/>
        </w:rPr>
        <w:t xml:space="preserve"> that was prepared for this Review</w:t>
      </w:r>
      <w:r w:rsidR="008C3DD1">
        <w:rPr>
          <w:sz w:val="28"/>
          <w:szCs w:val="28"/>
        </w:rPr>
        <w:t xml:space="preserve">, </w:t>
      </w:r>
      <w:r w:rsidR="006C274C">
        <w:rPr>
          <w:sz w:val="28"/>
          <w:szCs w:val="28"/>
        </w:rPr>
        <w:t>UDOT</w:t>
      </w:r>
      <w:r>
        <w:rPr>
          <w:sz w:val="28"/>
          <w:szCs w:val="28"/>
        </w:rPr>
        <w:t xml:space="preserve"> </w:t>
      </w:r>
      <w:r w:rsidR="008C3DD1">
        <w:rPr>
          <w:sz w:val="28"/>
          <w:szCs w:val="28"/>
        </w:rPr>
        <w:t xml:space="preserve">indicated that there were currently no active Title VI </w:t>
      </w:r>
      <w:r w:rsidR="00B60A72">
        <w:rPr>
          <w:sz w:val="28"/>
          <w:szCs w:val="28"/>
        </w:rPr>
        <w:t xml:space="preserve">investigations, lawsuits or </w:t>
      </w:r>
      <w:r w:rsidR="008C3DD1">
        <w:rPr>
          <w:sz w:val="28"/>
          <w:szCs w:val="28"/>
        </w:rPr>
        <w:t>complaints filed</w:t>
      </w:r>
      <w:r w:rsidR="00B60A72">
        <w:rPr>
          <w:sz w:val="28"/>
          <w:szCs w:val="28"/>
        </w:rPr>
        <w:t xml:space="preserve"> against </w:t>
      </w:r>
      <w:r w:rsidR="006C274C">
        <w:rPr>
          <w:sz w:val="28"/>
          <w:szCs w:val="28"/>
        </w:rPr>
        <w:t>UDOT</w:t>
      </w:r>
      <w:r w:rsidR="00165CBD">
        <w:rPr>
          <w:sz w:val="28"/>
          <w:szCs w:val="28"/>
        </w:rPr>
        <w:t>/Public Transit Plans and Programs</w:t>
      </w:r>
      <w:r w:rsidR="00B60A72">
        <w:rPr>
          <w:sz w:val="28"/>
          <w:szCs w:val="28"/>
        </w:rPr>
        <w:t>.</w:t>
      </w:r>
      <w:r w:rsidR="000611BB">
        <w:rPr>
          <w:sz w:val="28"/>
          <w:szCs w:val="28"/>
        </w:rPr>
        <w:t xml:space="preserve">  However, during the site visit, UDOT indicated that while </w:t>
      </w:r>
      <w:r w:rsidR="00A379AD">
        <w:rPr>
          <w:sz w:val="28"/>
          <w:szCs w:val="28"/>
        </w:rPr>
        <w:t xml:space="preserve">no Title VI </w:t>
      </w:r>
      <w:r w:rsidR="000611BB">
        <w:rPr>
          <w:sz w:val="28"/>
          <w:szCs w:val="28"/>
        </w:rPr>
        <w:t>complaints</w:t>
      </w:r>
      <w:r w:rsidR="00A379AD">
        <w:rPr>
          <w:sz w:val="28"/>
          <w:szCs w:val="28"/>
        </w:rPr>
        <w:t xml:space="preserve"> had been filed against UDOT</w:t>
      </w:r>
      <w:r w:rsidR="000611BB">
        <w:rPr>
          <w:sz w:val="28"/>
          <w:szCs w:val="28"/>
        </w:rPr>
        <w:t xml:space="preserve">, </w:t>
      </w:r>
      <w:r w:rsidR="009B20FE">
        <w:rPr>
          <w:sz w:val="28"/>
          <w:szCs w:val="28"/>
        </w:rPr>
        <w:t>some</w:t>
      </w:r>
      <w:r w:rsidR="000611BB">
        <w:rPr>
          <w:sz w:val="28"/>
          <w:szCs w:val="28"/>
        </w:rPr>
        <w:t xml:space="preserve"> subrecipients did have active complaints.  UDOT indicated that they obtain</w:t>
      </w:r>
      <w:r w:rsidR="00165CBD">
        <w:rPr>
          <w:sz w:val="28"/>
          <w:szCs w:val="28"/>
        </w:rPr>
        <w:t>ed</w:t>
      </w:r>
      <w:r w:rsidR="000611BB">
        <w:rPr>
          <w:sz w:val="28"/>
          <w:szCs w:val="28"/>
        </w:rPr>
        <w:t xml:space="preserve"> a list of complaints from its subrecipients as part of the application process.  However, UDOT did not provide a list of active complaints from its subrecipients</w:t>
      </w:r>
      <w:r w:rsidR="00165CBD">
        <w:rPr>
          <w:sz w:val="28"/>
          <w:szCs w:val="28"/>
        </w:rPr>
        <w:t xml:space="preserve"> to FTA or the Review team</w:t>
      </w:r>
      <w:r w:rsidR="000611BB">
        <w:rPr>
          <w:sz w:val="28"/>
          <w:szCs w:val="28"/>
        </w:rPr>
        <w:t>.</w:t>
      </w:r>
    </w:p>
    <w:p w:rsidR="00DC03C9" w:rsidRDefault="00DC03C9" w:rsidP="000611BB">
      <w:pPr>
        <w:spacing w:line="360" w:lineRule="auto"/>
        <w:rPr>
          <w:b/>
          <w:bCs/>
          <w:sz w:val="28"/>
          <w:szCs w:val="28"/>
        </w:rPr>
      </w:pPr>
    </w:p>
    <w:p w:rsidR="000611BB" w:rsidRDefault="000611BB" w:rsidP="000611BB">
      <w:pPr>
        <w:spacing w:line="360" w:lineRule="auto"/>
        <w:rPr>
          <w:sz w:val="28"/>
          <w:szCs w:val="28"/>
        </w:rPr>
      </w:pPr>
      <w:r w:rsidRPr="00CC3819">
        <w:rPr>
          <w:b/>
          <w:bCs/>
          <w:sz w:val="28"/>
          <w:szCs w:val="28"/>
        </w:rPr>
        <w:t xml:space="preserve">Corrective Actions and Schedules: </w:t>
      </w:r>
      <w:r>
        <w:rPr>
          <w:sz w:val="28"/>
          <w:szCs w:val="28"/>
        </w:rPr>
        <w:t>Within 3</w:t>
      </w:r>
      <w:r w:rsidRPr="00CC3819">
        <w:rPr>
          <w:sz w:val="28"/>
          <w:szCs w:val="28"/>
        </w:rPr>
        <w:t xml:space="preserve">0 days, </w:t>
      </w:r>
      <w:r>
        <w:rPr>
          <w:sz w:val="28"/>
          <w:szCs w:val="28"/>
        </w:rPr>
        <w:t>UDOT</w:t>
      </w:r>
      <w:r w:rsidRPr="00CC3819">
        <w:rPr>
          <w:sz w:val="28"/>
          <w:szCs w:val="28"/>
        </w:rPr>
        <w:t xml:space="preserve"> must submit to the FTA Equal Opportunity Specialist in FTA’s Headquarters Office of Civil Rights </w:t>
      </w:r>
      <w:r>
        <w:rPr>
          <w:sz w:val="28"/>
          <w:szCs w:val="28"/>
        </w:rPr>
        <w:t xml:space="preserve">a list of active Title VI complaints </w:t>
      </w:r>
      <w:r w:rsidR="00165CBD">
        <w:rPr>
          <w:sz w:val="28"/>
          <w:szCs w:val="28"/>
        </w:rPr>
        <w:t xml:space="preserve">pertaining to UDOT or its subrecipients </w:t>
      </w:r>
      <w:r>
        <w:rPr>
          <w:sz w:val="28"/>
          <w:szCs w:val="28"/>
        </w:rPr>
        <w:t xml:space="preserve">and written </w:t>
      </w:r>
      <w:r w:rsidR="00666E96">
        <w:rPr>
          <w:sz w:val="28"/>
          <w:szCs w:val="28"/>
        </w:rPr>
        <w:t>procedures that ensure all Titl</w:t>
      </w:r>
      <w:r>
        <w:rPr>
          <w:sz w:val="28"/>
          <w:szCs w:val="28"/>
        </w:rPr>
        <w:t>e VI complaints, investigations and lawsuits will be properly recorded and tracked.</w:t>
      </w:r>
    </w:p>
    <w:p w:rsidR="00F80A8D" w:rsidRDefault="00F80A8D">
      <w:pPr>
        <w:spacing w:line="360" w:lineRule="auto"/>
        <w:rPr>
          <w:bCs/>
          <w:sz w:val="28"/>
          <w:szCs w:val="28"/>
        </w:rPr>
      </w:pPr>
    </w:p>
    <w:p w:rsidR="00F80A8D" w:rsidRDefault="00F80A8D">
      <w:pPr>
        <w:pStyle w:val="BHLevel2"/>
        <w:spacing w:line="360" w:lineRule="auto"/>
        <w:rPr>
          <w:sz w:val="28"/>
          <w:szCs w:val="28"/>
        </w:rPr>
      </w:pPr>
      <w:bookmarkStart w:id="17" w:name="_Toc253152157"/>
      <w:r>
        <w:rPr>
          <w:sz w:val="28"/>
          <w:szCs w:val="28"/>
        </w:rPr>
        <w:lastRenderedPageBreak/>
        <w:t>Notice to Beneficiaries of Protection Under Title VI</w:t>
      </w:r>
      <w:bookmarkEnd w:id="17"/>
    </w:p>
    <w:p w:rsidR="00F80A8D" w:rsidRDefault="00F80A8D">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F80A8D" w:rsidRDefault="00F80A8D">
      <w:pPr>
        <w:spacing w:line="360" w:lineRule="auto"/>
        <w:rPr>
          <w:sz w:val="28"/>
          <w:szCs w:val="28"/>
        </w:rPr>
      </w:pPr>
    </w:p>
    <w:p w:rsidR="000671C0" w:rsidRDefault="00F80A8D">
      <w:pPr>
        <w:spacing w:line="360" w:lineRule="auto"/>
        <w:rPr>
          <w:sz w:val="28"/>
          <w:szCs w:val="28"/>
        </w:rPr>
      </w:pPr>
      <w:r>
        <w:rPr>
          <w:b/>
          <w:sz w:val="28"/>
          <w:szCs w:val="28"/>
        </w:rPr>
        <w:t xml:space="preserve">Findings:  </w:t>
      </w:r>
      <w:r>
        <w:rPr>
          <w:sz w:val="28"/>
          <w:szCs w:val="28"/>
        </w:rPr>
        <w:t xml:space="preserve">During this Title VI Compliance Review of </w:t>
      </w:r>
      <w:r w:rsidR="006C274C">
        <w:rPr>
          <w:sz w:val="28"/>
          <w:szCs w:val="28"/>
        </w:rPr>
        <w:t>UDOT</w:t>
      </w:r>
      <w:r w:rsidR="008C3DD1">
        <w:rPr>
          <w:sz w:val="28"/>
          <w:szCs w:val="28"/>
        </w:rPr>
        <w:t xml:space="preserve">, </w:t>
      </w:r>
      <w:r w:rsidRPr="00C7537A">
        <w:rPr>
          <w:sz w:val="28"/>
          <w:szCs w:val="28"/>
        </w:rPr>
        <w:t>deficiencies</w:t>
      </w:r>
      <w:r>
        <w:rPr>
          <w:sz w:val="28"/>
          <w:szCs w:val="28"/>
        </w:rPr>
        <w:t xml:space="preserve"> were found regarding </w:t>
      </w:r>
      <w:r w:rsidR="006C274C">
        <w:rPr>
          <w:sz w:val="28"/>
          <w:szCs w:val="28"/>
        </w:rPr>
        <w:t>UDOT</w:t>
      </w:r>
      <w:r>
        <w:rPr>
          <w:sz w:val="28"/>
          <w:szCs w:val="28"/>
        </w:rPr>
        <w:t xml:space="preserve">’s compliance with FTA requirements for Notice </w:t>
      </w:r>
      <w:r w:rsidR="007C38C5">
        <w:rPr>
          <w:sz w:val="28"/>
          <w:szCs w:val="28"/>
        </w:rPr>
        <w:t>to Beneficiaries of Protection u</w:t>
      </w:r>
      <w:r>
        <w:rPr>
          <w:sz w:val="28"/>
          <w:szCs w:val="28"/>
        </w:rPr>
        <w:t xml:space="preserve">nder Title VI.  </w:t>
      </w:r>
      <w:r w:rsidR="000671C0">
        <w:rPr>
          <w:sz w:val="28"/>
          <w:szCs w:val="28"/>
        </w:rPr>
        <w:t xml:space="preserve">Prior to the site visit, UDOT indicated that </w:t>
      </w:r>
      <w:r w:rsidR="004512A5">
        <w:rPr>
          <w:sz w:val="28"/>
          <w:szCs w:val="28"/>
        </w:rPr>
        <w:t>i</w:t>
      </w:r>
      <w:r w:rsidR="000671C0">
        <w:rPr>
          <w:sz w:val="28"/>
          <w:szCs w:val="28"/>
        </w:rPr>
        <w:t>t had Title VI posters in all public viewing areas.  However, there were no posters available for viewing in UDOT’s offices.  UDOT also indicated that it require</w:t>
      </w:r>
      <w:r w:rsidR="004F4EC9">
        <w:rPr>
          <w:sz w:val="28"/>
          <w:szCs w:val="28"/>
        </w:rPr>
        <w:t>d</w:t>
      </w:r>
      <w:r w:rsidR="000671C0">
        <w:rPr>
          <w:sz w:val="28"/>
          <w:szCs w:val="28"/>
        </w:rPr>
        <w:t xml:space="preserve"> all subrecipients to provide Title VI posters in all public viewing areas</w:t>
      </w:r>
      <w:r w:rsidR="004D1A92">
        <w:rPr>
          <w:sz w:val="28"/>
          <w:szCs w:val="28"/>
        </w:rPr>
        <w:t>.</w:t>
      </w:r>
      <w:r w:rsidR="000671C0">
        <w:rPr>
          <w:sz w:val="28"/>
          <w:szCs w:val="28"/>
        </w:rPr>
        <w:t xml:space="preserve">   Further, </w:t>
      </w:r>
      <w:r w:rsidR="006C274C">
        <w:rPr>
          <w:sz w:val="28"/>
          <w:szCs w:val="28"/>
        </w:rPr>
        <w:t>UDOT</w:t>
      </w:r>
      <w:r>
        <w:rPr>
          <w:sz w:val="28"/>
          <w:szCs w:val="28"/>
        </w:rPr>
        <w:t xml:space="preserve"> </w:t>
      </w:r>
      <w:r w:rsidR="00D732D6">
        <w:rPr>
          <w:sz w:val="28"/>
          <w:szCs w:val="28"/>
        </w:rPr>
        <w:t>p</w:t>
      </w:r>
      <w:r w:rsidR="004D1A92">
        <w:rPr>
          <w:sz w:val="28"/>
          <w:szCs w:val="28"/>
        </w:rPr>
        <w:t xml:space="preserve">rovided a website link, </w:t>
      </w:r>
      <w:r w:rsidR="00D732D6">
        <w:rPr>
          <w:sz w:val="28"/>
          <w:szCs w:val="28"/>
        </w:rPr>
        <w:t>(</w:t>
      </w:r>
      <w:hyperlink r:id="rId12" w:history="1">
        <w:r w:rsidR="00D732D6" w:rsidRPr="009038D2">
          <w:rPr>
            <w:rStyle w:val="Hyperlink"/>
            <w:sz w:val="28"/>
            <w:szCs w:val="28"/>
          </w:rPr>
          <w:t>http://www.udot.utah.gov/main/uconowner.gf?n=139063807119540018</w:t>
        </w:r>
      </w:hyperlink>
      <w:r w:rsidR="00D732D6">
        <w:rPr>
          <w:sz w:val="28"/>
          <w:szCs w:val="28"/>
        </w:rPr>
        <w:t xml:space="preserve">) </w:t>
      </w:r>
      <w:r w:rsidR="00852C4E">
        <w:rPr>
          <w:sz w:val="28"/>
          <w:szCs w:val="28"/>
        </w:rPr>
        <w:t xml:space="preserve">for a </w:t>
      </w:r>
      <w:r w:rsidR="00A162F2">
        <w:rPr>
          <w:sz w:val="28"/>
          <w:szCs w:val="28"/>
        </w:rPr>
        <w:t xml:space="preserve">downloadable </w:t>
      </w:r>
      <w:r w:rsidR="00852C4E">
        <w:rPr>
          <w:sz w:val="28"/>
          <w:szCs w:val="28"/>
        </w:rPr>
        <w:t xml:space="preserve">poster </w:t>
      </w:r>
      <w:r w:rsidR="00A162F2">
        <w:rPr>
          <w:sz w:val="28"/>
          <w:szCs w:val="28"/>
        </w:rPr>
        <w:t>and</w:t>
      </w:r>
      <w:r w:rsidR="00852C4E">
        <w:rPr>
          <w:sz w:val="28"/>
          <w:szCs w:val="28"/>
        </w:rPr>
        <w:t xml:space="preserve"> </w:t>
      </w:r>
      <w:r w:rsidR="004F4EC9">
        <w:rPr>
          <w:sz w:val="28"/>
          <w:szCs w:val="28"/>
        </w:rPr>
        <w:t xml:space="preserve">stated that it </w:t>
      </w:r>
      <w:r w:rsidR="00852C4E">
        <w:rPr>
          <w:sz w:val="28"/>
          <w:szCs w:val="28"/>
        </w:rPr>
        <w:t>require</w:t>
      </w:r>
      <w:r w:rsidR="004F4EC9">
        <w:rPr>
          <w:sz w:val="28"/>
          <w:szCs w:val="28"/>
        </w:rPr>
        <w:t>d</w:t>
      </w:r>
      <w:r w:rsidR="00852C4E">
        <w:rPr>
          <w:sz w:val="28"/>
          <w:szCs w:val="28"/>
        </w:rPr>
        <w:t xml:space="preserve"> it</w:t>
      </w:r>
      <w:r w:rsidR="004F4EC9">
        <w:rPr>
          <w:sz w:val="28"/>
          <w:szCs w:val="28"/>
        </w:rPr>
        <w:t>s</w:t>
      </w:r>
      <w:r w:rsidR="00852C4E">
        <w:rPr>
          <w:sz w:val="28"/>
          <w:szCs w:val="28"/>
        </w:rPr>
        <w:t xml:space="preserve"> subrecipients to post </w:t>
      </w:r>
      <w:r w:rsidR="00A162F2">
        <w:rPr>
          <w:sz w:val="28"/>
          <w:szCs w:val="28"/>
        </w:rPr>
        <w:t xml:space="preserve">this poster </w:t>
      </w:r>
      <w:r w:rsidR="00852C4E">
        <w:rPr>
          <w:sz w:val="28"/>
          <w:szCs w:val="28"/>
        </w:rPr>
        <w:t>in all public viewing areas</w:t>
      </w:r>
      <w:r w:rsidR="004F4EC9">
        <w:rPr>
          <w:sz w:val="28"/>
          <w:szCs w:val="28"/>
        </w:rPr>
        <w:t>.</w:t>
      </w:r>
      <w:r w:rsidR="00852C4E">
        <w:rPr>
          <w:sz w:val="28"/>
          <w:szCs w:val="28"/>
        </w:rPr>
        <w:t xml:space="preserve"> </w:t>
      </w:r>
      <w:r w:rsidR="00A162F2">
        <w:rPr>
          <w:sz w:val="28"/>
          <w:szCs w:val="28"/>
        </w:rPr>
        <w:t xml:space="preserve"> </w:t>
      </w:r>
      <w:r w:rsidR="004F4EC9">
        <w:rPr>
          <w:sz w:val="28"/>
          <w:szCs w:val="28"/>
        </w:rPr>
        <w:t>H</w:t>
      </w:r>
      <w:r w:rsidR="00852C4E">
        <w:rPr>
          <w:sz w:val="28"/>
          <w:szCs w:val="28"/>
        </w:rPr>
        <w:t xml:space="preserve">owever, the poster </w:t>
      </w:r>
      <w:r w:rsidR="009102A5">
        <w:rPr>
          <w:sz w:val="28"/>
          <w:szCs w:val="28"/>
        </w:rPr>
        <w:t xml:space="preserve">was entitled </w:t>
      </w:r>
      <w:r w:rsidR="009102A5" w:rsidRPr="009102A5">
        <w:rPr>
          <w:i/>
          <w:sz w:val="28"/>
          <w:szCs w:val="28"/>
        </w:rPr>
        <w:t>Equal Employment Opportunity is THE LAW</w:t>
      </w:r>
      <w:r w:rsidR="009102A5">
        <w:rPr>
          <w:sz w:val="28"/>
          <w:szCs w:val="28"/>
        </w:rPr>
        <w:t xml:space="preserve"> and </w:t>
      </w:r>
      <w:r w:rsidR="00852C4E">
        <w:rPr>
          <w:sz w:val="28"/>
          <w:szCs w:val="28"/>
        </w:rPr>
        <w:t xml:space="preserve">referenced </w:t>
      </w:r>
      <w:r w:rsidR="009102A5">
        <w:rPr>
          <w:sz w:val="28"/>
          <w:szCs w:val="28"/>
        </w:rPr>
        <w:t xml:space="preserve">primarily </w:t>
      </w:r>
      <w:r w:rsidR="00852C4E">
        <w:rPr>
          <w:sz w:val="28"/>
          <w:szCs w:val="28"/>
        </w:rPr>
        <w:t xml:space="preserve">Equal Employment </w:t>
      </w:r>
      <w:r w:rsidR="004F4EC9">
        <w:rPr>
          <w:sz w:val="28"/>
          <w:szCs w:val="28"/>
        </w:rPr>
        <w:t>O</w:t>
      </w:r>
      <w:r w:rsidR="00852C4E">
        <w:rPr>
          <w:sz w:val="28"/>
          <w:szCs w:val="28"/>
        </w:rPr>
        <w:t>pportunities, not Title VI.</w:t>
      </w:r>
      <w:r w:rsidR="00D732D6">
        <w:rPr>
          <w:sz w:val="28"/>
          <w:szCs w:val="28"/>
        </w:rPr>
        <w:t xml:space="preserve">  </w:t>
      </w:r>
      <w:r w:rsidR="004D1A92">
        <w:rPr>
          <w:sz w:val="28"/>
          <w:szCs w:val="28"/>
        </w:rPr>
        <w:t>The poster is shown on the next page.</w:t>
      </w:r>
    </w:p>
    <w:p w:rsidR="004D1A92" w:rsidRDefault="004D1A92">
      <w:pPr>
        <w:spacing w:line="360" w:lineRule="auto"/>
        <w:rPr>
          <w:sz w:val="28"/>
          <w:szCs w:val="28"/>
        </w:rPr>
      </w:pPr>
    </w:p>
    <w:p w:rsidR="004D1A92" w:rsidRDefault="004D1A92" w:rsidP="004D1A92">
      <w:pPr>
        <w:jc w:val="center"/>
        <w:rPr>
          <w:sz w:val="28"/>
          <w:szCs w:val="28"/>
        </w:rPr>
      </w:pPr>
      <w:r>
        <w:rPr>
          <w:sz w:val="28"/>
          <w:szCs w:val="28"/>
        </w:rPr>
        <w:br w:type="page"/>
      </w:r>
      <w:r>
        <w:rPr>
          <w:noProof/>
          <w:sz w:val="28"/>
          <w:szCs w:val="28"/>
        </w:rPr>
        <w:lastRenderedPageBreak/>
        <w:drawing>
          <wp:inline distT="0" distB="0" distL="0" distR="0">
            <wp:extent cx="4133850" cy="5305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133850" cy="5305425"/>
                    </a:xfrm>
                    <a:prstGeom prst="rect">
                      <a:avLst/>
                    </a:prstGeom>
                    <a:noFill/>
                    <a:ln w="9525">
                      <a:noFill/>
                      <a:miter lim="800000"/>
                      <a:headEnd/>
                      <a:tailEnd/>
                    </a:ln>
                  </pic:spPr>
                </pic:pic>
              </a:graphicData>
            </a:graphic>
          </wp:inline>
        </w:drawing>
      </w:r>
    </w:p>
    <w:p w:rsidR="004D1A92" w:rsidRDefault="004D1A92">
      <w:pPr>
        <w:spacing w:line="360" w:lineRule="auto"/>
        <w:rPr>
          <w:sz w:val="28"/>
          <w:szCs w:val="28"/>
        </w:rPr>
      </w:pPr>
    </w:p>
    <w:p w:rsidR="00852C4E" w:rsidRDefault="00D732D6">
      <w:pPr>
        <w:spacing w:line="360" w:lineRule="auto"/>
        <w:rPr>
          <w:sz w:val="28"/>
          <w:szCs w:val="28"/>
        </w:rPr>
      </w:pPr>
      <w:r>
        <w:rPr>
          <w:sz w:val="28"/>
          <w:szCs w:val="28"/>
        </w:rPr>
        <w:t xml:space="preserve">UDOT also indicated that </w:t>
      </w:r>
      <w:r w:rsidR="000671C0">
        <w:rPr>
          <w:sz w:val="28"/>
          <w:szCs w:val="28"/>
        </w:rPr>
        <w:t xml:space="preserve">the SMP </w:t>
      </w:r>
      <w:r w:rsidR="004F4EC9">
        <w:rPr>
          <w:sz w:val="28"/>
          <w:szCs w:val="28"/>
        </w:rPr>
        <w:t>wa</w:t>
      </w:r>
      <w:r w:rsidR="000671C0">
        <w:rPr>
          <w:sz w:val="28"/>
          <w:szCs w:val="28"/>
        </w:rPr>
        <w:t>s available on the UDOT website for the public to reference UDOT’s Title VI policies and procedures</w:t>
      </w:r>
      <w:r w:rsidR="00180653">
        <w:rPr>
          <w:sz w:val="28"/>
          <w:szCs w:val="28"/>
        </w:rPr>
        <w:t>.  However, UDOT’s SMP d</w:t>
      </w:r>
      <w:r w:rsidR="004F4EC9">
        <w:rPr>
          <w:sz w:val="28"/>
          <w:szCs w:val="28"/>
        </w:rPr>
        <w:t>id</w:t>
      </w:r>
      <w:r w:rsidR="00180653">
        <w:rPr>
          <w:sz w:val="28"/>
          <w:szCs w:val="28"/>
        </w:rPr>
        <w:t xml:space="preserve"> not provide a </w:t>
      </w:r>
      <w:r w:rsidR="009102A5">
        <w:rPr>
          <w:sz w:val="28"/>
          <w:szCs w:val="28"/>
        </w:rPr>
        <w:t>N</w:t>
      </w:r>
      <w:r w:rsidR="00180653">
        <w:rPr>
          <w:sz w:val="28"/>
          <w:szCs w:val="28"/>
        </w:rPr>
        <w:t xml:space="preserve">otice to </w:t>
      </w:r>
      <w:r w:rsidR="009102A5">
        <w:rPr>
          <w:sz w:val="28"/>
          <w:szCs w:val="28"/>
        </w:rPr>
        <w:t>B</w:t>
      </w:r>
      <w:r w:rsidR="00180653">
        <w:rPr>
          <w:sz w:val="28"/>
          <w:szCs w:val="28"/>
        </w:rPr>
        <w:t>eneficiaries as required by FTA Circular 4702.1</w:t>
      </w:r>
      <w:r w:rsidR="004F4EC9">
        <w:rPr>
          <w:sz w:val="28"/>
          <w:szCs w:val="28"/>
        </w:rPr>
        <w:t>A</w:t>
      </w:r>
      <w:r w:rsidR="00180653">
        <w:rPr>
          <w:sz w:val="28"/>
          <w:szCs w:val="28"/>
        </w:rPr>
        <w:t>.  The UDOT SMP Section 4.9 Civil Rights reads as follows:</w:t>
      </w:r>
    </w:p>
    <w:p w:rsidR="00180653" w:rsidRPr="00736965" w:rsidRDefault="00180653" w:rsidP="00736965">
      <w:pPr>
        <w:pStyle w:val="Default"/>
        <w:ind w:left="720"/>
        <w:rPr>
          <w:rFonts w:ascii="Times New Roman" w:hAnsi="Times New Roman" w:cs="Times New Roman"/>
          <w:b/>
          <w:bCs/>
          <w:i/>
          <w:sz w:val="22"/>
          <w:szCs w:val="22"/>
        </w:rPr>
      </w:pPr>
      <w:r w:rsidRPr="00736965">
        <w:rPr>
          <w:rFonts w:ascii="Times New Roman" w:hAnsi="Times New Roman" w:cs="Times New Roman"/>
          <w:b/>
          <w:bCs/>
          <w:i/>
          <w:sz w:val="28"/>
          <w:szCs w:val="28"/>
        </w:rPr>
        <w:t>4.9 C</w:t>
      </w:r>
      <w:r w:rsidRPr="00736965">
        <w:rPr>
          <w:rFonts w:ascii="Times New Roman" w:hAnsi="Times New Roman" w:cs="Times New Roman"/>
          <w:b/>
          <w:bCs/>
          <w:i/>
          <w:sz w:val="22"/>
          <w:szCs w:val="22"/>
        </w:rPr>
        <w:t xml:space="preserve">IVIL </w:t>
      </w:r>
      <w:r w:rsidRPr="00736965">
        <w:rPr>
          <w:rFonts w:ascii="Times New Roman" w:hAnsi="Times New Roman" w:cs="Times New Roman"/>
          <w:b/>
          <w:bCs/>
          <w:i/>
          <w:sz w:val="28"/>
          <w:szCs w:val="28"/>
        </w:rPr>
        <w:t>R</w:t>
      </w:r>
      <w:r w:rsidRPr="00736965">
        <w:rPr>
          <w:rFonts w:ascii="Times New Roman" w:hAnsi="Times New Roman" w:cs="Times New Roman"/>
          <w:b/>
          <w:bCs/>
          <w:i/>
          <w:sz w:val="22"/>
          <w:szCs w:val="22"/>
        </w:rPr>
        <w:t>IGHTS</w:t>
      </w:r>
    </w:p>
    <w:p w:rsidR="00180653" w:rsidRPr="00736965" w:rsidRDefault="00180653" w:rsidP="00736965">
      <w:pPr>
        <w:pStyle w:val="Default"/>
        <w:ind w:left="720"/>
        <w:rPr>
          <w:rFonts w:ascii="Times New Roman" w:hAnsi="Times New Roman" w:cs="Times New Roman"/>
          <w:i/>
          <w:sz w:val="23"/>
          <w:szCs w:val="23"/>
        </w:rPr>
      </w:pPr>
    </w:p>
    <w:p w:rsidR="00180653" w:rsidRPr="00736965" w:rsidRDefault="00180653" w:rsidP="00736965">
      <w:pPr>
        <w:pStyle w:val="Default"/>
        <w:ind w:left="720"/>
        <w:rPr>
          <w:rFonts w:ascii="Times New Roman" w:hAnsi="Times New Roman" w:cs="Times New Roman"/>
          <w:i/>
          <w:sz w:val="23"/>
          <w:szCs w:val="23"/>
        </w:rPr>
      </w:pPr>
      <w:r w:rsidRPr="00736965">
        <w:rPr>
          <w:rFonts w:ascii="Times New Roman" w:hAnsi="Times New Roman" w:cs="Times New Roman"/>
          <w:i/>
          <w:sz w:val="23"/>
          <w:szCs w:val="23"/>
        </w:rPr>
        <w:t xml:space="preserve">UDOT adheres to Federal Civil Rights requirements through agency monitoring and </w:t>
      </w:r>
      <w:proofErr w:type="gramStart"/>
      <w:r w:rsidRPr="00736965">
        <w:rPr>
          <w:rFonts w:ascii="Times New Roman" w:hAnsi="Times New Roman" w:cs="Times New Roman"/>
          <w:i/>
          <w:sz w:val="23"/>
          <w:szCs w:val="23"/>
        </w:rPr>
        <w:t>administration,</w:t>
      </w:r>
      <w:proofErr w:type="gramEnd"/>
      <w:r w:rsidRPr="00736965">
        <w:rPr>
          <w:rFonts w:ascii="Times New Roman" w:hAnsi="Times New Roman" w:cs="Times New Roman"/>
          <w:i/>
          <w:sz w:val="23"/>
          <w:szCs w:val="23"/>
        </w:rPr>
        <w:t xml:space="preserve"> and the establishment of a Title VI program plan. </w:t>
      </w:r>
    </w:p>
    <w:p w:rsidR="00180653" w:rsidRPr="00736965" w:rsidRDefault="00180653" w:rsidP="00736965">
      <w:pPr>
        <w:pStyle w:val="Default"/>
        <w:ind w:left="720"/>
        <w:rPr>
          <w:rFonts w:ascii="Times New Roman" w:hAnsi="Times New Roman" w:cs="Times New Roman"/>
          <w:i/>
          <w:sz w:val="23"/>
          <w:szCs w:val="23"/>
        </w:rPr>
      </w:pPr>
    </w:p>
    <w:p w:rsidR="00180653" w:rsidRPr="00736965" w:rsidRDefault="00180653" w:rsidP="00736965">
      <w:pPr>
        <w:pStyle w:val="Default"/>
        <w:ind w:left="720"/>
        <w:rPr>
          <w:rFonts w:ascii="Times New Roman" w:hAnsi="Times New Roman" w:cs="Times New Roman"/>
          <w:i/>
          <w:sz w:val="23"/>
          <w:szCs w:val="23"/>
        </w:rPr>
      </w:pPr>
      <w:r w:rsidRPr="00736965">
        <w:rPr>
          <w:rFonts w:ascii="Times New Roman" w:hAnsi="Times New Roman" w:cs="Times New Roman"/>
          <w:i/>
          <w:sz w:val="23"/>
          <w:szCs w:val="23"/>
        </w:rPr>
        <w:t xml:space="preserve">The PTT also maintains a records file of Section 5310, 5311, 5316, and 5317 Program funding requests that identifies applicants that are minority organizations or provides </w:t>
      </w:r>
      <w:r w:rsidRPr="00736965">
        <w:rPr>
          <w:rFonts w:ascii="Times New Roman" w:hAnsi="Times New Roman" w:cs="Times New Roman"/>
          <w:i/>
          <w:sz w:val="23"/>
          <w:szCs w:val="23"/>
        </w:rPr>
        <w:lastRenderedPageBreak/>
        <w:t xml:space="preserve">assistance to minority communities. In order to reach out to minority organizations and inform them of the opportunity to participate in Section programs, the Department will provide annual notices of the availability of funding to all known transit operators, including Indian tribes and minority organizations. Additionally, statewide media coverage is facilitated through Public Notice advertisements. </w:t>
      </w:r>
    </w:p>
    <w:p w:rsidR="00180653" w:rsidRPr="00736965" w:rsidRDefault="00180653" w:rsidP="00736965">
      <w:pPr>
        <w:pStyle w:val="Default"/>
        <w:ind w:left="720"/>
        <w:rPr>
          <w:rFonts w:ascii="Times New Roman" w:hAnsi="Times New Roman" w:cs="Times New Roman"/>
          <w:i/>
          <w:sz w:val="23"/>
          <w:szCs w:val="23"/>
        </w:rPr>
      </w:pPr>
    </w:p>
    <w:p w:rsidR="00180653" w:rsidRPr="00736965" w:rsidRDefault="00180653" w:rsidP="00736965">
      <w:pPr>
        <w:pStyle w:val="Default"/>
        <w:ind w:left="720"/>
        <w:rPr>
          <w:rFonts w:ascii="Times New Roman" w:hAnsi="Times New Roman" w:cs="Times New Roman"/>
          <w:i/>
          <w:sz w:val="23"/>
          <w:szCs w:val="23"/>
        </w:rPr>
      </w:pPr>
      <w:r w:rsidRPr="00736965">
        <w:rPr>
          <w:rFonts w:ascii="Times New Roman" w:hAnsi="Times New Roman" w:cs="Times New Roman"/>
          <w:i/>
          <w:sz w:val="23"/>
          <w:szCs w:val="23"/>
        </w:rPr>
        <w:t>4</w:t>
      </w:r>
      <w:r w:rsidRPr="00736965">
        <w:rPr>
          <w:rFonts w:ascii="Times New Roman" w:hAnsi="Times New Roman" w:cs="Times New Roman"/>
          <w:b/>
          <w:i/>
          <w:sz w:val="23"/>
          <w:szCs w:val="23"/>
        </w:rPr>
        <w:t>.9.1 Agency Monitoring and Administration</w:t>
      </w:r>
      <w:r w:rsidRPr="00736965">
        <w:rPr>
          <w:rFonts w:ascii="Times New Roman" w:hAnsi="Times New Roman" w:cs="Times New Roman"/>
          <w:i/>
          <w:sz w:val="23"/>
          <w:szCs w:val="23"/>
        </w:rPr>
        <w:t xml:space="preserve">: UDOT complied with the requirements of Federal Civil Rights on April 29, 1988 by executing and filing a one-time assurance with FTA. Subrecipients are required to file with the Department similar assurances in agreement form. The assurances in the agreement are written as follows: </w:t>
      </w:r>
    </w:p>
    <w:p w:rsidR="00180653" w:rsidRPr="00736965" w:rsidRDefault="00180653" w:rsidP="00736965">
      <w:pPr>
        <w:pStyle w:val="Default"/>
        <w:ind w:left="720"/>
        <w:rPr>
          <w:rFonts w:ascii="Times New Roman" w:hAnsi="Times New Roman" w:cs="Times New Roman"/>
          <w:i/>
          <w:sz w:val="23"/>
          <w:szCs w:val="23"/>
        </w:rPr>
      </w:pPr>
    </w:p>
    <w:p w:rsidR="00180653" w:rsidRPr="00736965" w:rsidRDefault="00180653" w:rsidP="00736965">
      <w:pPr>
        <w:pStyle w:val="Default"/>
        <w:ind w:left="720"/>
        <w:rPr>
          <w:rFonts w:ascii="Times New Roman" w:hAnsi="Times New Roman" w:cs="Times New Roman"/>
          <w:i/>
          <w:sz w:val="23"/>
          <w:szCs w:val="23"/>
        </w:rPr>
      </w:pPr>
      <w:r w:rsidRPr="00736965">
        <w:rPr>
          <w:rFonts w:ascii="Times New Roman" w:hAnsi="Times New Roman" w:cs="Times New Roman"/>
          <w:i/>
          <w:sz w:val="23"/>
          <w:szCs w:val="23"/>
        </w:rPr>
        <w:t xml:space="preserve">“As a condition of receiving federal financial assistance under the UMTA Mass Transportation Act of 1964, as amended, it will ensure that: </w:t>
      </w:r>
    </w:p>
    <w:p w:rsidR="00180653" w:rsidRPr="00736965" w:rsidRDefault="00180653" w:rsidP="00736965">
      <w:pPr>
        <w:pStyle w:val="Default"/>
        <w:ind w:left="720"/>
        <w:rPr>
          <w:rFonts w:ascii="Times New Roman" w:hAnsi="Times New Roman" w:cs="Times New Roman"/>
          <w:i/>
          <w:sz w:val="23"/>
          <w:szCs w:val="23"/>
        </w:rPr>
      </w:pPr>
    </w:p>
    <w:p w:rsidR="00180653" w:rsidRPr="00736965" w:rsidRDefault="00180653" w:rsidP="00736965">
      <w:pPr>
        <w:pStyle w:val="Default"/>
        <w:spacing w:after="142"/>
        <w:ind w:left="720"/>
        <w:rPr>
          <w:rFonts w:ascii="Times New Roman" w:hAnsi="Times New Roman" w:cs="Times New Roman"/>
          <w:i/>
          <w:sz w:val="23"/>
          <w:szCs w:val="23"/>
        </w:rPr>
      </w:pPr>
      <w:r w:rsidRPr="00736965">
        <w:rPr>
          <w:rFonts w:ascii="Times New Roman" w:hAnsi="Times New Roman" w:cs="Times New Roman"/>
          <w:i/>
          <w:sz w:val="23"/>
          <w:szCs w:val="23"/>
        </w:rPr>
        <w:t xml:space="preserve">A. No person on the basis of race, color, or national origin will be subjected to discrimination in the level and quality of transportation services and transit-related benefits. </w:t>
      </w:r>
    </w:p>
    <w:p w:rsidR="00180653" w:rsidRPr="00736965" w:rsidRDefault="00180653" w:rsidP="00736965">
      <w:pPr>
        <w:pStyle w:val="Default"/>
        <w:spacing w:after="142"/>
        <w:ind w:left="720"/>
        <w:rPr>
          <w:rFonts w:ascii="Times New Roman" w:hAnsi="Times New Roman" w:cs="Times New Roman"/>
          <w:i/>
          <w:sz w:val="23"/>
          <w:szCs w:val="23"/>
        </w:rPr>
      </w:pPr>
      <w:r w:rsidRPr="00736965">
        <w:rPr>
          <w:rFonts w:ascii="Times New Roman" w:hAnsi="Times New Roman" w:cs="Times New Roman"/>
          <w:i/>
          <w:sz w:val="23"/>
          <w:szCs w:val="23"/>
        </w:rPr>
        <w:t xml:space="preserve">B. The agency will compile, maintain, and submit in a timely manner Title VI information required by UMTA Circular 4702.1 and in compliance with the Department of Transportation’s Title VI regulation, 49 CFR Part 21.9. </w:t>
      </w:r>
    </w:p>
    <w:p w:rsidR="00180653" w:rsidRPr="00736965" w:rsidRDefault="00180653" w:rsidP="00736965">
      <w:pPr>
        <w:pStyle w:val="Default"/>
        <w:ind w:left="720"/>
        <w:rPr>
          <w:rFonts w:ascii="Times New Roman" w:hAnsi="Times New Roman" w:cs="Times New Roman"/>
          <w:i/>
          <w:sz w:val="23"/>
          <w:szCs w:val="23"/>
        </w:rPr>
      </w:pPr>
      <w:r w:rsidRPr="00736965">
        <w:rPr>
          <w:rFonts w:ascii="Times New Roman" w:hAnsi="Times New Roman" w:cs="Times New Roman"/>
          <w:i/>
          <w:sz w:val="23"/>
          <w:szCs w:val="23"/>
        </w:rPr>
        <w:t xml:space="preserve">C. The agency will make it known to the public that those person or persons of transportation services and transit-related benefits may file a complaint with the Federal Transit Administration and/or the U.S. Department of Transportation.” </w:t>
      </w:r>
    </w:p>
    <w:p w:rsidR="00180653" w:rsidRPr="00736965" w:rsidRDefault="00180653" w:rsidP="00736965">
      <w:pPr>
        <w:pStyle w:val="Default"/>
        <w:ind w:left="720"/>
        <w:rPr>
          <w:rFonts w:ascii="Times New Roman" w:hAnsi="Times New Roman" w:cs="Times New Roman"/>
          <w:i/>
          <w:sz w:val="23"/>
          <w:szCs w:val="23"/>
        </w:rPr>
      </w:pPr>
    </w:p>
    <w:p w:rsidR="00180653" w:rsidRPr="00736965" w:rsidRDefault="00180653" w:rsidP="00736965">
      <w:pPr>
        <w:pStyle w:val="Default"/>
        <w:ind w:left="720"/>
        <w:rPr>
          <w:rFonts w:ascii="Times New Roman" w:hAnsi="Times New Roman" w:cs="Times New Roman"/>
          <w:i/>
          <w:sz w:val="23"/>
          <w:szCs w:val="23"/>
        </w:rPr>
      </w:pPr>
      <w:r w:rsidRPr="00736965">
        <w:rPr>
          <w:rFonts w:ascii="Times New Roman" w:hAnsi="Times New Roman" w:cs="Times New Roman"/>
          <w:b/>
          <w:i/>
          <w:sz w:val="23"/>
          <w:szCs w:val="23"/>
        </w:rPr>
        <w:t>4.9.2</w:t>
      </w:r>
      <w:r w:rsidRPr="00736965">
        <w:rPr>
          <w:rFonts w:ascii="Times New Roman" w:hAnsi="Times New Roman" w:cs="Times New Roman"/>
          <w:i/>
          <w:sz w:val="23"/>
          <w:szCs w:val="23"/>
        </w:rPr>
        <w:t xml:space="preserve"> </w:t>
      </w:r>
      <w:r w:rsidRPr="00736965">
        <w:rPr>
          <w:rFonts w:ascii="Times New Roman" w:hAnsi="Times New Roman" w:cs="Times New Roman"/>
          <w:b/>
          <w:i/>
          <w:sz w:val="23"/>
          <w:szCs w:val="23"/>
        </w:rPr>
        <w:t>Title VI Program Plan</w:t>
      </w:r>
      <w:r w:rsidRPr="00736965">
        <w:rPr>
          <w:rFonts w:ascii="Times New Roman" w:hAnsi="Times New Roman" w:cs="Times New Roman"/>
          <w:i/>
          <w:sz w:val="23"/>
          <w:szCs w:val="23"/>
        </w:rPr>
        <w:t xml:space="preserve">: All UDOT offices (including the central and field offices), program areas, field divisions, and subrecipients are required to adhere to the programs established by the UDOT Title VI Plan. The Title VI plan is administered and monitored by the Department’s Title VI Coordinator. The Title VI plan responds to Title VI of the Civil Rights Act of 1964, which prohibits discrimination “on the grounds of race, color, creed, national origin, sex, age, or disability.” It is also in compliance with the Civil Rights Restoration Act of 1987 that established that Title VI is applicable to all programs and activities of federal aid recipients and contractors, whether those programs and activities are federally funded or not. </w:t>
      </w:r>
    </w:p>
    <w:p w:rsidR="00180653" w:rsidRPr="00736965" w:rsidRDefault="00180653" w:rsidP="00736965">
      <w:pPr>
        <w:pStyle w:val="Default"/>
        <w:ind w:left="720"/>
        <w:rPr>
          <w:rFonts w:ascii="Times New Roman" w:hAnsi="Times New Roman" w:cs="Times New Roman"/>
          <w:i/>
          <w:sz w:val="23"/>
          <w:szCs w:val="23"/>
        </w:rPr>
      </w:pPr>
    </w:p>
    <w:p w:rsidR="00180653" w:rsidRPr="00736965" w:rsidRDefault="00180653" w:rsidP="00736965">
      <w:pPr>
        <w:ind w:left="720"/>
        <w:rPr>
          <w:i/>
        </w:rPr>
      </w:pPr>
      <w:r w:rsidRPr="00736965">
        <w:rPr>
          <w:i/>
          <w:sz w:val="23"/>
          <w:szCs w:val="23"/>
        </w:rPr>
        <w:t>The Title VI Coordinator is in the Civil Rights section of the Construction Division and has designees in several offices throughout the Department. The program plan establishes each designee’s and department’s responsibilities for ensuring the adequate distribution of Title VI information, monitoring and documentation of each department’s conduct, resolution of any deficiencies, and preparation of an annual report submitted to the USDOT, FTA, and FHWA on Title VI accomplishments.</w:t>
      </w:r>
    </w:p>
    <w:p w:rsidR="00180653" w:rsidRDefault="00180653">
      <w:pPr>
        <w:spacing w:line="360" w:lineRule="auto"/>
        <w:rPr>
          <w:sz w:val="28"/>
          <w:szCs w:val="28"/>
        </w:rPr>
      </w:pPr>
    </w:p>
    <w:p w:rsidR="00A379AD" w:rsidRDefault="00A379AD">
      <w:pPr>
        <w:rPr>
          <w:sz w:val="28"/>
          <w:szCs w:val="28"/>
        </w:rPr>
      </w:pPr>
      <w:r>
        <w:rPr>
          <w:sz w:val="28"/>
          <w:szCs w:val="28"/>
        </w:rPr>
        <w:br w:type="page"/>
      </w:r>
    </w:p>
    <w:p w:rsidR="00085F3E" w:rsidRDefault="003D19DD" w:rsidP="007C38C5">
      <w:pPr>
        <w:spacing w:line="360" w:lineRule="auto"/>
      </w:pPr>
      <w:r>
        <w:rPr>
          <w:sz w:val="28"/>
          <w:szCs w:val="28"/>
        </w:rPr>
        <w:lastRenderedPageBreak/>
        <w:t>As noted below, UDOT’s S</w:t>
      </w:r>
      <w:r w:rsidR="00DB132C">
        <w:rPr>
          <w:sz w:val="28"/>
          <w:szCs w:val="28"/>
        </w:rPr>
        <w:t>tate Management Plan (SMP)</w:t>
      </w:r>
      <w:r w:rsidR="00A61832">
        <w:rPr>
          <w:sz w:val="28"/>
          <w:szCs w:val="28"/>
        </w:rPr>
        <w:t xml:space="preserve"> </w:t>
      </w:r>
      <w:r w:rsidR="00085F3E">
        <w:rPr>
          <w:sz w:val="28"/>
          <w:szCs w:val="28"/>
        </w:rPr>
        <w:t xml:space="preserve">did not </w:t>
      </w:r>
      <w:r>
        <w:rPr>
          <w:sz w:val="28"/>
          <w:szCs w:val="28"/>
        </w:rPr>
        <w:t xml:space="preserve">include all the elements required in a Title VI </w:t>
      </w:r>
      <w:r w:rsidR="004F4EC9">
        <w:rPr>
          <w:sz w:val="28"/>
          <w:szCs w:val="28"/>
        </w:rPr>
        <w:t>N</w:t>
      </w:r>
      <w:r>
        <w:rPr>
          <w:sz w:val="28"/>
          <w:szCs w:val="28"/>
        </w:rPr>
        <w:t xml:space="preserve">otification to </w:t>
      </w:r>
      <w:r w:rsidR="004F4EC9">
        <w:rPr>
          <w:sz w:val="28"/>
          <w:szCs w:val="28"/>
        </w:rPr>
        <w:t>B</w:t>
      </w:r>
      <w:r>
        <w:rPr>
          <w:sz w:val="28"/>
          <w:szCs w:val="28"/>
        </w:rPr>
        <w:t xml:space="preserve">eneficiaries: </w:t>
      </w:r>
    </w:p>
    <w:p w:rsidR="00085F3E" w:rsidRDefault="00085F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498"/>
        <w:gridCol w:w="2808"/>
      </w:tblGrid>
      <w:tr w:rsidR="00F80A8D" w:rsidTr="00C7537A">
        <w:trPr>
          <w:tblHeader/>
        </w:trPr>
        <w:tc>
          <w:tcPr>
            <w:tcW w:w="6498" w:type="dxa"/>
          </w:tcPr>
          <w:p w:rsidR="00F80A8D" w:rsidRDefault="00F80A8D">
            <w:pPr>
              <w:rPr>
                <w:b/>
                <w:bCs/>
                <w:sz w:val="24"/>
                <w:szCs w:val="28"/>
              </w:rPr>
            </w:pPr>
            <w:r>
              <w:rPr>
                <w:b/>
                <w:bCs/>
                <w:sz w:val="28"/>
                <w:szCs w:val="28"/>
              </w:rPr>
              <w:br w:type="page"/>
            </w:r>
            <w:r>
              <w:rPr>
                <w:b/>
                <w:bCs/>
                <w:sz w:val="24"/>
                <w:szCs w:val="28"/>
              </w:rPr>
              <w:t>Elements Required in Title VI Notification</w:t>
            </w:r>
          </w:p>
          <w:p w:rsidR="00F80A8D" w:rsidRDefault="00F80A8D">
            <w:pPr>
              <w:rPr>
                <w:b/>
                <w:bCs/>
                <w:sz w:val="22"/>
                <w:szCs w:val="28"/>
              </w:rPr>
            </w:pPr>
            <w:r>
              <w:rPr>
                <w:b/>
                <w:bCs/>
                <w:sz w:val="22"/>
                <w:szCs w:val="28"/>
              </w:rPr>
              <w:t>(Per FTA Circular 4702.1A Chapter IV Section 5.a)</w:t>
            </w:r>
          </w:p>
        </w:tc>
        <w:tc>
          <w:tcPr>
            <w:tcW w:w="2808" w:type="dxa"/>
          </w:tcPr>
          <w:p w:rsidR="00F80A8D" w:rsidRDefault="00F80A8D" w:rsidP="003D19DD">
            <w:pPr>
              <w:jc w:val="center"/>
              <w:rPr>
                <w:b/>
                <w:bCs/>
                <w:sz w:val="24"/>
                <w:szCs w:val="28"/>
              </w:rPr>
            </w:pPr>
            <w:r>
              <w:rPr>
                <w:b/>
                <w:bCs/>
                <w:sz w:val="24"/>
                <w:szCs w:val="28"/>
              </w:rPr>
              <w:t xml:space="preserve">Included in </w:t>
            </w:r>
            <w:r w:rsidR="006C274C">
              <w:rPr>
                <w:b/>
                <w:bCs/>
                <w:sz w:val="24"/>
                <w:szCs w:val="28"/>
              </w:rPr>
              <w:t>UDOT</w:t>
            </w:r>
            <w:r>
              <w:rPr>
                <w:b/>
                <w:bCs/>
                <w:sz w:val="24"/>
                <w:szCs w:val="28"/>
              </w:rPr>
              <w:t xml:space="preserve"> </w:t>
            </w:r>
            <w:r w:rsidR="003D19DD">
              <w:rPr>
                <w:b/>
                <w:bCs/>
                <w:sz w:val="24"/>
                <w:szCs w:val="28"/>
              </w:rPr>
              <w:t>SMP</w:t>
            </w:r>
            <w:r>
              <w:rPr>
                <w:b/>
                <w:bCs/>
                <w:sz w:val="24"/>
                <w:szCs w:val="28"/>
              </w:rPr>
              <w:t>?</w:t>
            </w:r>
          </w:p>
        </w:tc>
      </w:tr>
      <w:tr w:rsidR="00F80A8D" w:rsidTr="00C7537A">
        <w:tc>
          <w:tcPr>
            <w:tcW w:w="6498" w:type="dxa"/>
          </w:tcPr>
          <w:p w:rsidR="00F80A8D" w:rsidRDefault="00F80A8D">
            <w:pPr>
              <w:rPr>
                <w:sz w:val="22"/>
                <w:szCs w:val="28"/>
              </w:rPr>
            </w:pPr>
            <w:r>
              <w:rPr>
                <w:sz w:val="22"/>
                <w:szCs w:val="28"/>
              </w:rPr>
              <w:t>A statement that the agency operates programs without regard to race, color, and national origin</w:t>
            </w:r>
          </w:p>
        </w:tc>
        <w:tc>
          <w:tcPr>
            <w:tcW w:w="2808" w:type="dxa"/>
            <w:tcBorders>
              <w:bottom w:val="single" w:sz="4" w:space="0" w:color="000000"/>
            </w:tcBorders>
          </w:tcPr>
          <w:p w:rsidR="00F80A8D" w:rsidRPr="00B95DAC" w:rsidRDefault="009102A5">
            <w:pPr>
              <w:jc w:val="center"/>
              <w:rPr>
                <w:sz w:val="22"/>
                <w:szCs w:val="28"/>
              </w:rPr>
            </w:pPr>
            <w:r>
              <w:rPr>
                <w:sz w:val="22"/>
                <w:szCs w:val="28"/>
              </w:rPr>
              <w:t>Yes</w:t>
            </w:r>
          </w:p>
        </w:tc>
      </w:tr>
      <w:tr w:rsidR="00F80A8D" w:rsidTr="00C7537A">
        <w:tc>
          <w:tcPr>
            <w:tcW w:w="6498" w:type="dxa"/>
          </w:tcPr>
          <w:p w:rsidR="00F80A8D" w:rsidRDefault="00F80A8D">
            <w:pPr>
              <w:rPr>
                <w:sz w:val="22"/>
                <w:szCs w:val="28"/>
              </w:rPr>
            </w:pPr>
            <w:r>
              <w:rPr>
                <w:sz w:val="22"/>
                <w:szCs w:val="28"/>
              </w:rPr>
              <w:t>A description of the procedures that members of the public should follow in order to request additional information on the recipient’s nondiscrimination obligations</w:t>
            </w:r>
          </w:p>
        </w:tc>
        <w:tc>
          <w:tcPr>
            <w:tcW w:w="2808" w:type="dxa"/>
          </w:tcPr>
          <w:p w:rsidR="00F80A8D" w:rsidRPr="00B95DAC" w:rsidRDefault="00523022">
            <w:pPr>
              <w:jc w:val="center"/>
              <w:rPr>
                <w:sz w:val="22"/>
                <w:szCs w:val="28"/>
              </w:rPr>
            </w:pPr>
            <w:r>
              <w:rPr>
                <w:sz w:val="22"/>
                <w:szCs w:val="28"/>
              </w:rPr>
              <w:t>No</w:t>
            </w:r>
          </w:p>
        </w:tc>
      </w:tr>
      <w:tr w:rsidR="00F80A8D" w:rsidTr="00C7537A">
        <w:tc>
          <w:tcPr>
            <w:tcW w:w="6498" w:type="dxa"/>
          </w:tcPr>
          <w:p w:rsidR="00F80A8D" w:rsidRDefault="00F80A8D">
            <w:pPr>
              <w:rPr>
                <w:sz w:val="22"/>
                <w:szCs w:val="28"/>
              </w:rPr>
            </w:pPr>
            <w:r>
              <w:rPr>
                <w:sz w:val="22"/>
                <w:szCs w:val="28"/>
              </w:rPr>
              <w:t>A description of the procedures that members of the public should follow in order to file a discrimination complaint against the recipient.</w:t>
            </w:r>
          </w:p>
        </w:tc>
        <w:tc>
          <w:tcPr>
            <w:tcW w:w="2808" w:type="dxa"/>
          </w:tcPr>
          <w:p w:rsidR="00F80A8D" w:rsidRPr="00B95DAC" w:rsidRDefault="003D19DD">
            <w:pPr>
              <w:jc w:val="center"/>
              <w:rPr>
                <w:sz w:val="22"/>
                <w:szCs w:val="28"/>
              </w:rPr>
            </w:pPr>
            <w:r>
              <w:rPr>
                <w:sz w:val="22"/>
                <w:szCs w:val="28"/>
              </w:rPr>
              <w:t>No</w:t>
            </w:r>
          </w:p>
        </w:tc>
      </w:tr>
    </w:tbl>
    <w:p w:rsidR="00F80A8D" w:rsidRDefault="00F80A8D">
      <w:pPr>
        <w:ind w:left="360"/>
        <w:rPr>
          <w:sz w:val="28"/>
          <w:szCs w:val="28"/>
        </w:rPr>
      </w:pPr>
    </w:p>
    <w:p w:rsidR="00F80A8D" w:rsidRDefault="00F80A8D">
      <w:pPr>
        <w:spacing w:line="360" w:lineRule="auto"/>
        <w:rPr>
          <w:sz w:val="28"/>
          <w:szCs w:val="28"/>
        </w:rPr>
      </w:pPr>
      <w:r w:rsidRPr="000D3659">
        <w:rPr>
          <w:sz w:val="28"/>
          <w:szCs w:val="28"/>
        </w:rPr>
        <w:t xml:space="preserve">At the time of the Compliance Review site visit, </w:t>
      </w:r>
      <w:r w:rsidR="003D19DD">
        <w:rPr>
          <w:sz w:val="28"/>
          <w:szCs w:val="28"/>
        </w:rPr>
        <w:t xml:space="preserve">the SMP </w:t>
      </w:r>
      <w:r w:rsidR="009102A5">
        <w:rPr>
          <w:sz w:val="28"/>
          <w:szCs w:val="28"/>
        </w:rPr>
        <w:t>availa</w:t>
      </w:r>
      <w:r w:rsidR="003D19DD">
        <w:rPr>
          <w:sz w:val="28"/>
          <w:szCs w:val="28"/>
        </w:rPr>
        <w:t>ble on</w:t>
      </w:r>
      <w:r w:rsidR="00A379AD">
        <w:rPr>
          <w:sz w:val="28"/>
          <w:szCs w:val="28"/>
        </w:rPr>
        <w:t xml:space="preserve"> UDOT’s website</w:t>
      </w:r>
      <w:r w:rsidR="003D19DD">
        <w:rPr>
          <w:sz w:val="28"/>
          <w:szCs w:val="28"/>
        </w:rPr>
        <w:t xml:space="preserve"> was dated July 2009 and marked as an Administrative Draft.  </w:t>
      </w:r>
    </w:p>
    <w:p w:rsidR="00E75576" w:rsidRPr="00085F3E" w:rsidRDefault="00E75576" w:rsidP="00AD0841">
      <w:pPr>
        <w:spacing w:line="360" w:lineRule="auto"/>
        <w:rPr>
          <w:sz w:val="28"/>
          <w:szCs w:val="28"/>
        </w:rPr>
      </w:pPr>
    </w:p>
    <w:p w:rsidR="00AD0841" w:rsidRDefault="00E75576">
      <w:pPr>
        <w:spacing w:line="360" w:lineRule="auto"/>
        <w:rPr>
          <w:sz w:val="28"/>
          <w:szCs w:val="28"/>
        </w:rPr>
      </w:pPr>
      <w:r w:rsidRPr="00E75576">
        <w:rPr>
          <w:b/>
          <w:bCs/>
          <w:sz w:val="28"/>
          <w:szCs w:val="28"/>
        </w:rPr>
        <w:t xml:space="preserve">Corrective Actions and Schedules: </w:t>
      </w:r>
      <w:r w:rsidRPr="00E75576">
        <w:rPr>
          <w:sz w:val="28"/>
          <w:szCs w:val="28"/>
        </w:rPr>
        <w:t xml:space="preserve">Within 90 days, </w:t>
      </w:r>
      <w:r w:rsidR="006C274C">
        <w:rPr>
          <w:sz w:val="28"/>
          <w:szCs w:val="28"/>
        </w:rPr>
        <w:t>UDOT</w:t>
      </w:r>
      <w:r w:rsidRPr="00E75576">
        <w:rPr>
          <w:sz w:val="28"/>
          <w:szCs w:val="28"/>
        </w:rPr>
        <w:t xml:space="preserve"> must submit to the </w:t>
      </w:r>
      <w:r w:rsidR="00DE71F1" w:rsidRPr="00C00537">
        <w:rPr>
          <w:sz w:val="28"/>
          <w:szCs w:val="28"/>
        </w:rPr>
        <w:t xml:space="preserve">FTA </w:t>
      </w:r>
      <w:r w:rsidR="00DE71F1">
        <w:rPr>
          <w:sz w:val="28"/>
          <w:szCs w:val="28"/>
        </w:rPr>
        <w:t>Equal Opportunity Specialist in FTA’s Headquarters Office of Civil Rights</w:t>
      </w:r>
      <w:r w:rsidR="00DE71F1" w:rsidRPr="00E75576">
        <w:rPr>
          <w:sz w:val="28"/>
          <w:szCs w:val="28"/>
        </w:rPr>
        <w:t xml:space="preserve"> </w:t>
      </w:r>
      <w:r w:rsidR="00751820" w:rsidRPr="00751820">
        <w:rPr>
          <w:sz w:val="28"/>
          <w:szCs w:val="28"/>
        </w:rPr>
        <w:t xml:space="preserve">an updated </w:t>
      </w:r>
      <w:r w:rsidR="009102A5">
        <w:rPr>
          <w:sz w:val="28"/>
          <w:szCs w:val="28"/>
        </w:rPr>
        <w:t>N</w:t>
      </w:r>
      <w:r w:rsidR="00751820" w:rsidRPr="00751820">
        <w:rPr>
          <w:sz w:val="28"/>
          <w:szCs w:val="28"/>
        </w:rPr>
        <w:t xml:space="preserve">otice to </w:t>
      </w:r>
      <w:r w:rsidR="009102A5">
        <w:rPr>
          <w:sz w:val="28"/>
          <w:szCs w:val="28"/>
        </w:rPr>
        <w:t>B</w:t>
      </w:r>
      <w:r w:rsidR="00751820" w:rsidRPr="00751820">
        <w:rPr>
          <w:sz w:val="28"/>
          <w:szCs w:val="28"/>
        </w:rPr>
        <w:t xml:space="preserve">eneficiaries that </w:t>
      </w:r>
      <w:r w:rsidR="003D19DD">
        <w:rPr>
          <w:sz w:val="28"/>
          <w:szCs w:val="28"/>
        </w:rPr>
        <w:t>includes all the elements required by FTA Circular 4702.1</w:t>
      </w:r>
      <w:r w:rsidR="004F4EC9">
        <w:rPr>
          <w:sz w:val="28"/>
          <w:szCs w:val="28"/>
        </w:rPr>
        <w:t>A</w:t>
      </w:r>
      <w:r w:rsidR="00751820" w:rsidRPr="00751820">
        <w:rPr>
          <w:sz w:val="28"/>
          <w:szCs w:val="28"/>
        </w:rPr>
        <w:t xml:space="preserve">. </w:t>
      </w:r>
      <w:r w:rsidR="006C274C">
        <w:rPr>
          <w:sz w:val="28"/>
          <w:szCs w:val="28"/>
        </w:rPr>
        <w:t>UDOT</w:t>
      </w:r>
      <w:r w:rsidR="00751820" w:rsidRPr="00751820">
        <w:rPr>
          <w:sz w:val="28"/>
          <w:szCs w:val="28"/>
        </w:rPr>
        <w:t xml:space="preserve"> must </w:t>
      </w:r>
      <w:r w:rsidR="00751820">
        <w:rPr>
          <w:sz w:val="28"/>
          <w:szCs w:val="28"/>
        </w:rPr>
        <w:t xml:space="preserve">provide documentation that it has </w:t>
      </w:r>
      <w:r w:rsidR="00751820" w:rsidRPr="00751820">
        <w:rPr>
          <w:sz w:val="28"/>
          <w:szCs w:val="28"/>
        </w:rPr>
        <w:t>distribute</w:t>
      </w:r>
      <w:r w:rsidR="00751820">
        <w:rPr>
          <w:sz w:val="28"/>
          <w:szCs w:val="28"/>
        </w:rPr>
        <w:t>d</w:t>
      </w:r>
      <w:r w:rsidR="00751820" w:rsidRPr="00751820">
        <w:rPr>
          <w:sz w:val="28"/>
          <w:szCs w:val="28"/>
        </w:rPr>
        <w:t xml:space="preserve"> the revised </w:t>
      </w:r>
      <w:r w:rsidR="009102A5">
        <w:rPr>
          <w:sz w:val="28"/>
          <w:szCs w:val="28"/>
        </w:rPr>
        <w:t>N</w:t>
      </w:r>
      <w:r w:rsidR="00751820" w:rsidRPr="00751820">
        <w:rPr>
          <w:sz w:val="28"/>
          <w:szCs w:val="28"/>
        </w:rPr>
        <w:t>otice to the public</w:t>
      </w:r>
      <w:r w:rsidR="00751820">
        <w:rPr>
          <w:sz w:val="28"/>
          <w:szCs w:val="28"/>
        </w:rPr>
        <w:t xml:space="preserve"> in a manner other than its website</w:t>
      </w:r>
      <w:r w:rsidR="00751820" w:rsidRPr="00751820">
        <w:rPr>
          <w:sz w:val="28"/>
          <w:szCs w:val="28"/>
        </w:rPr>
        <w:t>.</w:t>
      </w:r>
      <w:r w:rsidR="00751820">
        <w:rPr>
          <w:sz w:val="28"/>
          <w:szCs w:val="28"/>
        </w:rPr>
        <w:t xml:space="preserve"> </w:t>
      </w:r>
      <w:r w:rsidR="006C274C">
        <w:rPr>
          <w:sz w:val="28"/>
          <w:szCs w:val="28"/>
        </w:rPr>
        <w:t>UDOT</w:t>
      </w:r>
      <w:r w:rsidR="00751820">
        <w:rPr>
          <w:sz w:val="28"/>
          <w:szCs w:val="28"/>
        </w:rPr>
        <w:t xml:space="preserve"> must document that its subrecipients have distributed </w:t>
      </w:r>
      <w:r w:rsidR="00751820" w:rsidRPr="00751820">
        <w:rPr>
          <w:sz w:val="28"/>
          <w:szCs w:val="28"/>
        </w:rPr>
        <w:t xml:space="preserve">an updated </w:t>
      </w:r>
      <w:r w:rsidR="009102A5">
        <w:rPr>
          <w:sz w:val="28"/>
          <w:szCs w:val="28"/>
        </w:rPr>
        <w:t>N</w:t>
      </w:r>
      <w:r w:rsidR="00751820" w:rsidRPr="00751820">
        <w:rPr>
          <w:sz w:val="28"/>
          <w:szCs w:val="28"/>
        </w:rPr>
        <w:t xml:space="preserve">otice to </w:t>
      </w:r>
      <w:r w:rsidR="009102A5">
        <w:rPr>
          <w:sz w:val="28"/>
          <w:szCs w:val="28"/>
        </w:rPr>
        <w:t>B</w:t>
      </w:r>
      <w:r w:rsidR="00751820" w:rsidRPr="00751820">
        <w:rPr>
          <w:sz w:val="28"/>
          <w:szCs w:val="28"/>
        </w:rPr>
        <w:t xml:space="preserve">eneficiaries that </w:t>
      </w:r>
      <w:r w:rsidR="003D19DD">
        <w:rPr>
          <w:sz w:val="28"/>
          <w:szCs w:val="28"/>
        </w:rPr>
        <w:t>includes all the required elements</w:t>
      </w:r>
      <w:r w:rsidR="00751820" w:rsidRPr="00751820">
        <w:rPr>
          <w:sz w:val="28"/>
          <w:szCs w:val="28"/>
        </w:rPr>
        <w:t>.</w:t>
      </w:r>
    </w:p>
    <w:p w:rsidR="00A379AD" w:rsidRDefault="00A379AD">
      <w:pPr>
        <w:spacing w:line="360" w:lineRule="auto"/>
        <w:rPr>
          <w:sz w:val="28"/>
          <w:szCs w:val="28"/>
        </w:rPr>
      </w:pPr>
    </w:p>
    <w:p w:rsidR="00F80A8D" w:rsidRDefault="00F80A8D">
      <w:pPr>
        <w:pStyle w:val="BHLevel2"/>
        <w:spacing w:line="360" w:lineRule="auto"/>
        <w:rPr>
          <w:sz w:val="28"/>
          <w:szCs w:val="28"/>
        </w:rPr>
      </w:pPr>
      <w:bookmarkStart w:id="18" w:name="_Toc253152158"/>
      <w:r>
        <w:rPr>
          <w:sz w:val="28"/>
          <w:szCs w:val="28"/>
        </w:rPr>
        <w:t>Annual Title VI Certification and Assurance</w:t>
      </w:r>
      <w:bookmarkEnd w:id="18"/>
    </w:p>
    <w:p w:rsidR="00F80A8D" w:rsidRDefault="00F80A8D">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lastRenderedPageBreak/>
        <w:t>Findings:</w:t>
      </w:r>
      <w:r>
        <w:rPr>
          <w:sz w:val="28"/>
          <w:szCs w:val="28"/>
        </w:rPr>
        <w:t xml:space="preserve"> During this Title VI Compliance Review of </w:t>
      </w:r>
      <w:r w:rsidR="006C274C">
        <w:rPr>
          <w:sz w:val="28"/>
          <w:szCs w:val="28"/>
        </w:rPr>
        <w:t>UDOT</w:t>
      </w:r>
      <w:r>
        <w:rPr>
          <w:sz w:val="28"/>
          <w:szCs w:val="28"/>
        </w:rPr>
        <w:t xml:space="preserve">, no deficiencies were found regarding </w:t>
      </w:r>
      <w:r w:rsidR="006C274C">
        <w:rPr>
          <w:sz w:val="28"/>
          <w:szCs w:val="28"/>
        </w:rPr>
        <w:t>UDOT</w:t>
      </w:r>
      <w:r>
        <w:rPr>
          <w:sz w:val="28"/>
          <w:szCs w:val="28"/>
        </w:rPr>
        <w:t xml:space="preserve">’s compliance with FTA requirements for Annual Title VI Certification and Assurance.  The FTA Civil Rights Assurance is incorporated in the Annual Certifications and Assurances submitted annually to FTA through the Transportation Electronic Award and Management (TEAM) system.  </w:t>
      </w:r>
      <w:r w:rsidR="006C274C">
        <w:rPr>
          <w:sz w:val="28"/>
          <w:szCs w:val="28"/>
        </w:rPr>
        <w:t>UDOT</w:t>
      </w:r>
      <w:r w:rsidR="00541B4B">
        <w:rPr>
          <w:sz w:val="28"/>
          <w:szCs w:val="28"/>
        </w:rPr>
        <w:t xml:space="preserve"> executed its </w:t>
      </w:r>
      <w:r w:rsidR="00541B4B" w:rsidRPr="00AF7BCD">
        <w:rPr>
          <w:sz w:val="28"/>
          <w:szCs w:val="28"/>
        </w:rPr>
        <w:t>FY 2010</w:t>
      </w:r>
      <w:r>
        <w:rPr>
          <w:sz w:val="28"/>
          <w:szCs w:val="28"/>
        </w:rPr>
        <w:t xml:space="preserve"> Annual Certifications and A</w:t>
      </w:r>
      <w:r w:rsidR="00541B4B">
        <w:rPr>
          <w:sz w:val="28"/>
          <w:szCs w:val="28"/>
        </w:rPr>
        <w:t xml:space="preserve">ssurances in TEAM on </w:t>
      </w:r>
      <w:r w:rsidR="00C923AB">
        <w:rPr>
          <w:sz w:val="28"/>
          <w:szCs w:val="28"/>
        </w:rPr>
        <w:t>November 3, 2009</w:t>
      </w:r>
      <w:r>
        <w:rPr>
          <w:sz w:val="28"/>
          <w:szCs w:val="28"/>
        </w:rPr>
        <w:t xml:space="preserve">.  </w:t>
      </w:r>
      <w:r w:rsidR="006C274C">
        <w:rPr>
          <w:sz w:val="28"/>
          <w:szCs w:val="28"/>
        </w:rPr>
        <w:t>UDOT</w:t>
      </w:r>
      <w:r>
        <w:rPr>
          <w:sz w:val="28"/>
          <w:szCs w:val="28"/>
        </w:rPr>
        <w:t xml:space="preserve"> checked as applicable, </w:t>
      </w:r>
      <w:r>
        <w:rPr>
          <w:i/>
          <w:iCs/>
          <w:sz w:val="28"/>
          <w:szCs w:val="28"/>
        </w:rPr>
        <w:t>01 Assurances Required For Each Applicant</w:t>
      </w:r>
      <w:r>
        <w:rPr>
          <w:sz w:val="28"/>
          <w:szCs w:val="28"/>
        </w:rPr>
        <w:t xml:space="preserve">.  This is the category where the nondiscrimination assurance is located. </w:t>
      </w:r>
      <w:r w:rsidR="00A60F6D">
        <w:rPr>
          <w:sz w:val="28"/>
          <w:szCs w:val="28"/>
        </w:rPr>
        <w:t xml:space="preserve"> </w:t>
      </w:r>
    </w:p>
    <w:p w:rsidR="00740062" w:rsidRDefault="00740062">
      <w:pPr>
        <w:spacing w:line="360" w:lineRule="auto"/>
        <w:rPr>
          <w:sz w:val="28"/>
          <w:szCs w:val="28"/>
        </w:rPr>
      </w:pPr>
    </w:p>
    <w:p w:rsidR="00F80A8D" w:rsidRDefault="00F80A8D">
      <w:pPr>
        <w:pStyle w:val="BHLevel2"/>
        <w:spacing w:line="360" w:lineRule="auto"/>
        <w:rPr>
          <w:sz w:val="28"/>
          <w:szCs w:val="28"/>
        </w:rPr>
      </w:pPr>
      <w:bookmarkStart w:id="19" w:name="_Toc253152159"/>
      <w:r>
        <w:rPr>
          <w:sz w:val="28"/>
          <w:szCs w:val="28"/>
        </w:rPr>
        <w:t>Environmental Justice Analysis of Construction Projects</w:t>
      </w:r>
      <w:bookmarkEnd w:id="19"/>
    </w:p>
    <w:p w:rsidR="00F80A8D" w:rsidRDefault="00F80A8D">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F80A8D" w:rsidRDefault="00F80A8D">
      <w:pPr>
        <w:spacing w:line="360" w:lineRule="auto"/>
        <w:rPr>
          <w:sz w:val="28"/>
          <w:szCs w:val="28"/>
        </w:rPr>
      </w:pPr>
    </w:p>
    <w:p w:rsidR="00622C18" w:rsidRDefault="00F80A8D">
      <w:pPr>
        <w:spacing w:line="360" w:lineRule="auto"/>
        <w:rPr>
          <w:sz w:val="28"/>
          <w:szCs w:val="28"/>
        </w:rPr>
      </w:pPr>
      <w:r>
        <w:rPr>
          <w:b/>
          <w:sz w:val="28"/>
          <w:szCs w:val="28"/>
        </w:rPr>
        <w:t>Findings:</w:t>
      </w:r>
      <w:r>
        <w:rPr>
          <w:sz w:val="28"/>
          <w:szCs w:val="28"/>
        </w:rPr>
        <w:t xml:space="preserve"> During this Title VI Compliance Review of </w:t>
      </w:r>
      <w:r w:rsidR="006C274C">
        <w:rPr>
          <w:sz w:val="28"/>
          <w:szCs w:val="28"/>
        </w:rPr>
        <w:t>UDOT</w:t>
      </w:r>
      <w:r>
        <w:rPr>
          <w:sz w:val="28"/>
          <w:szCs w:val="28"/>
        </w:rPr>
        <w:t xml:space="preserve">, </w:t>
      </w:r>
      <w:r w:rsidR="00A92E80">
        <w:rPr>
          <w:sz w:val="28"/>
          <w:szCs w:val="28"/>
        </w:rPr>
        <w:t xml:space="preserve">no </w:t>
      </w:r>
      <w:r w:rsidR="00913B7A">
        <w:rPr>
          <w:sz w:val="28"/>
          <w:szCs w:val="28"/>
        </w:rPr>
        <w:t>deficiencies were found</w:t>
      </w:r>
      <w:r w:rsidR="003A78A3">
        <w:rPr>
          <w:sz w:val="28"/>
          <w:szCs w:val="28"/>
        </w:rPr>
        <w:t xml:space="preserve"> </w:t>
      </w:r>
      <w:r>
        <w:rPr>
          <w:sz w:val="28"/>
          <w:szCs w:val="28"/>
        </w:rPr>
        <w:t xml:space="preserve">regarding </w:t>
      </w:r>
      <w:r w:rsidR="006C274C">
        <w:rPr>
          <w:sz w:val="28"/>
          <w:szCs w:val="28"/>
        </w:rPr>
        <w:t>UDOT</w:t>
      </w:r>
      <w:r>
        <w:rPr>
          <w:sz w:val="28"/>
          <w:szCs w:val="28"/>
        </w:rPr>
        <w:t>’s compliance with FTA guidance for Environmental Justice (EJ) Anal</w:t>
      </w:r>
      <w:r w:rsidR="004F4EC9">
        <w:rPr>
          <w:sz w:val="28"/>
          <w:szCs w:val="28"/>
        </w:rPr>
        <w:t xml:space="preserve">yses of Construction Projects.  During </w:t>
      </w:r>
      <w:r w:rsidR="008330FB">
        <w:rPr>
          <w:sz w:val="28"/>
          <w:szCs w:val="28"/>
        </w:rPr>
        <w:t xml:space="preserve">the </w:t>
      </w:r>
      <w:r w:rsidR="004F4EC9">
        <w:rPr>
          <w:sz w:val="28"/>
          <w:szCs w:val="28"/>
        </w:rPr>
        <w:t>Review</w:t>
      </w:r>
      <w:r w:rsidR="008330FB">
        <w:rPr>
          <w:sz w:val="28"/>
          <w:szCs w:val="28"/>
        </w:rPr>
        <w:t xml:space="preserve">, </w:t>
      </w:r>
      <w:r w:rsidR="006C274C">
        <w:rPr>
          <w:sz w:val="28"/>
          <w:szCs w:val="28"/>
        </w:rPr>
        <w:t>UDOT</w:t>
      </w:r>
      <w:r w:rsidR="006D4F26">
        <w:rPr>
          <w:sz w:val="28"/>
          <w:szCs w:val="28"/>
        </w:rPr>
        <w:t xml:space="preserve"> </w:t>
      </w:r>
      <w:r w:rsidR="004F4EC9">
        <w:rPr>
          <w:sz w:val="28"/>
          <w:szCs w:val="28"/>
        </w:rPr>
        <w:t>indicated that it had three active construction projects:</w:t>
      </w:r>
    </w:p>
    <w:p w:rsidR="004F4EC9" w:rsidRDefault="004F4EC9">
      <w:pPr>
        <w:spacing w:line="360" w:lineRule="auto"/>
        <w:rPr>
          <w:sz w:val="28"/>
          <w:szCs w:val="28"/>
        </w:rPr>
      </w:pPr>
    </w:p>
    <w:p w:rsidR="004F4EC9" w:rsidRPr="004F4EC9" w:rsidRDefault="004F4EC9" w:rsidP="004F4EC9">
      <w:pPr>
        <w:pStyle w:val="ListParagraph"/>
        <w:numPr>
          <w:ilvl w:val="0"/>
          <w:numId w:val="45"/>
        </w:numPr>
        <w:spacing w:line="360" w:lineRule="auto"/>
        <w:rPr>
          <w:sz w:val="28"/>
          <w:szCs w:val="28"/>
        </w:rPr>
      </w:pPr>
      <w:r w:rsidRPr="004F4EC9">
        <w:rPr>
          <w:sz w:val="28"/>
          <w:szCs w:val="28"/>
        </w:rPr>
        <w:t>Cache Valley Transit Department – Addition to Administration Building</w:t>
      </w:r>
    </w:p>
    <w:p w:rsidR="004F4EC9" w:rsidRPr="004F4EC9" w:rsidRDefault="004F4EC9" w:rsidP="004F4EC9">
      <w:pPr>
        <w:pStyle w:val="ListParagraph"/>
        <w:numPr>
          <w:ilvl w:val="0"/>
          <w:numId w:val="45"/>
        </w:numPr>
        <w:spacing w:line="360" w:lineRule="auto"/>
        <w:rPr>
          <w:sz w:val="28"/>
          <w:szCs w:val="28"/>
        </w:rPr>
      </w:pPr>
      <w:r w:rsidRPr="004F4EC9">
        <w:rPr>
          <w:sz w:val="28"/>
          <w:szCs w:val="28"/>
        </w:rPr>
        <w:t>Park City Transit – Vehicle and Maintenance Facility</w:t>
      </w:r>
    </w:p>
    <w:p w:rsidR="004F4EC9" w:rsidRPr="004F4EC9" w:rsidRDefault="004F4EC9" w:rsidP="004F4EC9">
      <w:pPr>
        <w:pStyle w:val="ListParagraph"/>
        <w:numPr>
          <w:ilvl w:val="0"/>
          <w:numId w:val="45"/>
        </w:numPr>
        <w:spacing w:line="360" w:lineRule="auto"/>
        <w:rPr>
          <w:sz w:val="28"/>
          <w:szCs w:val="28"/>
        </w:rPr>
      </w:pPr>
      <w:r w:rsidRPr="004F4EC9">
        <w:rPr>
          <w:sz w:val="28"/>
          <w:szCs w:val="28"/>
        </w:rPr>
        <w:t>Cedar Area Transit – Vehicle Storage and Maintenance Bay</w:t>
      </w:r>
    </w:p>
    <w:p w:rsidR="004F4EC9" w:rsidRDefault="004F4EC9">
      <w:pPr>
        <w:spacing w:line="360" w:lineRule="auto"/>
        <w:rPr>
          <w:sz w:val="28"/>
          <w:szCs w:val="28"/>
        </w:rPr>
      </w:pPr>
    </w:p>
    <w:p w:rsidR="004F4EC9" w:rsidRDefault="004F4EC9">
      <w:pPr>
        <w:spacing w:line="360" w:lineRule="auto"/>
        <w:rPr>
          <w:sz w:val="28"/>
          <w:szCs w:val="28"/>
        </w:rPr>
      </w:pPr>
      <w:r>
        <w:rPr>
          <w:sz w:val="28"/>
          <w:szCs w:val="28"/>
        </w:rPr>
        <w:t xml:space="preserve">All of the projects </w:t>
      </w:r>
      <w:r w:rsidR="00F249D9">
        <w:rPr>
          <w:sz w:val="28"/>
          <w:szCs w:val="28"/>
        </w:rPr>
        <w:t>qualified for</w:t>
      </w:r>
      <w:r>
        <w:rPr>
          <w:sz w:val="28"/>
          <w:szCs w:val="28"/>
        </w:rPr>
        <w:t xml:space="preserve"> Categorical Exclusions (CE) and were approved by FTA Region VIII. </w:t>
      </w:r>
    </w:p>
    <w:p w:rsidR="004F4EC9" w:rsidRDefault="004F4EC9">
      <w:pPr>
        <w:spacing w:line="360" w:lineRule="auto"/>
        <w:rPr>
          <w:sz w:val="28"/>
          <w:szCs w:val="28"/>
        </w:rPr>
      </w:pPr>
    </w:p>
    <w:p w:rsidR="00931BC1" w:rsidRDefault="006C274C" w:rsidP="00D73550">
      <w:pPr>
        <w:spacing w:line="360" w:lineRule="auto"/>
        <w:rPr>
          <w:sz w:val="28"/>
          <w:szCs w:val="28"/>
        </w:rPr>
      </w:pPr>
      <w:r w:rsidRPr="000D3659">
        <w:rPr>
          <w:sz w:val="28"/>
          <w:szCs w:val="28"/>
        </w:rPr>
        <w:t>UDOT</w:t>
      </w:r>
      <w:r w:rsidR="00931BC1" w:rsidRPr="000D3659">
        <w:rPr>
          <w:sz w:val="28"/>
          <w:szCs w:val="28"/>
        </w:rPr>
        <w:t xml:space="preserve"> </w:t>
      </w:r>
      <w:r w:rsidR="00F249D9">
        <w:rPr>
          <w:sz w:val="28"/>
          <w:szCs w:val="28"/>
        </w:rPr>
        <w:t>wa</w:t>
      </w:r>
      <w:r w:rsidR="00931BC1" w:rsidRPr="000D3659">
        <w:rPr>
          <w:sz w:val="28"/>
          <w:szCs w:val="28"/>
        </w:rPr>
        <w:t xml:space="preserve">s advised </w:t>
      </w:r>
      <w:r w:rsidR="00F249D9">
        <w:rPr>
          <w:sz w:val="28"/>
          <w:szCs w:val="28"/>
        </w:rPr>
        <w:t xml:space="preserve">for future projects </w:t>
      </w:r>
      <w:r w:rsidR="00931BC1" w:rsidRPr="000D3659">
        <w:rPr>
          <w:sz w:val="28"/>
          <w:szCs w:val="28"/>
        </w:rPr>
        <w:t xml:space="preserve">that the requirements for an EJ analysis </w:t>
      </w:r>
      <w:r w:rsidR="00F249D9">
        <w:rPr>
          <w:sz w:val="28"/>
          <w:szCs w:val="28"/>
        </w:rPr>
        <w:t>were</w:t>
      </w:r>
      <w:r w:rsidR="00931BC1" w:rsidRPr="000D3659">
        <w:rPr>
          <w:sz w:val="28"/>
          <w:szCs w:val="28"/>
        </w:rPr>
        <w:t xml:space="preserve"> revised with the issuance of FTA Circular 4702.1A.  These requirements are noted below:</w:t>
      </w:r>
      <w:r w:rsidR="00931BC1">
        <w:rPr>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478"/>
      </w:tblGrid>
      <w:tr w:rsidR="00931BC1" w:rsidTr="00931BC1">
        <w:trPr>
          <w:tblHeader/>
          <w:jc w:val="center"/>
        </w:trPr>
        <w:tc>
          <w:tcPr>
            <w:tcW w:w="8478" w:type="dxa"/>
          </w:tcPr>
          <w:p w:rsidR="00931BC1" w:rsidRDefault="00931BC1" w:rsidP="005E03C5">
            <w:pPr>
              <w:rPr>
                <w:b/>
                <w:bCs/>
                <w:sz w:val="24"/>
                <w:szCs w:val="28"/>
              </w:rPr>
            </w:pPr>
            <w:r>
              <w:rPr>
                <w:b/>
                <w:bCs/>
                <w:sz w:val="28"/>
                <w:szCs w:val="28"/>
              </w:rPr>
              <w:br w:type="page"/>
            </w:r>
            <w:r>
              <w:rPr>
                <w:b/>
                <w:bCs/>
                <w:sz w:val="24"/>
                <w:szCs w:val="28"/>
              </w:rPr>
              <w:t>Elements Required in Environmental Justice Analysis of Construction Projects</w:t>
            </w:r>
          </w:p>
          <w:p w:rsidR="00931BC1" w:rsidRDefault="00931BC1" w:rsidP="005E03C5">
            <w:pPr>
              <w:rPr>
                <w:b/>
                <w:bCs/>
                <w:sz w:val="22"/>
                <w:szCs w:val="28"/>
              </w:rPr>
            </w:pPr>
            <w:r>
              <w:rPr>
                <w:b/>
                <w:bCs/>
                <w:sz w:val="22"/>
                <w:szCs w:val="28"/>
              </w:rPr>
              <w:t>(Per FTA Circular 4702.1A Chapter IV, 8a-f)</w:t>
            </w:r>
          </w:p>
        </w:tc>
      </w:tr>
      <w:tr w:rsidR="00931BC1" w:rsidTr="00931BC1">
        <w:trPr>
          <w:jc w:val="center"/>
        </w:trPr>
        <w:tc>
          <w:tcPr>
            <w:tcW w:w="8478" w:type="dxa"/>
          </w:tcPr>
          <w:p w:rsidR="00931BC1" w:rsidRDefault="00931BC1" w:rsidP="0064099D">
            <w:pPr>
              <w:numPr>
                <w:ilvl w:val="0"/>
                <w:numId w:val="20"/>
              </w:numPr>
              <w:rPr>
                <w:sz w:val="22"/>
                <w:szCs w:val="22"/>
              </w:rPr>
            </w:pPr>
            <w:r>
              <w:rPr>
                <w:sz w:val="22"/>
                <w:szCs w:val="22"/>
              </w:rPr>
              <w:t>A description of the low-income and minority population within the study area affected by the project, and a discussion of the method used to identify this population</w:t>
            </w:r>
          </w:p>
        </w:tc>
      </w:tr>
      <w:tr w:rsidR="00931BC1" w:rsidTr="00931BC1">
        <w:trPr>
          <w:trHeight w:val="845"/>
          <w:jc w:val="center"/>
        </w:trPr>
        <w:tc>
          <w:tcPr>
            <w:tcW w:w="8478" w:type="dxa"/>
          </w:tcPr>
          <w:p w:rsidR="00931BC1" w:rsidRDefault="00931BC1" w:rsidP="002235F3">
            <w:pPr>
              <w:pStyle w:val="Outlinea"/>
              <w:numPr>
                <w:ilvl w:val="0"/>
                <w:numId w:val="20"/>
              </w:numPr>
              <w:spacing w:after="0"/>
              <w:rPr>
                <w:sz w:val="22"/>
                <w:szCs w:val="28"/>
              </w:rPr>
            </w:pPr>
            <w:r>
              <w:t>A discussion of all adverse effects of the project both during and after construction that would affect the identified minority and low-income population.</w:t>
            </w:r>
          </w:p>
        </w:tc>
      </w:tr>
      <w:tr w:rsidR="00931BC1" w:rsidTr="00931BC1">
        <w:trPr>
          <w:jc w:val="center"/>
        </w:trPr>
        <w:tc>
          <w:tcPr>
            <w:tcW w:w="8478" w:type="dxa"/>
          </w:tcPr>
          <w:p w:rsidR="00931BC1" w:rsidRDefault="00931BC1" w:rsidP="0064099D">
            <w:pPr>
              <w:numPr>
                <w:ilvl w:val="0"/>
                <w:numId w:val="20"/>
              </w:numPr>
              <w:rPr>
                <w:sz w:val="22"/>
                <w:szCs w:val="22"/>
              </w:rPr>
            </w:pPr>
            <w:r>
              <w:rPr>
                <w:sz w:val="22"/>
                <w:szCs w:val="22"/>
              </w:rPr>
              <w:t>A discussion of all positive effects that would affect the identified minority and low-income population, such as an improvement in transit service, mobility, or accessibility.</w:t>
            </w:r>
          </w:p>
        </w:tc>
      </w:tr>
      <w:tr w:rsidR="00931BC1" w:rsidTr="00931BC1">
        <w:trPr>
          <w:jc w:val="center"/>
        </w:trPr>
        <w:tc>
          <w:tcPr>
            <w:tcW w:w="8478" w:type="dxa"/>
          </w:tcPr>
          <w:p w:rsidR="00931BC1" w:rsidRDefault="00931BC1" w:rsidP="0064099D">
            <w:pPr>
              <w:numPr>
                <w:ilvl w:val="0"/>
                <w:numId w:val="20"/>
              </w:numPr>
              <w:rPr>
                <w:sz w:val="22"/>
                <w:szCs w:val="22"/>
              </w:rPr>
            </w:pPr>
            <w:r>
              <w:rPr>
                <w:sz w:val="22"/>
                <w:szCs w:val="22"/>
              </w:rPr>
              <w:t>A description of all mitigation and environmental enhancement actions incorporated into the project to address the adverse effects, including, but not limited to, any special features of the relocation program that go beyond the requirements of the Uniform Relocation Act and address adverse community effects such as separation or cohesion issues; and the replacement of the community resources destroyed by the project.</w:t>
            </w:r>
          </w:p>
        </w:tc>
      </w:tr>
      <w:tr w:rsidR="00931BC1" w:rsidTr="00931BC1">
        <w:trPr>
          <w:jc w:val="center"/>
        </w:trPr>
        <w:tc>
          <w:tcPr>
            <w:tcW w:w="8478" w:type="dxa"/>
          </w:tcPr>
          <w:p w:rsidR="00931BC1" w:rsidRDefault="00931BC1" w:rsidP="0064099D">
            <w:pPr>
              <w:numPr>
                <w:ilvl w:val="0"/>
                <w:numId w:val="20"/>
              </w:numPr>
              <w:rPr>
                <w:sz w:val="22"/>
                <w:szCs w:val="22"/>
              </w:rPr>
            </w:pPr>
            <w:r>
              <w:rPr>
                <w:sz w:val="22"/>
                <w:szCs w:val="22"/>
              </w:rPr>
              <w:t>A discussion of the remaining effects, if any, and why further mitigation is not proposed.</w:t>
            </w:r>
          </w:p>
        </w:tc>
      </w:tr>
      <w:tr w:rsidR="00931BC1" w:rsidTr="00931BC1">
        <w:trPr>
          <w:jc w:val="center"/>
        </w:trPr>
        <w:tc>
          <w:tcPr>
            <w:tcW w:w="8478" w:type="dxa"/>
          </w:tcPr>
          <w:p w:rsidR="00931BC1" w:rsidRDefault="00931BC1" w:rsidP="0064099D">
            <w:pPr>
              <w:numPr>
                <w:ilvl w:val="0"/>
                <w:numId w:val="20"/>
              </w:numPr>
              <w:rPr>
                <w:sz w:val="22"/>
                <w:szCs w:val="22"/>
              </w:rPr>
            </w:pPr>
            <w:r>
              <w:rPr>
                <w:sz w:val="22"/>
                <w:szCs w:val="22"/>
              </w:rPr>
              <w:t>For projects that traverse predominantly minority and low-income and predominantly non-minority and non-low-income areas, a comparison of mitigation and environmental enhancement actions that affect predominantly low-income and minority areas with mitigation implemented in predominantly non-minority or non-low-income areas.</w:t>
            </w:r>
          </w:p>
        </w:tc>
      </w:tr>
    </w:tbl>
    <w:p w:rsidR="00F80A8D" w:rsidRDefault="00F80A8D">
      <w:pPr>
        <w:spacing w:line="360" w:lineRule="auto"/>
        <w:rPr>
          <w:sz w:val="28"/>
          <w:szCs w:val="28"/>
        </w:rPr>
      </w:pPr>
    </w:p>
    <w:p w:rsidR="00F80A8D" w:rsidRDefault="00F80A8D">
      <w:pPr>
        <w:pStyle w:val="BHLevel2"/>
        <w:spacing w:line="360" w:lineRule="auto"/>
        <w:rPr>
          <w:sz w:val="28"/>
          <w:szCs w:val="28"/>
        </w:rPr>
      </w:pPr>
      <w:bookmarkStart w:id="20" w:name="_Toc253152160"/>
      <w:r>
        <w:rPr>
          <w:sz w:val="28"/>
          <w:szCs w:val="28"/>
        </w:rPr>
        <w:t>Submit Title VI Program</w:t>
      </w:r>
      <w:bookmarkEnd w:id="20"/>
    </w:p>
    <w:p w:rsidR="00F80A8D" w:rsidRDefault="00F80A8D">
      <w:pPr>
        <w:rPr>
          <w:i/>
          <w:iCs/>
          <w:sz w:val="28"/>
          <w:szCs w:val="28"/>
        </w:rPr>
      </w:pPr>
      <w:r>
        <w:rPr>
          <w:b/>
          <w:sz w:val="28"/>
          <w:szCs w:val="28"/>
        </w:rPr>
        <w:t xml:space="preserve">Requirement:  </w:t>
      </w:r>
      <w:r>
        <w:rPr>
          <w:i/>
          <w:iCs/>
          <w:sz w:val="28"/>
          <w:szCs w:val="28"/>
        </w:rPr>
        <w:t>FTA recipients serving large urbanized areas are required to document their compliance with the general reporting requirements by submitting a Title VI Program to FTA’s Regional Civil Rights Officer once every three years.</w:t>
      </w:r>
    </w:p>
    <w:p w:rsidR="00F80A8D" w:rsidRDefault="00F80A8D">
      <w:pPr>
        <w:spacing w:line="360" w:lineRule="auto"/>
        <w:rPr>
          <w:sz w:val="28"/>
          <w:szCs w:val="28"/>
        </w:rPr>
      </w:pPr>
    </w:p>
    <w:p w:rsidR="00A31F82" w:rsidRDefault="00F80A8D">
      <w:pPr>
        <w:spacing w:line="360" w:lineRule="auto"/>
        <w:rPr>
          <w:sz w:val="28"/>
          <w:szCs w:val="28"/>
        </w:rPr>
      </w:pPr>
      <w:r>
        <w:rPr>
          <w:b/>
          <w:sz w:val="28"/>
          <w:szCs w:val="28"/>
        </w:rPr>
        <w:lastRenderedPageBreak/>
        <w:t>Findings:</w:t>
      </w:r>
      <w:r>
        <w:rPr>
          <w:sz w:val="28"/>
          <w:szCs w:val="28"/>
        </w:rPr>
        <w:t xml:space="preserve"> During this Title VI Compliance Review of </w:t>
      </w:r>
      <w:r w:rsidR="006C274C">
        <w:rPr>
          <w:sz w:val="28"/>
          <w:szCs w:val="28"/>
        </w:rPr>
        <w:t>UDOT</w:t>
      </w:r>
      <w:r>
        <w:rPr>
          <w:sz w:val="28"/>
          <w:szCs w:val="28"/>
        </w:rPr>
        <w:t xml:space="preserve">, deficiencies were found regarding </w:t>
      </w:r>
      <w:r w:rsidR="006C274C">
        <w:rPr>
          <w:sz w:val="28"/>
          <w:szCs w:val="28"/>
        </w:rPr>
        <w:t>UDOT</w:t>
      </w:r>
      <w:r>
        <w:rPr>
          <w:sz w:val="28"/>
          <w:szCs w:val="28"/>
        </w:rPr>
        <w:t xml:space="preserve">’s compliance with FTA requirements to Submit Title VI Program.  </w:t>
      </w:r>
      <w:r w:rsidR="00254388">
        <w:rPr>
          <w:sz w:val="28"/>
          <w:szCs w:val="28"/>
        </w:rPr>
        <w:t xml:space="preserve">Prior to the site visit, UDOT provided a </w:t>
      </w:r>
      <w:r w:rsidR="00974787">
        <w:rPr>
          <w:sz w:val="28"/>
          <w:szCs w:val="28"/>
        </w:rPr>
        <w:t xml:space="preserve">document </w:t>
      </w:r>
      <w:r w:rsidR="00520240">
        <w:rPr>
          <w:sz w:val="28"/>
          <w:szCs w:val="28"/>
        </w:rPr>
        <w:t>en</w:t>
      </w:r>
      <w:r w:rsidR="00974787">
        <w:rPr>
          <w:sz w:val="28"/>
          <w:szCs w:val="28"/>
        </w:rPr>
        <w:t xml:space="preserve">titled </w:t>
      </w:r>
      <w:r w:rsidR="00974787" w:rsidRPr="00974787">
        <w:rPr>
          <w:i/>
          <w:sz w:val="28"/>
          <w:szCs w:val="28"/>
        </w:rPr>
        <w:t xml:space="preserve">Utah Department of Transportation, Title VI Program, </w:t>
      </w:r>
      <w:proofErr w:type="gramStart"/>
      <w:r w:rsidR="00974787" w:rsidRPr="00974787">
        <w:rPr>
          <w:i/>
          <w:sz w:val="28"/>
          <w:szCs w:val="28"/>
        </w:rPr>
        <w:t>Non</w:t>
      </w:r>
      <w:proofErr w:type="gramEnd"/>
      <w:r w:rsidR="00974787" w:rsidRPr="00974787">
        <w:rPr>
          <w:i/>
          <w:sz w:val="28"/>
          <w:szCs w:val="28"/>
        </w:rPr>
        <w:t xml:space="preserve"> Discrimination in</w:t>
      </w:r>
      <w:r w:rsidR="00520240">
        <w:rPr>
          <w:i/>
          <w:sz w:val="28"/>
          <w:szCs w:val="28"/>
        </w:rPr>
        <w:t xml:space="preserve"> the Federal Aid Highway Program</w:t>
      </w:r>
      <w:r w:rsidR="00520240">
        <w:rPr>
          <w:sz w:val="28"/>
          <w:szCs w:val="28"/>
        </w:rPr>
        <w:t xml:space="preserve">.  </w:t>
      </w:r>
      <w:r w:rsidR="00974787">
        <w:rPr>
          <w:sz w:val="28"/>
          <w:szCs w:val="28"/>
        </w:rPr>
        <w:t xml:space="preserve">UDOT indicated </w:t>
      </w:r>
      <w:r w:rsidR="00520240">
        <w:rPr>
          <w:sz w:val="28"/>
          <w:szCs w:val="28"/>
        </w:rPr>
        <w:t xml:space="preserve">at the site visit that the document </w:t>
      </w:r>
      <w:r w:rsidR="00974787">
        <w:rPr>
          <w:sz w:val="28"/>
          <w:szCs w:val="28"/>
        </w:rPr>
        <w:t xml:space="preserve">was ten years old and </w:t>
      </w:r>
      <w:r w:rsidR="00F249D9">
        <w:rPr>
          <w:sz w:val="28"/>
          <w:szCs w:val="28"/>
        </w:rPr>
        <w:t xml:space="preserve">was </w:t>
      </w:r>
      <w:r w:rsidR="00974787">
        <w:rPr>
          <w:sz w:val="28"/>
          <w:szCs w:val="28"/>
        </w:rPr>
        <w:t>never finalized.  Upon review of this document, it was determined that th</w:t>
      </w:r>
      <w:r w:rsidR="00ED5931">
        <w:rPr>
          <w:sz w:val="28"/>
          <w:szCs w:val="28"/>
        </w:rPr>
        <w:t>e</w:t>
      </w:r>
      <w:r w:rsidR="00974787">
        <w:rPr>
          <w:sz w:val="28"/>
          <w:szCs w:val="28"/>
        </w:rPr>
        <w:t xml:space="preserve"> Title VI Program </w:t>
      </w:r>
      <w:r w:rsidR="00ED5931">
        <w:rPr>
          <w:sz w:val="28"/>
          <w:szCs w:val="28"/>
        </w:rPr>
        <w:t xml:space="preserve">document </w:t>
      </w:r>
      <w:r w:rsidR="00974787">
        <w:rPr>
          <w:sz w:val="28"/>
          <w:szCs w:val="28"/>
        </w:rPr>
        <w:t xml:space="preserve">was </w:t>
      </w:r>
      <w:r w:rsidR="00520240">
        <w:rPr>
          <w:sz w:val="28"/>
          <w:szCs w:val="28"/>
        </w:rPr>
        <w:t xml:space="preserve">primarily </w:t>
      </w:r>
      <w:r w:rsidR="00974787">
        <w:rPr>
          <w:sz w:val="28"/>
          <w:szCs w:val="28"/>
        </w:rPr>
        <w:t xml:space="preserve">for </w:t>
      </w:r>
      <w:r w:rsidR="00520240">
        <w:rPr>
          <w:sz w:val="28"/>
          <w:szCs w:val="28"/>
        </w:rPr>
        <w:t xml:space="preserve">its </w:t>
      </w:r>
      <w:r w:rsidR="00974787">
        <w:rPr>
          <w:sz w:val="28"/>
          <w:szCs w:val="28"/>
        </w:rPr>
        <w:t>FHWA</w:t>
      </w:r>
      <w:r w:rsidR="00520240">
        <w:rPr>
          <w:sz w:val="28"/>
          <w:szCs w:val="28"/>
        </w:rPr>
        <w:t xml:space="preserve"> Title VI Program,</w:t>
      </w:r>
      <w:r w:rsidR="00974787">
        <w:rPr>
          <w:sz w:val="28"/>
          <w:szCs w:val="28"/>
        </w:rPr>
        <w:t xml:space="preserve"> </w:t>
      </w:r>
      <w:r w:rsidR="00ED5931">
        <w:rPr>
          <w:sz w:val="28"/>
          <w:szCs w:val="28"/>
        </w:rPr>
        <w:t>contained outdated references to the</w:t>
      </w:r>
      <w:r w:rsidR="00974787">
        <w:rPr>
          <w:sz w:val="28"/>
          <w:szCs w:val="28"/>
        </w:rPr>
        <w:t xml:space="preserve"> FTA</w:t>
      </w:r>
      <w:r w:rsidR="00ED5931">
        <w:rPr>
          <w:sz w:val="28"/>
          <w:szCs w:val="28"/>
        </w:rPr>
        <w:t xml:space="preserve"> programs,</w:t>
      </w:r>
      <w:r w:rsidR="00974787">
        <w:rPr>
          <w:sz w:val="28"/>
          <w:szCs w:val="28"/>
        </w:rPr>
        <w:t xml:space="preserve"> and did not contain the elements required by the FTA Circular.  In addition, </w:t>
      </w:r>
      <w:r w:rsidR="006C274C">
        <w:rPr>
          <w:sz w:val="28"/>
          <w:szCs w:val="28"/>
        </w:rPr>
        <w:t>UDOT</w:t>
      </w:r>
      <w:r>
        <w:rPr>
          <w:sz w:val="28"/>
          <w:szCs w:val="28"/>
        </w:rPr>
        <w:t xml:space="preserve"> </w:t>
      </w:r>
      <w:r w:rsidR="00F97516">
        <w:rPr>
          <w:sz w:val="28"/>
          <w:szCs w:val="28"/>
        </w:rPr>
        <w:t>submitted a</w:t>
      </w:r>
      <w:r w:rsidR="00ED5931">
        <w:rPr>
          <w:sz w:val="28"/>
          <w:szCs w:val="28"/>
        </w:rPr>
        <w:t xml:space="preserve"> document entitled</w:t>
      </w:r>
      <w:r w:rsidR="00974787">
        <w:rPr>
          <w:i/>
          <w:sz w:val="28"/>
          <w:szCs w:val="28"/>
        </w:rPr>
        <w:t xml:space="preserve"> Utah Department of Transportation – Public Transit Team T</w:t>
      </w:r>
      <w:r w:rsidRPr="009371C0">
        <w:rPr>
          <w:i/>
          <w:sz w:val="28"/>
          <w:szCs w:val="28"/>
        </w:rPr>
        <w:t xml:space="preserve">itle VI </w:t>
      </w:r>
      <w:r w:rsidR="00974787">
        <w:rPr>
          <w:i/>
          <w:sz w:val="28"/>
          <w:szCs w:val="28"/>
        </w:rPr>
        <w:t>Report</w:t>
      </w:r>
      <w:r w:rsidR="009371C0" w:rsidRPr="009371C0">
        <w:rPr>
          <w:i/>
          <w:sz w:val="28"/>
          <w:szCs w:val="28"/>
        </w:rPr>
        <w:t xml:space="preserve">, </w:t>
      </w:r>
      <w:r w:rsidR="006439E4" w:rsidRPr="006439E4">
        <w:rPr>
          <w:sz w:val="28"/>
          <w:szCs w:val="28"/>
        </w:rPr>
        <w:t>dated</w:t>
      </w:r>
      <w:r w:rsidR="006439E4">
        <w:rPr>
          <w:sz w:val="28"/>
          <w:szCs w:val="28"/>
        </w:rPr>
        <w:t xml:space="preserve"> </w:t>
      </w:r>
      <w:r w:rsidR="00974787">
        <w:rPr>
          <w:sz w:val="28"/>
          <w:szCs w:val="28"/>
        </w:rPr>
        <w:t>March 19, 2010</w:t>
      </w:r>
      <w:r w:rsidR="003F38BD">
        <w:rPr>
          <w:sz w:val="28"/>
          <w:szCs w:val="28"/>
        </w:rPr>
        <w:t xml:space="preserve">, </w:t>
      </w:r>
      <w:r w:rsidR="00ED5931">
        <w:rPr>
          <w:sz w:val="28"/>
          <w:szCs w:val="28"/>
        </w:rPr>
        <w:t xml:space="preserve">that it had submitted to FTA and </w:t>
      </w:r>
      <w:r w:rsidR="003F38BD">
        <w:rPr>
          <w:sz w:val="28"/>
          <w:szCs w:val="28"/>
        </w:rPr>
        <w:t>which had not received FTA approval at the time of the site visit</w:t>
      </w:r>
      <w:r w:rsidR="00F33500">
        <w:rPr>
          <w:sz w:val="28"/>
          <w:szCs w:val="28"/>
        </w:rPr>
        <w:t>.</w:t>
      </w:r>
      <w:r>
        <w:rPr>
          <w:sz w:val="28"/>
          <w:szCs w:val="28"/>
        </w:rPr>
        <w:t xml:space="preserve">  </w:t>
      </w:r>
      <w:r w:rsidR="007E3CBB">
        <w:rPr>
          <w:sz w:val="28"/>
          <w:szCs w:val="28"/>
        </w:rPr>
        <w:t xml:space="preserve">Upon review of the document, </w:t>
      </w:r>
      <w:r w:rsidR="00974787">
        <w:rPr>
          <w:sz w:val="28"/>
          <w:szCs w:val="28"/>
        </w:rPr>
        <w:t xml:space="preserve">it was determined </w:t>
      </w:r>
      <w:r w:rsidR="00217F7A">
        <w:rPr>
          <w:sz w:val="28"/>
          <w:szCs w:val="28"/>
        </w:rPr>
        <w:t>i</w:t>
      </w:r>
      <w:r w:rsidR="00974787">
        <w:rPr>
          <w:sz w:val="28"/>
          <w:szCs w:val="28"/>
        </w:rPr>
        <w:t>t</w:t>
      </w:r>
      <w:r w:rsidR="00217F7A">
        <w:rPr>
          <w:sz w:val="28"/>
          <w:szCs w:val="28"/>
        </w:rPr>
        <w:t xml:space="preserve"> was formatted to follow the elements in a FTA Title VI Program submittal but did not address the elements substantively</w:t>
      </w:r>
      <w:r>
        <w:rPr>
          <w:sz w:val="28"/>
          <w:szCs w:val="28"/>
        </w:rPr>
        <w:t xml:space="preserve">.  </w:t>
      </w:r>
      <w:r w:rsidR="00217F7A">
        <w:rPr>
          <w:sz w:val="28"/>
          <w:szCs w:val="28"/>
        </w:rPr>
        <w:t xml:space="preserve">For example, the section on the Requirement to Provide Meaningful Access to </w:t>
      </w:r>
      <w:r w:rsidR="00A31F82">
        <w:rPr>
          <w:sz w:val="28"/>
          <w:szCs w:val="28"/>
        </w:rPr>
        <w:t>LEP Persons contained the following</w:t>
      </w:r>
      <w:r w:rsidR="00F249D9">
        <w:rPr>
          <w:sz w:val="28"/>
          <w:szCs w:val="28"/>
        </w:rPr>
        <w:t xml:space="preserve"> in its entirety</w:t>
      </w:r>
      <w:r w:rsidR="00A31F82">
        <w:rPr>
          <w:sz w:val="28"/>
          <w:szCs w:val="28"/>
        </w:rPr>
        <w:t>:</w:t>
      </w:r>
    </w:p>
    <w:p w:rsidR="00A31F82" w:rsidRDefault="00A31F82" w:rsidP="00A31F82">
      <w:pPr>
        <w:rPr>
          <w:i/>
          <w:sz w:val="28"/>
          <w:szCs w:val="28"/>
        </w:rPr>
      </w:pPr>
    </w:p>
    <w:p w:rsidR="00A31F82" w:rsidRPr="00A31F82" w:rsidRDefault="00A31F82" w:rsidP="00A379AD">
      <w:pPr>
        <w:ind w:left="720"/>
        <w:rPr>
          <w:i/>
          <w:sz w:val="28"/>
          <w:szCs w:val="28"/>
        </w:rPr>
      </w:pPr>
      <w:r w:rsidRPr="00A31F82">
        <w:rPr>
          <w:i/>
          <w:sz w:val="28"/>
          <w:szCs w:val="28"/>
        </w:rPr>
        <w:t xml:space="preserve">The Public Transit Team </w:t>
      </w:r>
      <w:proofErr w:type="gramStart"/>
      <w:r w:rsidRPr="00A31F82">
        <w:rPr>
          <w:i/>
          <w:sz w:val="28"/>
          <w:szCs w:val="28"/>
        </w:rPr>
        <w:t>announce</w:t>
      </w:r>
      <w:proofErr w:type="gramEnd"/>
      <w:r w:rsidRPr="00A31F82">
        <w:rPr>
          <w:i/>
          <w:sz w:val="28"/>
          <w:szCs w:val="28"/>
        </w:rPr>
        <w:t xml:space="preserve"> funds via newspapers, website, e-mails to all demographics, notification to local governmental and planning authorities to disseminate information. The Public Transit Team provides workshops to the general public to offer verbal direction on how to apply for funds. </w:t>
      </w:r>
    </w:p>
    <w:p w:rsidR="00A31F82" w:rsidRDefault="00A31F82">
      <w:pPr>
        <w:spacing w:line="360" w:lineRule="auto"/>
        <w:rPr>
          <w:sz w:val="28"/>
          <w:szCs w:val="28"/>
        </w:rPr>
      </w:pPr>
    </w:p>
    <w:p w:rsidR="00F80A8D" w:rsidRDefault="00F249D9">
      <w:pPr>
        <w:spacing w:line="360" w:lineRule="auto"/>
        <w:rPr>
          <w:sz w:val="28"/>
          <w:szCs w:val="28"/>
        </w:rPr>
      </w:pPr>
      <w:r>
        <w:rPr>
          <w:sz w:val="28"/>
          <w:szCs w:val="28"/>
        </w:rPr>
        <w:t xml:space="preserve">The statements above do not describe any language assistance measures and does not meet the requirement to develop a language assistance plan. </w:t>
      </w:r>
      <w:r w:rsidR="00D13CCD">
        <w:rPr>
          <w:sz w:val="28"/>
          <w:szCs w:val="28"/>
        </w:rPr>
        <w:t>The following table contains</w:t>
      </w:r>
      <w:r w:rsidR="00F80A8D">
        <w:rPr>
          <w:sz w:val="28"/>
          <w:szCs w:val="28"/>
        </w:rPr>
        <w:t xml:space="preserve"> the elements required for a Title VI Program</w:t>
      </w:r>
      <w:r w:rsidR="00135803">
        <w:rPr>
          <w:sz w:val="28"/>
          <w:szCs w:val="28"/>
        </w:rPr>
        <w:t xml:space="preserve"> submittal</w:t>
      </w:r>
      <w:r w:rsidR="00D13CCD">
        <w:rPr>
          <w:sz w:val="28"/>
          <w:szCs w:val="28"/>
        </w:rPr>
        <w:t xml:space="preserve">. </w:t>
      </w:r>
    </w:p>
    <w:p w:rsidR="00D13CCD" w:rsidRDefault="00D13CCD">
      <w:pPr>
        <w:spacing w:line="360" w:lineRule="auto"/>
        <w:rPr>
          <w:sz w:val="28"/>
          <w:szCs w:val="28"/>
        </w:rPr>
      </w:pPr>
    </w:p>
    <w:p w:rsidR="00A379AD" w:rsidRDefault="00A379A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488"/>
        <w:gridCol w:w="1818"/>
      </w:tblGrid>
      <w:tr w:rsidR="00F80A8D">
        <w:trPr>
          <w:cantSplit/>
          <w:tblHeader/>
        </w:trPr>
        <w:tc>
          <w:tcPr>
            <w:tcW w:w="9306" w:type="dxa"/>
            <w:gridSpan w:val="2"/>
          </w:tcPr>
          <w:p w:rsidR="00F80A8D" w:rsidRDefault="00F80A8D">
            <w:pPr>
              <w:jc w:val="center"/>
              <w:rPr>
                <w:b/>
                <w:sz w:val="22"/>
                <w:szCs w:val="28"/>
              </w:rPr>
            </w:pPr>
            <w:r>
              <w:rPr>
                <w:b/>
                <w:sz w:val="24"/>
                <w:szCs w:val="28"/>
              </w:rPr>
              <w:lastRenderedPageBreak/>
              <w:t>ELEMENTS REQUIRED FOR TITLE VI PROGRAM</w:t>
            </w:r>
          </w:p>
        </w:tc>
      </w:tr>
      <w:tr w:rsidR="00F80A8D">
        <w:trPr>
          <w:cantSplit/>
          <w:tblHeader/>
        </w:trPr>
        <w:tc>
          <w:tcPr>
            <w:tcW w:w="7488" w:type="dxa"/>
          </w:tcPr>
          <w:p w:rsidR="00F80A8D" w:rsidRDefault="00F80A8D">
            <w:pPr>
              <w:rPr>
                <w:b/>
                <w:iCs/>
                <w:caps/>
                <w:sz w:val="24"/>
                <w:szCs w:val="24"/>
              </w:rPr>
            </w:pPr>
            <w:r>
              <w:rPr>
                <w:b/>
                <w:iCs/>
                <w:caps/>
                <w:sz w:val="24"/>
                <w:szCs w:val="24"/>
              </w:rPr>
              <w:t xml:space="preserve">GENERAL REQUIREMENTS </w:t>
            </w:r>
          </w:p>
          <w:p w:rsidR="00F80A8D" w:rsidRDefault="00F80A8D">
            <w:r>
              <w:rPr>
                <w:b/>
                <w:bCs/>
                <w:sz w:val="24"/>
                <w:szCs w:val="28"/>
              </w:rPr>
              <w:t>(Per FTA C. 4702.1A, IV, 7. a. (1) – (5))</w:t>
            </w:r>
          </w:p>
        </w:tc>
        <w:tc>
          <w:tcPr>
            <w:tcW w:w="1818" w:type="dxa"/>
          </w:tcPr>
          <w:p w:rsidR="00F80A8D" w:rsidRDefault="00F80A8D">
            <w:pPr>
              <w:jc w:val="center"/>
              <w:rPr>
                <w:b/>
                <w:sz w:val="22"/>
                <w:szCs w:val="28"/>
              </w:rPr>
            </w:pPr>
            <w:r>
              <w:rPr>
                <w:b/>
                <w:sz w:val="22"/>
                <w:szCs w:val="28"/>
              </w:rPr>
              <w:t xml:space="preserve">In </w:t>
            </w:r>
            <w:r w:rsidR="006C274C">
              <w:rPr>
                <w:b/>
                <w:sz w:val="22"/>
                <w:szCs w:val="28"/>
              </w:rPr>
              <w:t>UDOT</w:t>
            </w:r>
            <w:r>
              <w:rPr>
                <w:b/>
                <w:sz w:val="22"/>
                <w:szCs w:val="28"/>
              </w:rPr>
              <w:t xml:space="preserve"> Title VI Program Submittal?</w:t>
            </w:r>
          </w:p>
        </w:tc>
      </w:tr>
      <w:tr w:rsidR="00F80A8D" w:rsidTr="006439E4">
        <w:trPr>
          <w:cantSplit/>
        </w:trPr>
        <w:tc>
          <w:tcPr>
            <w:tcW w:w="7488" w:type="dxa"/>
          </w:tcPr>
          <w:p w:rsidR="00F80A8D" w:rsidRDefault="00F80A8D" w:rsidP="0064099D">
            <w:pPr>
              <w:numPr>
                <w:ilvl w:val="0"/>
                <w:numId w:val="14"/>
              </w:numPr>
              <w:rPr>
                <w:sz w:val="22"/>
                <w:szCs w:val="28"/>
              </w:rPr>
            </w:pPr>
            <w: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F80A8D" w:rsidP="0064099D">
            <w:pPr>
              <w:numPr>
                <w:ilvl w:val="0"/>
                <w:numId w:val="14"/>
              </w:numPr>
              <w:rPr>
                <w:sz w:val="22"/>
                <w:szCs w:val="28"/>
              </w:rPr>
            </w:pPr>
            <w:r>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F80A8D" w:rsidP="0064099D">
            <w:pPr>
              <w:numPr>
                <w:ilvl w:val="0"/>
                <w:numId w:val="14"/>
              </w:numPr>
              <w:rPr>
                <w:sz w:val="22"/>
                <w:szCs w:val="28"/>
              </w:rPr>
            </w:pPr>
            <w:r>
              <w:t>A copy of the agency procedures for tracking and investigating Title VI complaints.</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F80A8D" w:rsidP="0064099D">
            <w:pPr>
              <w:numPr>
                <w:ilvl w:val="0"/>
                <w:numId w:val="14"/>
              </w:numPr>
              <w:rPr>
                <w:sz w:val="22"/>
                <w:szCs w:val="28"/>
              </w:rPr>
            </w:pPr>
            <w: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F80A8D" w:rsidP="0064099D">
            <w:pPr>
              <w:numPr>
                <w:ilvl w:val="0"/>
                <w:numId w:val="14"/>
              </w:numPr>
              <w:rPr>
                <w:sz w:val="22"/>
                <w:szCs w:val="28"/>
              </w:rPr>
            </w:pPr>
            <w:r>
              <w:t>A copy of the agency’s notice to the public that it complies with Title VI and instructions to the public on how to file a discrimination complaint.</w:t>
            </w:r>
          </w:p>
        </w:tc>
        <w:tc>
          <w:tcPr>
            <w:tcW w:w="1818" w:type="dxa"/>
            <w:vAlign w:val="center"/>
          </w:tcPr>
          <w:p w:rsidR="00F80A8D" w:rsidRDefault="00D13CCD" w:rsidP="006439E4">
            <w:pPr>
              <w:jc w:val="center"/>
              <w:rPr>
                <w:sz w:val="22"/>
                <w:szCs w:val="28"/>
              </w:rPr>
            </w:pPr>
            <w:r>
              <w:rPr>
                <w:sz w:val="22"/>
                <w:szCs w:val="28"/>
              </w:rPr>
              <w:t>No</w:t>
            </w:r>
          </w:p>
        </w:tc>
      </w:tr>
      <w:tr w:rsidR="00F80A8D" w:rsidTr="006439E4">
        <w:trPr>
          <w:cantSplit/>
        </w:trPr>
        <w:tc>
          <w:tcPr>
            <w:tcW w:w="7488" w:type="dxa"/>
          </w:tcPr>
          <w:p w:rsidR="00F80A8D" w:rsidRDefault="00F80A8D">
            <w:pPr>
              <w:rPr>
                <w:b/>
                <w:iCs/>
                <w:caps/>
                <w:sz w:val="24"/>
                <w:szCs w:val="24"/>
              </w:rPr>
            </w:pPr>
            <w:r>
              <w:rPr>
                <w:b/>
                <w:iCs/>
                <w:caps/>
                <w:sz w:val="24"/>
                <w:szCs w:val="24"/>
              </w:rPr>
              <w:t>pROGRAM SPECIFIC REQUIREMENTS</w:t>
            </w:r>
          </w:p>
          <w:p w:rsidR="00F80A8D" w:rsidRDefault="00F80A8D">
            <w:r>
              <w:rPr>
                <w:b/>
                <w:bCs/>
                <w:sz w:val="24"/>
                <w:szCs w:val="28"/>
              </w:rPr>
              <w:t>(Per FTA C. 4702.1A, V</w:t>
            </w:r>
            <w:r w:rsidR="006439E4">
              <w:rPr>
                <w:b/>
                <w:bCs/>
                <w:sz w:val="24"/>
                <w:szCs w:val="28"/>
              </w:rPr>
              <w:t>I</w:t>
            </w:r>
            <w:r>
              <w:rPr>
                <w:b/>
                <w:bCs/>
                <w:sz w:val="24"/>
                <w:szCs w:val="28"/>
              </w:rPr>
              <w:t xml:space="preserve">, </w:t>
            </w:r>
            <w:r w:rsidR="00DB472F">
              <w:rPr>
                <w:b/>
                <w:bCs/>
                <w:sz w:val="24"/>
                <w:szCs w:val="28"/>
              </w:rPr>
              <w:t>5</w:t>
            </w:r>
            <w:r>
              <w:rPr>
                <w:b/>
                <w:bCs/>
                <w:sz w:val="24"/>
                <w:szCs w:val="28"/>
              </w:rPr>
              <w:t>. a. (1) – (4))</w:t>
            </w:r>
          </w:p>
        </w:tc>
        <w:tc>
          <w:tcPr>
            <w:tcW w:w="1818" w:type="dxa"/>
            <w:shd w:val="clear" w:color="auto" w:fill="BFBFBF"/>
            <w:vAlign w:val="center"/>
          </w:tcPr>
          <w:p w:rsidR="00F80A8D" w:rsidRDefault="00F80A8D" w:rsidP="006439E4">
            <w:pPr>
              <w:jc w:val="center"/>
              <w:rPr>
                <w:sz w:val="22"/>
                <w:szCs w:val="28"/>
              </w:rPr>
            </w:pPr>
          </w:p>
        </w:tc>
      </w:tr>
      <w:tr w:rsidR="00F80A8D" w:rsidTr="006439E4">
        <w:trPr>
          <w:cantSplit/>
        </w:trPr>
        <w:tc>
          <w:tcPr>
            <w:tcW w:w="7488" w:type="dxa"/>
          </w:tcPr>
          <w:p w:rsidR="00F80A8D" w:rsidRDefault="006439E4" w:rsidP="0064099D">
            <w:pPr>
              <w:numPr>
                <w:ilvl w:val="0"/>
                <w:numId w:val="13"/>
              </w:numPr>
              <w:rPr>
                <w:sz w:val="22"/>
                <w:szCs w:val="28"/>
              </w:rPr>
            </w:pPr>
            <w:r w:rsidRPr="006439E4">
              <w:rPr>
                <w:kern w:val="32"/>
              </w:rPr>
              <w:t>A copy of the procedures used for certifying that the statewide planning</w:t>
            </w:r>
            <w:r>
              <w:rPr>
                <w:kern w:val="32"/>
              </w:rPr>
              <w:t xml:space="preserve"> process complies with Title VI</w:t>
            </w:r>
            <w:r w:rsidR="00F80A8D">
              <w:rPr>
                <w:kern w:val="32"/>
              </w:rPr>
              <w:t>.</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6439E4" w:rsidP="0064099D">
            <w:pPr>
              <w:numPr>
                <w:ilvl w:val="0"/>
                <w:numId w:val="13"/>
              </w:numPr>
              <w:rPr>
                <w:kern w:val="32"/>
              </w:rPr>
            </w:pPr>
            <w:r w:rsidRPr="006439E4">
              <w:rPr>
                <w:kern w:val="32"/>
              </w:rPr>
              <w:t>A description of the procedures the agency uses to pass-through FTA financial assistance in a non-discriminatory manner.</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6439E4" w:rsidP="0064099D">
            <w:pPr>
              <w:numPr>
                <w:ilvl w:val="0"/>
                <w:numId w:val="13"/>
              </w:numPr>
              <w:rPr>
                <w:kern w:val="32"/>
              </w:rPr>
            </w:pPr>
            <w:r w:rsidRPr="006439E4">
              <w:rPr>
                <w:kern w:val="32"/>
              </w:rPr>
              <w:t>A description of the procedures the agency uses to provide assistance to potential subrecipients applying for funding in a non-discriminatory manner.</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6439E4" w:rsidP="0064099D">
            <w:pPr>
              <w:numPr>
                <w:ilvl w:val="0"/>
                <w:numId w:val="13"/>
              </w:numPr>
              <w:rPr>
                <w:kern w:val="32"/>
              </w:rPr>
            </w:pPr>
            <w:r w:rsidRPr="006439E4">
              <w:rPr>
                <w:kern w:val="32"/>
              </w:rPr>
              <w:t>A description of how the agency monitors its subrecipients for compliance with Title VI and a summary of the results of this monitoring.</w:t>
            </w:r>
          </w:p>
        </w:tc>
        <w:tc>
          <w:tcPr>
            <w:tcW w:w="1818" w:type="dxa"/>
            <w:vAlign w:val="center"/>
          </w:tcPr>
          <w:p w:rsidR="00F80A8D" w:rsidRDefault="006439E4" w:rsidP="006439E4">
            <w:pPr>
              <w:jc w:val="center"/>
              <w:rPr>
                <w:sz w:val="22"/>
                <w:szCs w:val="28"/>
              </w:rPr>
            </w:pPr>
            <w:r>
              <w:rPr>
                <w:sz w:val="22"/>
                <w:szCs w:val="28"/>
              </w:rPr>
              <w:t>No</w:t>
            </w:r>
          </w:p>
        </w:tc>
      </w:tr>
    </w:tbl>
    <w:p w:rsidR="00F80A8D" w:rsidRDefault="00F80A8D">
      <w:pPr>
        <w:spacing w:line="360" w:lineRule="auto"/>
        <w:rPr>
          <w:sz w:val="28"/>
          <w:szCs w:val="28"/>
        </w:rPr>
      </w:pPr>
    </w:p>
    <w:p w:rsidR="00D13CCD" w:rsidRDefault="00D13CCD">
      <w:pPr>
        <w:spacing w:line="360" w:lineRule="auto"/>
        <w:rPr>
          <w:b/>
          <w:bCs/>
          <w:sz w:val="28"/>
          <w:szCs w:val="28"/>
        </w:rPr>
      </w:pPr>
    </w:p>
    <w:p w:rsidR="008D1286" w:rsidRDefault="008D1286" w:rsidP="00D7762B">
      <w:pPr>
        <w:spacing w:line="360" w:lineRule="auto"/>
        <w:rPr>
          <w:sz w:val="28"/>
          <w:szCs w:val="28"/>
        </w:rPr>
      </w:pPr>
      <w:r w:rsidRPr="00C00537">
        <w:rPr>
          <w:b/>
          <w:bCs/>
          <w:sz w:val="28"/>
          <w:szCs w:val="28"/>
        </w:rPr>
        <w:t xml:space="preserve">Corrective Actions and Schedules: </w:t>
      </w:r>
      <w:r w:rsidRPr="00C00537">
        <w:rPr>
          <w:sz w:val="28"/>
          <w:szCs w:val="28"/>
        </w:rPr>
        <w:t xml:space="preserve">Within 90 days, </w:t>
      </w:r>
      <w:r w:rsidR="006C274C">
        <w:rPr>
          <w:sz w:val="28"/>
          <w:szCs w:val="28"/>
        </w:rPr>
        <w:t>UDOT</w:t>
      </w:r>
      <w:r w:rsidRPr="00C00537">
        <w:rPr>
          <w:sz w:val="28"/>
          <w:szCs w:val="28"/>
        </w:rPr>
        <w:t xml:space="preserve"> must submit to </w:t>
      </w:r>
      <w:r w:rsidR="00DE71F1" w:rsidRPr="00C00537">
        <w:rPr>
          <w:sz w:val="28"/>
          <w:szCs w:val="28"/>
        </w:rPr>
        <w:t xml:space="preserve">the FTA </w:t>
      </w:r>
      <w:r w:rsidR="00DE71F1">
        <w:rPr>
          <w:sz w:val="28"/>
          <w:szCs w:val="28"/>
        </w:rPr>
        <w:t>Equal Opportunity Specialist in FTA’s Headquarters Office of Civil Rights</w:t>
      </w:r>
      <w:r w:rsidR="007E3CBB">
        <w:rPr>
          <w:sz w:val="28"/>
          <w:szCs w:val="28"/>
        </w:rPr>
        <w:t xml:space="preserve"> </w:t>
      </w:r>
      <w:r w:rsidR="00D7762B">
        <w:rPr>
          <w:sz w:val="28"/>
          <w:szCs w:val="28"/>
        </w:rPr>
        <w:t xml:space="preserve">a Title VI Program developed according to FTA Circular 4702.1A </w:t>
      </w:r>
      <w:r w:rsidR="00F05AEC">
        <w:rPr>
          <w:sz w:val="28"/>
          <w:szCs w:val="28"/>
        </w:rPr>
        <w:t>under the General Reporting Requirements</w:t>
      </w:r>
      <w:r w:rsidR="006E2763">
        <w:rPr>
          <w:sz w:val="28"/>
          <w:szCs w:val="28"/>
        </w:rPr>
        <w:t xml:space="preserve"> and Program-Specific Requirements for State DOTs</w:t>
      </w:r>
      <w:r w:rsidR="000C1C81">
        <w:rPr>
          <w:sz w:val="28"/>
          <w:szCs w:val="28"/>
        </w:rPr>
        <w:t xml:space="preserve"> and Other Administering Agencies</w:t>
      </w:r>
      <w:r w:rsidR="00F05AEC">
        <w:rPr>
          <w:sz w:val="28"/>
          <w:szCs w:val="28"/>
        </w:rPr>
        <w:t xml:space="preserve">.  </w:t>
      </w:r>
    </w:p>
    <w:p w:rsidR="007E3CBB" w:rsidRDefault="007E3CBB" w:rsidP="007E3CBB">
      <w:pPr>
        <w:spacing w:line="360" w:lineRule="auto"/>
        <w:ind w:left="1080"/>
        <w:rPr>
          <w:sz w:val="28"/>
          <w:szCs w:val="28"/>
        </w:rPr>
      </w:pPr>
    </w:p>
    <w:p w:rsidR="00A379AD" w:rsidRDefault="00A379AD">
      <w:pPr>
        <w:rPr>
          <w:b/>
          <w:sz w:val="28"/>
          <w:szCs w:val="28"/>
        </w:rPr>
      </w:pPr>
      <w:r>
        <w:rPr>
          <w:b/>
          <w:sz w:val="28"/>
          <w:szCs w:val="28"/>
        </w:rPr>
        <w:br w:type="page"/>
      </w:r>
    </w:p>
    <w:p w:rsidR="00CB33F0" w:rsidRPr="00CB33F0" w:rsidRDefault="00CB33F0" w:rsidP="00CB33F0">
      <w:pPr>
        <w:pStyle w:val="BodyTextIndent2"/>
        <w:ind w:firstLine="0"/>
        <w:rPr>
          <w:b/>
          <w:sz w:val="28"/>
          <w:szCs w:val="28"/>
        </w:rPr>
      </w:pPr>
      <w:r w:rsidRPr="00CB33F0">
        <w:rPr>
          <w:b/>
          <w:sz w:val="28"/>
          <w:szCs w:val="28"/>
        </w:rPr>
        <w:lastRenderedPageBreak/>
        <w:t xml:space="preserve">FINDINGS OF THE PROGRAM-SPECIFIC REQUIREMENTS </w:t>
      </w:r>
      <w:r w:rsidR="001476B5">
        <w:rPr>
          <w:b/>
          <w:sz w:val="28"/>
          <w:szCs w:val="28"/>
        </w:rPr>
        <w:t xml:space="preserve">AND GUIDELINES </w:t>
      </w:r>
      <w:r w:rsidRPr="00CB33F0">
        <w:rPr>
          <w:b/>
          <w:sz w:val="28"/>
          <w:szCs w:val="28"/>
        </w:rPr>
        <w:t xml:space="preserve">FOR STATE DEPARTMENTS OF TRANSPORTATION </w:t>
      </w:r>
      <w:r w:rsidR="001476B5">
        <w:rPr>
          <w:b/>
          <w:sz w:val="28"/>
          <w:szCs w:val="28"/>
        </w:rPr>
        <w:t>AND</w:t>
      </w:r>
      <w:r w:rsidRPr="00CB33F0">
        <w:rPr>
          <w:b/>
          <w:sz w:val="28"/>
          <w:szCs w:val="28"/>
        </w:rPr>
        <w:t xml:space="preserve"> OTHER STATE ADMINISTERING AGENCIES </w:t>
      </w:r>
    </w:p>
    <w:p w:rsidR="00CB33F0" w:rsidRPr="00CB33F0" w:rsidRDefault="00CB33F0" w:rsidP="00CB33F0">
      <w:pPr>
        <w:pStyle w:val="BodyTextIndent2"/>
        <w:rPr>
          <w:sz w:val="28"/>
          <w:szCs w:val="28"/>
        </w:rPr>
      </w:pPr>
    </w:p>
    <w:p w:rsidR="00F80A8D" w:rsidRPr="00CB33F0" w:rsidRDefault="00CB33F0" w:rsidP="00CB33F0">
      <w:pPr>
        <w:spacing w:line="360" w:lineRule="auto"/>
        <w:rPr>
          <w:sz w:val="28"/>
          <w:szCs w:val="28"/>
        </w:rPr>
      </w:pPr>
      <w:r w:rsidRPr="00CB33F0">
        <w:rPr>
          <w:sz w:val="28"/>
          <w:szCs w:val="28"/>
        </w:rPr>
        <w:t xml:space="preserve">This section covers </w:t>
      </w:r>
      <w:r w:rsidR="001476B5">
        <w:rPr>
          <w:sz w:val="28"/>
          <w:szCs w:val="28"/>
        </w:rPr>
        <w:t xml:space="preserve">the </w:t>
      </w:r>
      <w:r w:rsidRPr="00CB33F0">
        <w:rPr>
          <w:sz w:val="28"/>
          <w:szCs w:val="28"/>
        </w:rPr>
        <w:t xml:space="preserve">program-specific </w:t>
      </w:r>
      <w:r w:rsidR="001476B5">
        <w:rPr>
          <w:sz w:val="28"/>
          <w:szCs w:val="28"/>
        </w:rPr>
        <w:t xml:space="preserve">requirements and </w:t>
      </w:r>
      <w:r w:rsidRPr="00CB33F0">
        <w:rPr>
          <w:sz w:val="28"/>
          <w:szCs w:val="28"/>
        </w:rPr>
        <w:t>guide</w:t>
      </w:r>
      <w:r w:rsidR="00842D1C">
        <w:rPr>
          <w:sz w:val="28"/>
          <w:szCs w:val="28"/>
        </w:rPr>
        <w:t>lines</w:t>
      </w:r>
      <w:r w:rsidRPr="00CB33F0">
        <w:rPr>
          <w:sz w:val="28"/>
          <w:szCs w:val="28"/>
        </w:rPr>
        <w:t xml:space="preserve"> for State DOTs and </w:t>
      </w:r>
      <w:r w:rsidR="001476B5">
        <w:rPr>
          <w:sz w:val="28"/>
          <w:szCs w:val="28"/>
        </w:rPr>
        <w:t>O</w:t>
      </w:r>
      <w:r w:rsidRPr="00CB33F0">
        <w:rPr>
          <w:sz w:val="28"/>
          <w:szCs w:val="28"/>
        </w:rPr>
        <w:t xml:space="preserve">ther </w:t>
      </w:r>
      <w:r w:rsidR="001476B5">
        <w:rPr>
          <w:sz w:val="28"/>
          <w:szCs w:val="28"/>
        </w:rPr>
        <w:t>A</w:t>
      </w:r>
      <w:r w:rsidR="00C07E4D">
        <w:rPr>
          <w:sz w:val="28"/>
          <w:szCs w:val="28"/>
        </w:rPr>
        <w:t>dminister</w:t>
      </w:r>
      <w:r w:rsidRPr="00CB33F0">
        <w:rPr>
          <w:sz w:val="28"/>
          <w:szCs w:val="28"/>
        </w:rPr>
        <w:t xml:space="preserve">ing </w:t>
      </w:r>
      <w:r w:rsidR="001476B5">
        <w:rPr>
          <w:sz w:val="28"/>
          <w:szCs w:val="28"/>
        </w:rPr>
        <w:t>A</w:t>
      </w:r>
      <w:r w:rsidR="00C07E4D">
        <w:rPr>
          <w:sz w:val="28"/>
          <w:szCs w:val="28"/>
        </w:rPr>
        <w:t>gencies, administer</w:t>
      </w:r>
      <w:r w:rsidRPr="00CB33F0">
        <w:rPr>
          <w:sz w:val="28"/>
          <w:szCs w:val="28"/>
        </w:rPr>
        <w:t>ing Elderly Individuals and Individuals with Disabilities, Rural and Small Urban Area, Job Access and Reverse Commute (JARC), and New Freedom funding programs, as well as and designated recipients in large urbanized areas for JARC and New Freedom.</w:t>
      </w:r>
    </w:p>
    <w:p w:rsidR="00CB33F0" w:rsidRDefault="00CB33F0" w:rsidP="00CB33F0">
      <w:pPr>
        <w:pStyle w:val="BHLevel2"/>
        <w:rPr>
          <w:sz w:val="28"/>
          <w:szCs w:val="28"/>
        </w:rPr>
      </w:pPr>
      <w:bookmarkStart w:id="21" w:name="_Toc253152161"/>
      <w:r w:rsidRPr="00CB33F0">
        <w:rPr>
          <w:sz w:val="28"/>
          <w:szCs w:val="28"/>
        </w:rPr>
        <w:t>Statewide Planning Activities</w:t>
      </w:r>
      <w:bookmarkEnd w:id="21"/>
    </w:p>
    <w:p w:rsidR="00CB33F0" w:rsidRDefault="00CB33F0" w:rsidP="00CB33F0"/>
    <w:p w:rsidR="00CB33F0" w:rsidRPr="00CB33F0" w:rsidRDefault="00CB33F0" w:rsidP="007C3CA4">
      <w:pPr>
        <w:pStyle w:val="BodyTextIndent2"/>
        <w:ind w:firstLine="0"/>
        <w:rPr>
          <w:b/>
          <w:i/>
          <w:sz w:val="28"/>
          <w:szCs w:val="28"/>
        </w:rPr>
      </w:pPr>
      <w:r>
        <w:rPr>
          <w:b/>
          <w:sz w:val="28"/>
          <w:szCs w:val="28"/>
        </w:rPr>
        <w:t xml:space="preserve">Requirement: </w:t>
      </w:r>
      <w:r w:rsidRPr="00CB33F0">
        <w:rPr>
          <w:i/>
          <w:sz w:val="28"/>
          <w:szCs w:val="28"/>
        </w:rPr>
        <w:t>State DOTs should have an analytic basis in place for certifying their compliance with Title VI.  Examples of this analysis can include, a demographic profile of the State that includes identification of the locations of socioeconomic groups, including low-income and minority populations as covered by the Executive Order on Environmental Justice and Title VI, a statewide transportation planning process that identifies the needs of low-income and minority populations or An analytical process that identifies the benefits and burdens of the State’s transportation system investments for different socioeconomic groups, identifying imbalances, and responding to the analyses produced.</w:t>
      </w:r>
      <w:r w:rsidRPr="00CB33F0">
        <w:rPr>
          <w:b/>
          <w:i/>
          <w:sz w:val="28"/>
          <w:szCs w:val="28"/>
        </w:rPr>
        <w:t xml:space="preserve"> </w:t>
      </w:r>
    </w:p>
    <w:p w:rsidR="00CB33F0" w:rsidRPr="00CB33F0" w:rsidRDefault="00CB33F0" w:rsidP="00CB33F0">
      <w:pPr>
        <w:pStyle w:val="BodyTextIndent2"/>
        <w:rPr>
          <w:b/>
          <w:sz w:val="28"/>
          <w:szCs w:val="28"/>
        </w:rPr>
      </w:pPr>
    </w:p>
    <w:p w:rsidR="00CB33F0" w:rsidRPr="007C3CA4" w:rsidRDefault="00CB33F0" w:rsidP="007C3CA4">
      <w:pPr>
        <w:spacing w:line="360" w:lineRule="auto"/>
        <w:rPr>
          <w:sz w:val="28"/>
          <w:szCs w:val="28"/>
        </w:rPr>
      </w:pPr>
      <w:r w:rsidRPr="007C3CA4">
        <w:rPr>
          <w:b/>
          <w:sz w:val="28"/>
          <w:szCs w:val="28"/>
        </w:rPr>
        <w:t>Findings</w:t>
      </w:r>
      <w:r w:rsidRPr="007C3CA4">
        <w:rPr>
          <w:sz w:val="28"/>
          <w:szCs w:val="28"/>
        </w:rPr>
        <w:t xml:space="preserve">: </w:t>
      </w:r>
      <w:r w:rsidRPr="00CB33F0">
        <w:rPr>
          <w:sz w:val="28"/>
          <w:szCs w:val="28"/>
        </w:rPr>
        <w:t xml:space="preserve">During this Title VI Compliance Review of </w:t>
      </w:r>
      <w:r w:rsidR="006C274C">
        <w:rPr>
          <w:sz w:val="28"/>
          <w:szCs w:val="28"/>
        </w:rPr>
        <w:t>UDOT</w:t>
      </w:r>
      <w:r w:rsidRPr="005C0553">
        <w:rPr>
          <w:sz w:val="28"/>
          <w:szCs w:val="28"/>
        </w:rPr>
        <w:t>, deficiencies</w:t>
      </w:r>
      <w:r w:rsidRPr="00CB33F0">
        <w:rPr>
          <w:sz w:val="28"/>
          <w:szCs w:val="28"/>
        </w:rPr>
        <w:t xml:space="preserve"> were found regarding the FTA requirements for Statewide Planning Activities.</w:t>
      </w:r>
      <w:r w:rsidRPr="007C3CA4">
        <w:rPr>
          <w:sz w:val="28"/>
          <w:szCs w:val="28"/>
        </w:rPr>
        <w:t xml:space="preserve"> </w:t>
      </w:r>
      <w:r w:rsidR="007C3CA4">
        <w:rPr>
          <w:sz w:val="28"/>
          <w:szCs w:val="28"/>
        </w:rPr>
        <w:t xml:space="preserve"> </w:t>
      </w:r>
      <w:r w:rsidR="009E1095">
        <w:rPr>
          <w:sz w:val="28"/>
          <w:szCs w:val="28"/>
        </w:rPr>
        <w:t>During the Review, UDOT did not provide</w:t>
      </w:r>
      <w:r w:rsidR="009E1095" w:rsidRPr="000D3659">
        <w:rPr>
          <w:sz w:val="28"/>
          <w:szCs w:val="28"/>
        </w:rPr>
        <w:t xml:space="preserve"> documentation </w:t>
      </w:r>
      <w:r w:rsidR="0013305F">
        <w:rPr>
          <w:sz w:val="28"/>
          <w:szCs w:val="28"/>
        </w:rPr>
        <w:t>that it had</w:t>
      </w:r>
      <w:r w:rsidR="009E1095" w:rsidRPr="000D3659">
        <w:rPr>
          <w:sz w:val="28"/>
          <w:szCs w:val="28"/>
        </w:rPr>
        <w:t xml:space="preserve"> </w:t>
      </w:r>
      <w:r w:rsidR="009E1095">
        <w:rPr>
          <w:sz w:val="28"/>
          <w:szCs w:val="28"/>
        </w:rPr>
        <w:t xml:space="preserve">an </w:t>
      </w:r>
      <w:r w:rsidR="009E1095" w:rsidRPr="000D3659">
        <w:rPr>
          <w:sz w:val="28"/>
          <w:szCs w:val="28"/>
        </w:rPr>
        <w:t xml:space="preserve">analytical basis in place for certifying compliance with Title VI. </w:t>
      </w:r>
      <w:r w:rsidR="007C3CA4">
        <w:rPr>
          <w:sz w:val="28"/>
          <w:szCs w:val="28"/>
        </w:rPr>
        <w:t xml:space="preserve">The following table contains guidance for conducting Statewide Planning Activities and whether </w:t>
      </w:r>
      <w:r w:rsidR="006C274C">
        <w:rPr>
          <w:sz w:val="28"/>
          <w:szCs w:val="28"/>
        </w:rPr>
        <w:t>UDOT</w:t>
      </w:r>
      <w:r w:rsidR="007C3CA4">
        <w:rPr>
          <w:sz w:val="28"/>
          <w:szCs w:val="28"/>
        </w:rPr>
        <w:t xml:space="preserve"> </w:t>
      </w:r>
      <w:r w:rsidR="00201BB0">
        <w:rPr>
          <w:sz w:val="28"/>
          <w:szCs w:val="28"/>
        </w:rPr>
        <w:t>provided information pursuant to</w:t>
      </w:r>
      <w:r w:rsidR="007C3CA4">
        <w:rPr>
          <w:sz w:val="28"/>
          <w:szCs w:val="28"/>
        </w:rPr>
        <w:t xml:space="preserve"> the </w:t>
      </w:r>
      <w:r w:rsidR="00201BB0">
        <w:rPr>
          <w:sz w:val="28"/>
          <w:szCs w:val="28"/>
        </w:rPr>
        <w:t>gui</w:t>
      </w:r>
      <w:r w:rsidR="007C3CA4">
        <w:rPr>
          <w:sz w:val="28"/>
          <w:szCs w:val="28"/>
        </w:rPr>
        <w:t>dance:</w:t>
      </w:r>
    </w:p>
    <w:p w:rsidR="00CB33F0" w:rsidRPr="00CB33F0" w:rsidRDefault="00CB33F0" w:rsidP="00CB33F0">
      <w:pPr>
        <w:pStyle w:val="BodyTextIndent2"/>
        <w:rPr>
          <w:b/>
          <w:sz w:val="28"/>
          <w:szCs w:val="28"/>
        </w:rPr>
      </w:pPr>
    </w:p>
    <w:p w:rsidR="00A379AD" w:rsidRDefault="00A379A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38"/>
        <w:gridCol w:w="1350"/>
      </w:tblGrid>
      <w:tr w:rsidR="00DB472F" w:rsidTr="007C3CA4">
        <w:trPr>
          <w:cantSplit/>
          <w:tblHeader/>
        </w:trPr>
        <w:tc>
          <w:tcPr>
            <w:tcW w:w="7938" w:type="dxa"/>
          </w:tcPr>
          <w:p w:rsidR="00DB472F" w:rsidRDefault="00DB472F" w:rsidP="00DB472F">
            <w:pPr>
              <w:rPr>
                <w:b/>
                <w:bCs/>
                <w:sz w:val="24"/>
                <w:szCs w:val="28"/>
              </w:rPr>
            </w:pPr>
            <w:r>
              <w:rPr>
                <w:b/>
                <w:sz w:val="24"/>
                <w:szCs w:val="28"/>
              </w:rPr>
              <w:lastRenderedPageBreak/>
              <w:t>GUIDANCE ON CONDUCTING STATEWIDE PLANNING</w:t>
            </w:r>
            <w:r>
              <w:rPr>
                <w:b/>
                <w:bCs/>
                <w:sz w:val="24"/>
                <w:szCs w:val="28"/>
              </w:rPr>
              <w:t xml:space="preserve"> </w:t>
            </w:r>
          </w:p>
          <w:p w:rsidR="00DB472F" w:rsidRDefault="00DB472F" w:rsidP="00DB472F">
            <w:r>
              <w:rPr>
                <w:b/>
                <w:bCs/>
                <w:sz w:val="24"/>
                <w:szCs w:val="28"/>
              </w:rPr>
              <w:t xml:space="preserve">(Per FTA C. 4702.1A, VI, </w:t>
            </w:r>
            <w:proofErr w:type="gramStart"/>
            <w:r>
              <w:rPr>
                <w:b/>
                <w:bCs/>
                <w:sz w:val="24"/>
                <w:szCs w:val="28"/>
              </w:rPr>
              <w:t>1</w:t>
            </w:r>
            <w:proofErr w:type="gramEnd"/>
            <w:r>
              <w:rPr>
                <w:b/>
                <w:bCs/>
                <w:sz w:val="24"/>
                <w:szCs w:val="28"/>
              </w:rPr>
              <w:t>. a. – c.)</w:t>
            </w:r>
          </w:p>
        </w:tc>
        <w:tc>
          <w:tcPr>
            <w:tcW w:w="1350" w:type="dxa"/>
          </w:tcPr>
          <w:p w:rsidR="00DB472F" w:rsidRDefault="00DB472F" w:rsidP="00DB472F">
            <w:pPr>
              <w:jc w:val="center"/>
              <w:rPr>
                <w:b/>
                <w:sz w:val="22"/>
                <w:szCs w:val="28"/>
              </w:rPr>
            </w:pPr>
            <w:r>
              <w:rPr>
                <w:b/>
                <w:sz w:val="22"/>
                <w:szCs w:val="28"/>
              </w:rPr>
              <w:t xml:space="preserve">In </w:t>
            </w:r>
            <w:r w:rsidR="006C274C">
              <w:rPr>
                <w:b/>
                <w:sz w:val="22"/>
                <w:szCs w:val="28"/>
              </w:rPr>
              <w:t>UDOT</w:t>
            </w:r>
            <w:r>
              <w:rPr>
                <w:b/>
                <w:sz w:val="22"/>
                <w:szCs w:val="28"/>
              </w:rPr>
              <w:t xml:space="preserve"> Submittal?</w:t>
            </w:r>
          </w:p>
        </w:tc>
      </w:tr>
      <w:tr w:rsidR="00DB472F" w:rsidTr="007C3CA4">
        <w:trPr>
          <w:cantSplit/>
        </w:trPr>
        <w:tc>
          <w:tcPr>
            <w:tcW w:w="7938" w:type="dxa"/>
          </w:tcPr>
          <w:p w:rsidR="00DB472F" w:rsidRPr="00DB472F" w:rsidRDefault="00DB472F" w:rsidP="0064099D">
            <w:pPr>
              <w:numPr>
                <w:ilvl w:val="0"/>
                <w:numId w:val="14"/>
              </w:numPr>
            </w:pPr>
            <w:r w:rsidRPr="008A38CC">
              <w:t xml:space="preserve">A demographic profile of the State that includes identification of the locations of socioeconomic groups, including low-income and minority populations as covered by the Executive Order on Environmental Justice and Title VI. </w:t>
            </w:r>
          </w:p>
        </w:tc>
        <w:tc>
          <w:tcPr>
            <w:tcW w:w="1350" w:type="dxa"/>
            <w:vAlign w:val="center"/>
          </w:tcPr>
          <w:p w:rsidR="00DB472F" w:rsidRDefault="00E87E96" w:rsidP="0064099D">
            <w:pPr>
              <w:jc w:val="center"/>
              <w:rPr>
                <w:sz w:val="22"/>
                <w:szCs w:val="28"/>
              </w:rPr>
            </w:pPr>
            <w:r>
              <w:rPr>
                <w:sz w:val="22"/>
                <w:szCs w:val="28"/>
              </w:rPr>
              <w:t>Yes</w:t>
            </w:r>
          </w:p>
        </w:tc>
      </w:tr>
      <w:tr w:rsidR="00DB472F" w:rsidTr="007C3CA4">
        <w:trPr>
          <w:cantSplit/>
        </w:trPr>
        <w:tc>
          <w:tcPr>
            <w:tcW w:w="7938" w:type="dxa"/>
          </w:tcPr>
          <w:p w:rsidR="00DB472F" w:rsidRDefault="00DB472F" w:rsidP="0064099D">
            <w:pPr>
              <w:numPr>
                <w:ilvl w:val="0"/>
                <w:numId w:val="14"/>
              </w:numPr>
              <w:rPr>
                <w:sz w:val="22"/>
                <w:szCs w:val="28"/>
              </w:rPr>
            </w:pPr>
            <w:r w:rsidRPr="008A38CC">
              <w:t>A statewide transportation planning process that identifies the needs of low-income and minority populations.</w:t>
            </w:r>
          </w:p>
        </w:tc>
        <w:tc>
          <w:tcPr>
            <w:tcW w:w="1350" w:type="dxa"/>
            <w:vAlign w:val="center"/>
          </w:tcPr>
          <w:p w:rsidR="00DB472F" w:rsidRDefault="00E00DB7" w:rsidP="0064099D">
            <w:pPr>
              <w:jc w:val="center"/>
              <w:rPr>
                <w:sz w:val="22"/>
                <w:szCs w:val="28"/>
              </w:rPr>
            </w:pPr>
            <w:r>
              <w:rPr>
                <w:sz w:val="22"/>
                <w:szCs w:val="28"/>
              </w:rPr>
              <w:t>No</w:t>
            </w:r>
          </w:p>
        </w:tc>
      </w:tr>
      <w:tr w:rsidR="00DB472F" w:rsidTr="007C3CA4">
        <w:trPr>
          <w:cantSplit/>
        </w:trPr>
        <w:tc>
          <w:tcPr>
            <w:tcW w:w="7938" w:type="dxa"/>
          </w:tcPr>
          <w:p w:rsidR="00DB472F" w:rsidRDefault="00DB472F" w:rsidP="0064099D">
            <w:pPr>
              <w:numPr>
                <w:ilvl w:val="0"/>
                <w:numId w:val="14"/>
              </w:numPr>
              <w:rPr>
                <w:sz w:val="22"/>
                <w:szCs w:val="28"/>
              </w:rPr>
            </w:pPr>
            <w:r w:rsidRPr="008A38CC">
              <w:t>An analytical process that identifies the benefits and burdens of the State’s transportation system investments for different socioeconomic groups, identifying imbalances, and responding to the analyses produced.</w:t>
            </w:r>
          </w:p>
        </w:tc>
        <w:tc>
          <w:tcPr>
            <w:tcW w:w="1350" w:type="dxa"/>
            <w:vAlign w:val="center"/>
          </w:tcPr>
          <w:p w:rsidR="00DB472F" w:rsidRDefault="00E00DB7" w:rsidP="0064099D">
            <w:pPr>
              <w:jc w:val="center"/>
              <w:rPr>
                <w:sz w:val="22"/>
                <w:szCs w:val="28"/>
              </w:rPr>
            </w:pPr>
            <w:r>
              <w:rPr>
                <w:sz w:val="22"/>
                <w:szCs w:val="28"/>
              </w:rPr>
              <w:t>No</w:t>
            </w:r>
          </w:p>
        </w:tc>
      </w:tr>
    </w:tbl>
    <w:p w:rsidR="009E1095" w:rsidRDefault="009E1095" w:rsidP="007C3CA4">
      <w:pPr>
        <w:pStyle w:val="BodyTextIndent2"/>
        <w:ind w:firstLine="0"/>
        <w:rPr>
          <w:sz w:val="28"/>
          <w:szCs w:val="28"/>
        </w:rPr>
      </w:pPr>
    </w:p>
    <w:p w:rsidR="00CB33F0" w:rsidRDefault="005370B2" w:rsidP="005370B2">
      <w:pPr>
        <w:pStyle w:val="BodyTextIndent2"/>
        <w:spacing w:line="360" w:lineRule="auto"/>
        <w:ind w:firstLine="0"/>
        <w:rPr>
          <w:sz w:val="28"/>
          <w:szCs w:val="28"/>
        </w:rPr>
      </w:pPr>
      <w:r>
        <w:rPr>
          <w:sz w:val="28"/>
          <w:szCs w:val="28"/>
        </w:rPr>
        <w:t xml:space="preserve">During the Review, UDOT did provide maps showing the distribution of FTA funding throughout the state by the minority </w:t>
      </w:r>
      <w:r w:rsidR="00C07E4D">
        <w:rPr>
          <w:sz w:val="28"/>
          <w:szCs w:val="28"/>
        </w:rPr>
        <w:t xml:space="preserve">and low-income </w:t>
      </w:r>
      <w:r>
        <w:rPr>
          <w:sz w:val="28"/>
          <w:szCs w:val="28"/>
        </w:rPr>
        <w:t xml:space="preserve">population and the population in poverty. </w:t>
      </w:r>
      <w:r w:rsidR="00C07E4D">
        <w:rPr>
          <w:sz w:val="28"/>
          <w:szCs w:val="28"/>
        </w:rPr>
        <w:t xml:space="preserve"> </w:t>
      </w:r>
      <w:r>
        <w:rPr>
          <w:sz w:val="28"/>
          <w:szCs w:val="28"/>
        </w:rPr>
        <w:t xml:space="preserve">It also provided a demographic profile of the state. </w:t>
      </w:r>
      <w:r w:rsidR="00F249D9">
        <w:rPr>
          <w:sz w:val="28"/>
          <w:szCs w:val="28"/>
        </w:rPr>
        <w:t xml:space="preserve">UDOT indicated in its document entitled </w:t>
      </w:r>
      <w:r w:rsidR="00F249D9" w:rsidRPr="00F52DBA">
        <w:rPr>
          <w:i/>
          <w:sz w:val="28"/>
          <w:szCs w:val="28"/>
        </w:rPr>
        <w:t>Documents Required for Title 6 Review</w:t>
      </w:r>
      <w:r w:rsidR="00754A65">
        <w:rPr>
          <w:sz w:val="28"/>
          <w:szCs w:val="28"/>
        </w:rPr>
        <w:t xml:space="preserve"> that “UDOT is in the process of hiring a Title VI officer to implement and oversee UDOT’s FTA and FHWA compliance”.</w:t>
      </w:r>
      <w:r w:rsidR="00F249D9">
        <w:rPr>
          <w:sz w:val="28"/>
          <w:szCs w:val="28"/>
        </w:rPr>
        <w:t xml:space="preserve"> </w:t>
      </w:r>
    </w:p>
    <w:p w:rsidR="00E87E96" w:rsidRPr="00CB33F0" w:rsidRDefault="00E87E96" w:rsidP="00CB33F0">
      <w:pPr>
        <w:pStyle w:val="BodyTextIndent2"/>
        <w:rPr>
          <w:sz w:val="28"/>
          <w:szCs w:val="28"/>
        </w:rPr>
      </w:pPr>
    </w:p>
    <w:p w:rsidR="00CB33F0" w:rsidRDefault="00CB33F0" w:rsidP="00CB33F0">
      <w:pPr>
        <w:pStyle w:val="ListContinue2"/>
        <w:spacing w:after="0" w:line="360" w:lineRule="auto"/>
        <w:ind w:left="0"/>
        <w:rPr>
          <w:sz w:val="28"/>
          <w:szCs w:val="28"/>
        </w:rPr>
      </w:pPr>
      <w:r w:rsidRPr="00CB33F0">
        <w:rPr>
          <w:b/>
          <w:bCs/>
          <w:sz w:val="28"/>
          <w:szCs w:val="28"/>
        </w:rPr>
        <w:t>Corrective Actions and Schedules</w:t>
      </w:r>
      <w:r w:rsidRPr="00CB33F0">
        <w:rPr>
          <w:bCs/>
          <w:sz w:val="28"/>
          <w:szCs w:val="28"/>
        </w:rPr>
        <w:t xml:space="preserve">: Within </w:t>
      </w:r>
      <w:r w:rsidR="002566B9">
        <w:rPr>
          <w:bCs/>
          <w:sz w:val="28"/>
          <w:szCs w:val="28"/>
        </w:rPr>
        <w:t>9</w:t>
      </w:r>
      <w:r w:rsidRPr="00CB33F0">
        <w:rPr>
          <w:bCs/>
          <w:sz w:val="28"/>
          <w:szCs w:val="28"/>
        </w:rPr>
        <w:t xml:space="preserve">0 days, </w:t>
      </w:r>
      <w:r w:rsidR="006C274C">
        <w:rPr>
          <w:sz w:val="28"/>
          <w:szCs w:val="28"/>
        </w:rPr>
        <w:t>UDOT</w:t>
      </w:r>
      <w:r w:rsidR="002566B9" w:rsidRPr="002566B9">
        <w:rPr>
          <w:sz w:val="28"/>
          <w:szCs w:val="28"/>
        </w:rPr>
        <w:t xml:space="preserve"> must submit </w:t>
      </w:r>
      <w:r w:rsidR="00DE71F1" w:rsidRPr="00C00537">
        <w:rPr>
          <w:sz w:val="28"/>
          <w:szCs w:val="28"/>
        </w:rPr>
        <w:t xml:space="preserve">the FTA </w:t>
      </w:r>
      <w:r w:rsidR="00DE71F1">
        <w:rPr>
          <w:sz w:val="28"/>
          <w:szCs w:val="28"/>
        </w:rPr>
        <w:t>Equal Opportunity Specialist in FTA’s Headquarters Office of Civil Rights</w:t>
      </w:r>
      <w:r w:rsidR="002566B9" w:rsidRPr="002566B9">
        <w:rPr>
          <w:sz w:val="28"/>
          <w:szCs w:val="28"/>
        </w:rPr>
        <w:t xml:space="preserve"> documentation that it has an analytical basis in place for certifying compliance of its FTA-funded programs with Title VI.</w:t>
      </w:r>
    </w:p>
    <w:p w:rsidR="00740062" w:rsidRPr="002566B9" w:rsidRDefault="00740062" w:rsidP="00CB33F0">
      <w:pPr>
        <w:pStyle w:val="ListContinue2"/>
        <w:spacing w:after="0" w:line="360" w:lineRule="auto"/>
        <w:ind w:left="0"/>
        <w:rPr>
          <w:bCs/>
          <w:sz w:val="28"/>
          <w:szCs w:val="28"/>
        </w:rPr>
      </w:pPr>
    </w:p>
    <w:p w:rsidR="00F80A8D" w:rsidRDefault="00CB33F0" w:rsidP="00CB33F0">
      <w:pPr>
        <w:pStyle w:val="BHLevel2"/>
        <w:rPr>
          <w:sz w:val="28"/>
          <w:szCs w:val="28"/>
        </w:rPr>
      </w:pPr>
      <w:bookmarkStart w:id="22" w:name="_Toc253152162"/>
      <w:r w:rsidRPr="00CB33F0">
        <w:rPr>
          <w:sz w:val="28"/>
          <w:szCs w:val="28"/>
        </w:rPr>
        <w:t>Program Administration</w:t>
      </w:r>
      <w:bookmarkEnd w:id="22"/>
    </w:p>
    <w:p w:rsidR="00F80A8D" w:rsidRDefault="00F80A8D">
      <w:pPr>
        <w:pStyle w:val="BodyTextIndent2"/>
        <w:ind w:firstLine="0"/>
        <w:rPr>
          <w:i/>
          <w:iCs/>
          <w:sz w:val="28"/>
        </w:rPr>
      </w:pPr>
      <w:r>
        <w:rPr>
          <w:b/>
          <w:sz w:val="28"/>
          <w:szCs w:val="28"/>
        </w:rPr>
        <w:t xml:space="preserve">Requirement:  </w:t>
      </w:r>
      <w:r w:rsidR="00CB33F0" w:rsidRPr="00CB33F0">
        <w:rPr>
          <w:bCs/>
          <w:i/>
          <w:iCs/>
          <w:sz w:val="28"/>
          <w:szCs w:val="28"/>
        </w:rPr>
        <w:t>State DOT recipients should document that they pass through Federal Transit Administration (FTA) funds under the Transportation for Elderly Individuals and Individuals with Disabilities, Rural and Small Urban Area Formula Funding, JARC, and New Freedom grant programs without regard to race, color, or national origin and that minority populations are not being denied the benefits of or excluded from participation in these programs</w:t>
      </w:r>
      <w:r>
        <w:rPr>
          <w:i/>
          <w:iCs/>
          <w:sz w:val="28"/>
        </w:rPr>
        <w:t>.</w:t>
      </w:r>
    </w:p>
    <w:p w:rsidR="00F80A8D" w:rsidRDefault="00F80A8D">
      <w:pPr>
        <w:spacing w:line="360" w:lineRule="auto"/>
        <w:rPr>
          <w:b/>
          <w:sz w:val="28"/>
          <w:szCs w:val="28"/>
        </w:rPr>
      </w:pPr>
    </w:p>
    <w:p w:rsidR="00C07E4D" w:rsidRDefault="00F80A8D" w:rsidP="000F1C0E">
      <w:pPr>
        <w:spacing w:line="360" w:lineRule="auto"/>
        <w:rPr>
          <w:sz w:val="28"/>
          <w:szCs w:val="28"/>
        </w:rPr>
      </w:pPr>
      <w:r>
        <w:rPr>
          <w:b/>
          <w:sz w:val="28"/>
          <w:szCs w:val="28"/>
        </w:rPr>
        <w:t>Findings:</w:t>
      </w:r>
      <w:r>
        <w:rPr>
          <w:sz w:val="28"/>
          <w:szCs w:val="28"/>
        </w:rPr>
        <w:t xml:space="preserve"> </w:t>
      </w:r>
      <w:r w:rsidR="00CB33F0" w:rsidRPr="00CB33F0">
        <w:rPr>
          <w:sz w:val="28"/>
          <w:szCs w:val="28"/>
        </w:rPr>
        <w:t xml:space="preserve">During this Title VI Compliance Review of </w:t>
      </w:r>
      <w:r w:rsidR="006C274C">
        <w:rPr>
          <w:sz w:val="28"/>
          <w:szCs w:val="28"/>
        </w:rPr>
        <w:t>UDOT</w:t>
      </w:r>
      <w:r w:rsidR="00CB33F0" w:rsidRPr="00CB33F0">
        <w:rPr>
          <w:sz w:val="28"/>
          <w:szCs w:val="28"/>
        </w:rPr>
        <w:t xml:space="preserve">, </w:t>
      </w:r>
      <w:r w:rsidR="00CB33F0" w:rsidRPr="0080784D">
        <w:rPr>
          <w:sz w:val="28"/>
          <w:szCs w:val="28"/>
        </w:rPr>
        <w:t>deficiencies</w:t>
      </w:r>
      <w:r w:rsidR="00CB33F0" w:rsidRPr="00CB33F0">
        <w:rPr>
          <w:sz w:val="28"/>
          <w:szCs w:val="28"/>
        </w:rPr>
        <w:t xml:space="preserve"> were found regarding </w:t>
      </w:r>
      <w:r w:rsidR="006C274C">
        <w:rPr>
          <w:sz w:val="28"/>
          <w:szCs w:val="28"/>
        </w:rPr>
        <w:t>UDOT</w:t>
      </w:r>
      <w:r w:rsidR="00CB33F0" w:rsidRPr="00CB33F0">
        <w:rPr>
          <w:sz w:val="28"/>
          <w:szCs w:val="28"/>
        </w:rPr>
        <w:t xml:space="preserve">’s compliance with FTA requirements for Program </w:t>
      </w:r>
      <w:r w:rsidR="00CB33F0" w:rsidRPr="00CB33F0">
        <w:rPr>
          <w:sz w:val="28"/>
          <w:szCs w:val="28"/>
        </w:rPr>
        <w:lastRenderedPageBreak/>
        <w:t xml:space="preserve">Administration. </w:t>
      </w:r>
      <w:r w:rsidR="00AC5A61">
        <w:rPr>
          <w:sz w:val="28"/>
          <w:szCs w:val="28"/>
        </w:rPr>
        <w:t xml:space="preserve">During the Review, </w:t>
      </w:r>
      <w:r w:rsidR="006C274C">
        <w:rPr>
          <w:sz w:val="28"/>
          <w:szCs w:val="28"/>
        </w:rPr>
        <w:t>UDOT</w:t>
      </w:r>
      <w:r w:rsidR="000F1C0E" w:rsidRPr="000F1C0E">
        <w:rPr>
          <w:sz w:val="28"/>
          <w:szCs w:val="28"/>
        </w:rPr>
        <w:t xml:space="preserve"> </w:t>
      </w:r>
      <w:r w:rsidR="00AC5A61">
        <w:rPr>
          <w:sz w:val="28"/>
          <w:szCs w:val="28"/>
        </w:rPr>
        <w:t xml:space="preserve">did not provide documentation that it </w:t>
      </w:r>
      <w:r w:rsidR="000F1C0E" w:rsidRPr="000F1C0E">
        <w:rPr>
          <w:sz w:val="28"/>
          <w:szCs w:val="28"/>
        </w:rPr>
        <w:t xml:space="preserve">had performed the </w:t>
      </w:r>
      <w:r w:rsidR="00AC5A61">
        <w:rPr>
          <w:sz w:val="28"/>
          <w:szCs w:val="28"/>
        </w:rPr>
        <w:t>P</w:t>
      </w:r>
      <w:r w:rsidR="000F1C0E" w:rsidRPr="000F1C0E">
        <w:rPr>
          <w:sz w:val="28"/>
          <w:szCs w:val="28"/>
        </w:rPr>
        <w:t xml:space="preserve">rogram </w:t>
      </w:r>
      <w:r w:rsidR="00AC5A61">
        <w:rPr>
          <w:sz w:val="28"/>
          <w:szCs w:val="28"/>
        </w:rPr>
        <w:t>A</w:t>
      </w:r>
      <w:r w:rsidR="000F1C0E" w:rsidRPr="000F1C0E">
        <w:rPr>
          <w:sz w:val="28"/>
          <w:szCs w:val="28"/>
        </w:rPr>
        <w:t>dministration activities</w:t>
      </w:r>
      <w:r w:rsidR="00AC5A61" w:rsidRPr="00AC5A61">
        <w:rPr>
          <w:sz w:val="28"/>
          <w:szCs w:val="28"/>
        </w:rPr>
        <w:t xml:space="preserve"> </w:t>
      </w:r>
      <w:r w:rsidR="00AC5A61" w:rsidRPr="000F1C0E">
        <w:rPr>
          <w:sz w:val="28"/>
          <w:szCs w:val="28"/>
        </w:rPr>
        <w:t>as described in the Circular</w:t>
      </w:r>
      <w:r w:rsidR="000F1C0E" w:rsidRPr="000F1C0E">
        <w:rPr>
          <w:sz w:val="28"/>
          <w:szCs w:val="28"/>
        </w:rPr>
        <w:t>, such as</w:t>
      </w:r>
      <w:r w:rsidR="00C07E4D">
        <w:rPr>
          <w:sz w:val="28"/>
          <w:szCs w:val="28"/>
        </w:rPr>
        <w:t>:</w:t>
      </w:r>
    </w:p>
    <w:p w:rsidR="00C07E4D" w:rsidRDefault="00C07E4D" w:rsidP="00C07E4D">
      <w:pPr>
        <w:pStyle w:val="ListParagraph"/>
        <w:numPr>
          <w:ilvl w:val="0"/>
          <w:numId w:val="46"/>
        </w:numPr>
        <w:spacing w:line="360" w:lineRule="auto"/>
        <w:rPr>
          <w:sz w:val="28"/>
          <w:szCs w:val="28"/>
        </w:rPr>
      </w:pPr>
      <w:r>
        <w:rPr>
          <w:sz w:val="28"/>
          <w:szCs w:val="28"/>
        </w:rPr>
        <w:t>D</w:t>
      </w:r>
      <w:r w:rsidR="002B4E89" w:rsidRPr="00C07E4D">
        <w:rPr>
          <w:sz w:val="28"/>
          <w:szCs w:val="28"/>
        </w:rPr>
        <w:t>escrib</w:t>
      </w:r>
      <w:r w:rsidR="000F1C0E" w:rsidRPr="00C07E4D">
        <w:rPr>
          <w:sz w:val="28"/>
          <w:szCs w:val="28"/>
        </w:rPr>
        <w:t xml:space="preserve">ing </w:t>
      </w:r>
      <w:r w:rsidR="00306763" w:rsidRPr="00C07E4D">
        <w:rPr>
          <w:sz w:val="28"/>
          <w:szCs w:val="28"/>
        </w:rPr>
        <w:t xml:space="preserve">the </w:t>
      </w:r>
      <w:r w:rsidR="002B4E89" w:rsidRPr="00C07E4D">
        <w:rPr>
          <w:sz w:val="28"/>
          <w:szCs w:val="28"/>
        </w:rPr>
        <w:t>competitive selection process</w:t>
      </w:r>
      <w:r w:rsidR="00306763" w:rsidRPr="00C07E4D">
        <w:rPr>
          <w:sz w:val="28"/>
          <w:szCs w:val="28"/>
        </w:rPr>
        <w:t xml:space="preserve"> that emphasized the method used to ensure the equitable distribution of funds to subrecipients that served predominantly minority and low-income populations, including Native American tribes, where present</w:t>
      </w:r>
      <w:r>
        <w:rPr>
          <w:sz w:val="28"/>
          <w:szCs w:val="28"/>
        </w:rPr>
        <w:t>,</w:t>
      </w:r>
    </w:p>
    <w:p w:rsidR="00C07E4D" w:rsidRDefault="00C07E4D" w:rsidP="00C07E4D">
      <w:pPr>
        <w:pStyle w:val="ListParagraph"/>
        <w:numPr>
          <w:ilvl w:val="0"/>
          <w:numId w:val="46"/>
        </w:numPr>
        <w:spacing w:line="360" w:lineRule="auto"/>
        <w:rPr>
          <w:sz w:val="28"/>
          <w:szCs w:val="28"/>
        </w:rPr>
      </w:pPr>
      <w:r>
        <w:rPr>
          <w:sz w:val="28"/>
          <w:szCs w:val="28"/>
        </w:rPr>
        <w:t>Maintaining</w:t>
      </w:r>
      <w:r w:rsidR="000F1C0E" w:rsidRPr="00C07E4D">
        <w:rPr>
          <w:sz w:val="28"/>
          <w:szCs w:val="28"/>
        </w:rPr>
        <w:t xml:space="preserve"> a record of requests for funding</w:t>
      </w:r>
      <w:r w:rsidR="00D51E24" w:rsidRPr="00C07E4D">
        <w:rPr>
          <w:sz w:val="28"/>
          <w:szCs w:val="28"/>
        </w:rPr>
        <w:t xml:space="preserve"> that identifie</w:t>
      </w:r>
      <w:r w:rsidR="00306763" w:rsidRPr="00C07E4D">
        <w:rPr>
          <w:sz w:val="28"/>
          <w:szCs w:val="28"/>
        </w:rPr>
        <w:t xml:space="preserve">d </w:t>
      </w:r>
      <w:r w:rsidR="002B4E89" w:rsidRPr="00C07E4D">
        <w:rPr>
          <w:sz w:val="28"/>
          <w:szCs w:val="28"/>
        </w:rPr>
        <w:t>those applicants that would use grant program funds to provide assistance to predominantly minority and low-income populations</w:t>
      </w:r>
      <w:r w:rsidR="000F1C0E" w:rsidRPr="00C07E4D">
        <w:rPr>
          <w:sz w:val="28"/>
          <w:szCs w:val="28"/>
        </w:rPr>
        <w:t xml:space="preserve">, </w:t>
      </w:r>
      <w:r>
        <w:rPr>
          <w:sz w:val="28"/>
          <w:szCs w:val="28"/>
        </w:rPr>
        <w:t>or</w:t>
      </w:r>
    </w:p>
    <w:p w:rsidR="000F1C0E" w:rsidRPr="00C07E4D" w:rsidRDefault="00C07E4D" w:rsidP="00C07E4D">
      <w:pPr>
        <w:pStyle w:val="ListParagraph"/>
        <w:numPr>
          <w:ilvl w:val="0"/>
          <w:numId w:val="46"/>
        </w:numPr>
        <w:spacing w:line="360" w:lineRule="auto"/>
        <w:rPr>
          <w:sz w:val="28"/>
          <w:szCs w:val="28"/>
        </w:rPr>
      </w:pPr>
      <w:r>
        <w:rPr>
          <w:sz w:val="28"/>
          <w:szCs w:val="28"/>
        </w:rPr>
        <w:t>A</w:t>
      </w:r>
      <w:r w:rsidR="000F1C0E" w:rsidRPr="00C07E4D">
        <w:rPr>
          <w:sz w:val="28"/>
          <w:szCs w:val="28"/>
        </w:rPr>
        <w:t xml:space="preserve">ssisting potential subrecipients who might </w:t>
      </w:r>
      <w:r w:rsidR="00306763" w:rsidRPr="00C07E4D">
        <w:rPr>
          <w:sz w:val="28"/>
          <w:szCs w:val="28"/>
        </w:rPr>
        <w:t xml:space="preserve">have </w:t>
      </w:r>
      <w:r w:rsidR="000F1C0E" w:rsidRPr="00C07E4D">
        <w:rPr>
          <w:sz w:val="28"/>
          <w:szCs w:val="28"/>
        </w:rPr>
        <w:t>serve</w:t>
      </w:r>
      <w:r w:rsidR="00306763" w:rsidRPr="00C07E4D">
        <w:rPr>
          <w:sz w:val="28"/>
          <w:szCs w:val="28"/>
        </w:rPr>
        <w:t>d</w:t>
      </w:r>
      <w:r w:rsidR="000F1C0E" w:rsidRPr="00C07E4D">
        <w:rPr>
          <w:sz w:val="28"/>
          <w:szCs w:val="28"/>
        </w:rPr>
        <w:t xml:space="preserve"> minor</w:t>
      </w:r>
      <w:r>
        <w:rPr>
          <w:sz w:val="28"/>
          <w:szCs w:val="28"/>
        </w:rPr>
        <w:t>ity and low-income populations.</w:t>
      </w:r>
    </w:p>
    <w:p w:rsidR="00D51E24" w:rsidRDefault="00D51E24" w:rsidP="000F1C0E">
      <w:pPr>
        <w:spacing w:line="360" w:lineRule="auto"/>
        <w:rPr>
          <w:sz w:val="24"/>
          <w:szCs w:val="24"/>
        </w:rPr>
      </w:pPr>
    </w:p>
    <w:p w:rsidR="00306763" w:rsidRDefault="00417A9F" w:rsidP="005E7600">
      <w:pPr>
        <w:pStyle w:val="NoSpacing"/>
        <w:spacing w:line="360" w:lineRule="auto"/>
        <w:rPr>
          <w:sz w:val="28"/>
          <w:szCs w:val="28"/>
        </w:rPr>
      </w:pPr>
      <w:r w:rsidRPr="006E6429">
        <w:rPr>
          <w:rFonts w:ascii="Times New Roman" w:hAnsi="Times New Roman"/>
          <w:sz w:val="28"/>
          <w:szCs w:val="28"/>
        </w:rPr>
        <w:t>UDOT’s S</w:t>
      </w:r>
      <w:r w:rsidR="006E6429" w:rsidRPr="006E6429">
        <w:rPr>
          <w:rFonts w:ascii="Times New Roman" w:hAnsi="Times New Roman"/>
          <w:sz w:val="28"/>
          <w:szCs w:val="28"/>
        </w:rPr>
        <w:t xml:space="preserve">tate Management </w:t>
      </w:r>
      <w:r w:rsidRPr="006E6429">
        <w:rPr>
          <w:rFonts w:ascii="Times New Roman" w:hAnsi="Times New Roman"/>
          <w:sz w:val="28"/>
          <w:szCs w:val="28"/>
        </w:rPr>
        <w:t>P</w:t>
      </w:r>
      <w:r w:rsidR="006E6429" w:rsidRPr="006E6429">
        <w:rPr>
          <w:rFonts w:ascii="Times New Roman" w:hAnsi="Times New Roman"/>
          <w:sz w:val="28"/>
          <w:szCs w:val="28"/>
        </w:rPr>
        <w:t xml:space="preserve">lan (SMP), entitled </w:t>
      </w:r>
      <w:r w:rsidR="006E6429" w:rsidRPr="006E6429">
        <w:rPr>
          <w:rFonts w:ascii="Times New Roman" w:hAnsi="Times New Roman"/>
          <w:i/>
          <w:sz w:val="28"/>
          <w:szCs w:val="28"/>
        </w:rPr>
        <w:t>UDOT State Management Plan Federal Transit Grant Programs</w:t>
      </w:r>
      <w:r w:rsidR="006E6429">
        <w:rPr>
          <w:rFonts w:ascii="Times New Roman" w:hAnsi="Times New Roman"/>
          <w:sz w:val="28"/>
          <w:szCs w:val="28"/>
        </w:rPr>
        <w:t>,</w:t>
      </w:r>
      <w:r w:rsidR="005E7600">
        <w:rPr>
          <w:rFonts w:ascii="Times New Roman" w:hAnsi="Times New Roman"/>
          <w:sz w:val="28"/>
          <w:szCs w:val="28"/>
        </w:rPr>
        <w:t xml:space="preserve"> </w:t>
      </w:r>
      <w:r w:rsidR="006E6429" w:rsidRPr="00754A65">
        <w:rPr>
          <w:rFonts w:ascii="Times New Roman" w:hAnsi="Times New Roman"/>
          <w:sz w:val="28"/>
          <w:szCs w:val="28"/>
        </w:rPr>
        <w:t>dated February</w:t>
      </w:r>
      <w:r w:rsidR="00306763" w:rsidRPr="00754A65">
        <w:rPr>
          <w:rFonts w:ascii="Times New Roman" w:hAnsi="Times New Roman"/>
          <w:sz w:val="28"/>
          <w:szCs w:val="28"/>
        </w:rPr>
        <w:t>,</w:t>
      </w:r>
      <w:r w:rsidR="006E6429" w:rsidRPr="00754A65">
        <w:rPr>
          <w:rFonts w:ascii="Times New Roman" w:hAnsi="Times New Roman"/>
          <w:sz w:val="28"/>
          <w:szCs w:val="28"/>
        </w:rPr>
        <w:t xml:space="preserve"> 2010, </w:t>
      </w:r>
      <w:r w:rsidRPr="00754A65">
        <w:rPr>
          <w:rFonts w:ascii="Times New Roman" w:hAnsi="Times New Roman"/>
          <w:sz w:val="28"/>
          <w:szCs w:val="28"/>
        </w:rPr>
        <w:t>describe</w:t>
      </w:r>
      <w:r w:rsidR="006E6429" w:rsidRPr="00754A65">
        <w:rPr>
          <w:rFonts w:ascii="Times New Roman" w:hAnsi="Times New Roman"/>
          <w:sz w:val="28"/>
          <w:szCs w:val="28"/>
        </w:rPr>
        <w:t>d a</w:t>
      </w:r>
      <w:r w:rsidRPr="00754A65">
        <w:rPr>
          <w:rFonts w:ascii="Times New Roman" w:hAnsi="Times New Roman"/>
          <w:sz w:val="28"/>
          <w:szCs w:val="28"/>
        </w:rPr>
        <w:t xml:space="preserve"> </w:t>
      </w:r>
      <w:r w:rsidR="00D51E24" w:rsidRPr="00754A65">
        <w:rPr>
          <w:rFonts w:ascii="Times New Roman" w:hAnsi="Times New Roman"/>
          <w:sz w:val="28"/>
          <w:szCs w:val="28"/>
        </w:rPr>
        <w:t>competitive selection proce</w:t>
      </w:r>
      <w:r w:rsidR="00306763" w:rsidRPr="00754A65">
        <w:rPr>
          <w:rFonts w:ascii="Times New Roman" w:hAnsi="Times New Roman"/>
          <w:sz w:val="28"/>
          <w:szCs w:val="28"/>
        </w:rPr>
        <w:t>dure</w:t>
      </w:r>
      <w:r w:rsidR="00D51E24" w:rsidRPr="00754A65">
        <w:rPr>
          <w:rFonts w:ascii="Times New Roman" w:hAnsi="Times New Roman"/>
          <w:sz w:val="28"/>
          <w:szCs w:val="28"/>
        </w:rPr>
        <w:t xml:space="preserve"> </w:t>
      </w:r>
      <w:r w:rsidR="00407122" w:rsidRPr="00754A65">
        <w:rPr>
          <w:rFonts w:ascii="Times New Roman" w:hAnsi="Times New Roman"/>
          <w:sz w:val="28"/>
          <w:szCs w:val="28"/>
        </w:rPr>
        <w:t>for passing through FTA funds</w:t>
      </w:r>
      <w:r w:rsidR="006E6429" w:rsidRPr="00754A65">
        <w:rPr>
          <w:rFonts w:ascii="Times New Roman" w:hAnsi="Times New Roman"/>
          <w:sz w:val="28"/>
          <w:szCs w:val="28"/>
        </w:rPr>
        <w:t xml:space="preserve"> to subrecipients</w:t>
      </w:r>
      <w:r w:rsidR="00407122" w:rsidRPr="00754A65">
        <w:rPr>
          <w:rFonts w:ascii="Times New Roman" w:hAnsi="Times New Roman"/>
          <w:sz w:val="28"/>
          <w:szCs w:val="28"/>
        </w:rPr>
        <w:t xml:space="preserve">. </w:t>
      </w:r>
      <w:r w:rsidR="00306763" w:rsidRPr="00754A65">
        <w:rPr>
          <w:rFonts w:ascii="Times New Roman" w:hAnsi="Times New Roman"/>
          <w:sz w:val="28"/>
          <w:szCs w:val="28"/>
        </w:rPr>
        <w:t>Section 2.5.2 of the SMP stated:</w:t>
      </w:r>
    </w:p>
    <w:p w:rsidR="005E7600" w:rsidRDefault="005E7600" w:rsidP="005E7600">
      <w:pPr>
        <w:pStyle w:val="NoSpacing"/>
        <w:rPr>
          <w:sz w:val="28"/>
          <w:szCs w:val="28"/>
        </w:rPr>
      </w:pPr>
    </w:p>
    <w:p w:rsidR="00306763" w:rsidRPr="00306763" w:rsidRDefault="00306763" w:rsidP="00A379AD">
      <w:pPr>
        <w:pStyle w:val="Heading3"/>
        <w:ind w:left="720"/>
        <w:rPr>
          <w:i/>
          <w:sz w:val="28"/>
          <w:szCs w:val="28"/>
        </w:rPr>
      </w:pPr>
      <w:r w:rsidRPr="00306763">
        <w:rPr>
          <w:i/>
          <w:sz w:val="28"/>
          <w:szCs w:val="28"/>
          <w:u w:val="single"/>
        </w:rPr>
        <w:t>Equitable Distribution of Funds</w:t>
      </w:r>
      <w:r w:rsidRPr="00306763">
        <w:rPr>
          <w:i/>
          <w:sz w:val="28"/>
          <w:szCs w:val="28"/>
        </w:rPr>
        <w:t xml:space="preserve">: The PTT has adopted policies and procedures to ensure that the competitive selection process is conducted in an open and transparent matter, resulting in a fair and equitable distribution of funds among agencies across the state, including tribal governments and other entities servicing Native Americans. This does not mean that the selection process will result in an equal allocation of resources among projects or communities. Instead, equitable distribution refers to equal access </w:t>
      </w:r>
      <w:proofErr w:type="gramStart"/>
      <w:r w:rsidRPr="00306763">
        <w:rPr>
          <w:i/>
          <w:sz w:val="28"/>
          <w:szCs w:val="28"/>
        </w:rPr>
        <w:t>to,</w:t>
      </w:r>
      <w:proofErr w:type="gramEnd"/>
      <w:r w:rsidRPr="00306763">
        <w:rPr>
          <w:i/>
          <w:sz w:val="28"/>
          <w:szCs w:val="28"/>
        </w:rPr>
        <w:t xml:space="preserve"> and equal treatment by, a fair and open competitive selection process.</w:t>
      </w:r>
    </w:p>
    <w:p w:rsidR="00306763" w:rsidRDefault="00306763" w:rsidP="00CB33F0">
      <w:pPr>
        <w:spacing w:line="360" w:lineRule="auto"/>
        <w:rPr>
          <w:sz w:val="28"/>
          <w:szCs w:val="28"/>
        </w:rPr>
      </w:pPr>
    </w:p>
    <w:p w:rsidR="00306763" w:rsidRPr="002B4E89" w:rsidRDefault="00306763" w:rsidP="00CB33F0">
      <w:pPr>
        <w:spacing w:line="360" w:lineRule="auto"/>
        <w:rPr>
          <w:sz w:val="28"/>
          <w:szCs w:val="28"/>
        </w:rPr>
      </w:pPr>
      <w:r>
        <w:rPr>
          <w:sz w:val="28"/>
          <w:szCs w:val="28"/>
        </w:rPr>
        <w:t xml:space="preserve">Although the section mentioned </w:t>
      </w:r>
      <w:r w:rsidRPr="00306763">
        <w:rPr>
          <w:i/>
          <w:sz w:val="28"/>
          <w:szCs w:val="28"/>
        </w:rPr>
        <w:t>tribal governments and other entities servicing Native Americans</w:t>
      </w:r>
      <w:r>
        <w:rPr>
          <w:sz w:val="28"/>
          <w:szCs w:val="28"/>
        </w:rPr>
        <w:t>, it</w:t>
      </w:r>
      <w:r w:rsidR="006E6429">
        <w:rPr>
          <w:sz w:val="28"/>
          <w:szCs w:val="28"/>
        </w:rPr>
        <w:t xml:space="preserve"> did not</w:t>
      </w:r>
      <w:r w:rsidR="006E6429" w:rsidRPr="006E6429">
        <w:rPr>
          <w:sz w:val="28"/>
          <w:szCs w:val="28"/>
        </w:rPr>
        <w:t xml:space="preserve"> </w:t>
      </w:r>
      <w:r w:rsidR="00754A65">
        <w:rPr>
          <w:sz w:val="28"/>
          <w:szCs w:val="28"/>
        </w:rPr>
        <w:t>describe</w:t>
      </w:r>
      <w:r w:rsidR="006E6429" w:rsidRPr="006E6429">
        <w:rPr>
          <w:sz w:val="28"/>
          <w:szCs w:val="28"/>
        </w:rPr>
        <w:t xml:space="preserve"> the </w:t>
      </w:r>
      <w:r w:rsidR="006E6429" w:rsidRPr="00306763">
        <w:rPr>
          <w:i/>
          <w:sz w:val="28"/>
          <w:szCs w:val="28"/>
        </w:rPr>
        <w:t>method</w:t>
      </w:r>
      <w:r w:rsidR="006E6429" w:rsidRPr="006E6429">
        <w:rPr>
          <w:sz w:val="28"/>
          <w:szCs w:val="28"/>
        </w:rPr>
        <w:t xml:space="preserve"> used to ensure the equitable </w:t>
      </w:r>
      <w:r w:rsidR="006E6429" w:rsidRPr="006E6429">
        <w:rPr>
          <w:sz w:val="28"/>
          <w:szCs w:val="28"/>
        </w:rPr>
        <w:lastRenderedPageBreak/>
        <w:t>distribution of funds to subrecipients that serve predominantly minority and low-income populations, including Native American tribes, where present.</w:t>
      </w:r>
      <w:r w:rsidR="006E6429">
        <w:t xml:space="preserve"> </w:t>
      </w:r>
      <w:r w:rsidR="00493307">
        <w:rPr>
          <w:sz w:val="28"/>
          <w:szCs w:val="28"/>
        </w:rPr>
        <w:t xml:space="preserve"> During the </w:t>
      </w:r>
      <w:r w:rsidR="007E12C9">
        <w:rPr>
          <w:sz w:val="28"/>
          <w:szCs w:val="28"/>
        </w:rPr>
        <w:t>R</w:t>
      </w:r>
      <w:r w:rsidR="00493307">
        <w:rPr>
          <w:sz w:val="28"/>
          <w:szCs w:val="28"/>
        </w:rPr>
        <w:t xml:space="preserve">eview, UDOT did not </w:t>
      </w:r>
      <w:r w:rsidR="00163463">
        <w:rPr>
          <w:sz w:val="28"/>
          <w:szCs w:val="28"/>
        </w:rPr>
        <w:t xml:space="preserve">provide </w:t>
      </w:r>
      <w:r w:rsidR="002B4E89">
        <w:rPr>
          <w:sz w:val="28"/>
          <w:szCs w:val="28"/>
        </w:rPr>
        <w:t xml:space="preserve">any adopted procedures that ensured a fair and equitable distribution that included the consideration of </w:t>
      </w:r>
      <w:r w:rsidR="002B4E89" w:rsidRPr="006E6429">
        <w:rPr>
          <w:sz w:val="28"/>
          <w:szCs w:val="28"/>
        </w:rPr>
        <w:t>predominantly minority and low-income populations</w:t>
      </w:r>
      <w:r w:rsidR="002B4E89">
        <w:rPr>
          <w:sz w:val="28"/>
          <w:szCs w:val="28"/>
        </w:rPr>
        <w:t xml:space="preserve"> or </w:t>
      </w:r>
      <w:r w:rsidR="002B4E89" w:rsidRPr="00306763">
        <w:rPr>
          <w:i/>
          <w:sz w:val="28"/>
          <w:szCs w:val="28"/>
        </w:rPr>
        <w:t>tribal governments and other entities servicing Native Americans</w:t>
      </w:r>
      <w:r w:rsidR="002B4E89">
        <w:rPr>
          <w:sz w:val="28"/>
          <w:szCs w:val="28"/>
        </w:rPr>
        <w:t>.</w:t>
      </w:r>
    </w:p>
    <w:p w:rsidR="00306763" w:rsidRDefault="00306763" w:rsidP="00CB33F0">
      <w:pPr>
        <w:spacing w:line="360" w:lineRule="auto"/>
      </w:pPr>
    </w:p>
    <w:p w:rsidR="00DF7E1B" w:rsidRDefault="00306763" w:rsidP="00CB33F0">
      <w:pPr>
        <w:spacing w:line="360" w:lineRule="auto"/>
        <w:rPr>
          <w:sz w:val="28"/>
          <w:szCs w:val="28"/>
        </w:rPr>
      </w:pPr>
      <w:r>
        <w:rPr>
          <w:sz w:val="28"/>
          <w:szCs w:val="28"/>
        </w:rPr>
        <w:t xml:space="preserve">The Civil Rights section of the SMP contained the following language: </w:t>
      </w:r>
    </w:p>
    <w:p w:rsidR="00DF7E1B" w:rsidRDefault="00DF7E1B" w:rsidP="00CB33F0">
      <w:pPr>
        <w:spacing w:line="360" w:lineRule="auto"/>
        <w:rPr>
          <w:sz w:val="28"/>
          <w:szCs w:val="28"/>
        </w:rPr>
      </w:pPr>
    </w:p>
    <w:p w:rsidR="00DF7E1B" w:rsidRPr="00DF7E1B" w:rsidRDefault="00DF7E1B" w:rsidP="00A379AD">
      <w:pPr>
        <w:ind w:left="720"/>
        <w:rPr>
          <w:i/>
          <w:sz w:val="28"/>
          <w:szCs w:val="28"/>
        </w:rPr>
      </w:pPr>
      <w:r w:rsidRPr="00DF7E1B">
        <w:rPr>
          <w:i/>
          <w:sz w:val="28"/>
          <w:szCs w:val="28"/>
        </w:rPr>
        <w:t xml:space="preserve">UDOT adheres to Federal Civil Rights requirements through agency monitoring and </w:t>
      </w:r>
      <w:proofErr w:type="gramStart"/>
      <w:r w:rsidRPr="00DF7E1B">
        <w:rPr>
          <w:i/>
          <w:sz w:val="28"/>
          <w:szCs w:val="28"/>
        </w:rPr>
        <w:t>administration,</w:t>
      </w:r>
      <w:proofErr w:type="gramEnd"/>
      <w:r w:rsidRPr="00DF7E1B">
        <w:rPr>
          <w:i/>
          <w:sz w:val="28"/>
          <w:szCs w:val="28"/>
        </w:rPr>
        <w:t xml:space="preserve"> and the establishment of a Title VI program plan.</w:t>
      </w:r>
    </w:p>
    <w:p w:rsidR="00A379AD" w:rsidRDefault="00A379AD" w:rsidP="00A379AD">
      <w:pPr>
        <w:ind w:left="720"/>
        <w:rPr>
          <w:i/>
          <w:sz w:val="28"/>
          <w:szCs w:val="28"/>
        </w:rPr>
      </w:pPr>
    </w:p>
    <w:p w:rsidR="00DF7E1B" w:rsidRPr="00DF7E1B" w:rsidRDefault="00DF7E1B" w:rsidP="00A379AD">
      <w:pPr>
        <w:ind w:left="720"/>
        <w:rPr>
          <w:i/>
          <w:sz w:val="28"/>
          <w:szCs w:val="28"/>
        </w:rPr>
      </w:pPr>
      <w:r w:rsidRPr="00DF7E1B">
        <w:rPr>
          <w:i/>
          <w:sz w:val="28"/>
          <w:szCs w:val="28"/>
        </w:rPr>
        <w:t>The PTT also maintains a records file of Section 5310, 5311, 5316, and 5317 Program funding requests that identifies applicants that are minority organizations or provides assistance to minority communities.  In order to reach out to minority organizations and inform them of the opportunity to participate in Section programs, the Department will provide annual notices of the availability of funding to all known transit operators, including Indian tribes and minority organizations.  Additionally, statewide media coverage is facilitated through Public Notice advertisements.</w:t>
      </w:r>
    </w:p>
    <w:p w:rsidR="00306763" w:rsidRDefault="00306763" w:rsidP="00CB33F0">
      <w:pPr>
        <w:spacing w:line="360" w:lineRule="auto"/>
        <w:rPr>
          <w:sz w:val="28"/>
          <w:szCs w:val="28"/>
        </w:rPr>
      </w:pPr>
      <w:r>
        <w:t xml:space="preserve"> </w:t>
      </w:r>
    </w:p>
    <w:p w:rsidR="00306763" w:rsidRDefault="00DF7E1B" w:rsidP="00CB33F0">
      <w:pPr>
        <w:spacing w:line="360" w:lineRule="auto"/>
        <w:rPr>
          <w:sz w:val="28"/>
          <w:szCs w:val="28"/>
        </w:rPr>
      </w:pPr>
      <w:r>
        <w:rPr>
          <w:sz w:val="28"/>
          <w:szCs w:val="28"/>
        </w:rPr>
        <w:t>During the Review, UDOT did not provide documentation that it maintained a record</w:t>
      </w:r>
      <w:r w:rsidR="0083091D">
        <w:rPr>
          <w:sz w:val="28"/>
          <w:szCs w:val="28"/>
        </w:rPr>
        <w:t>s</w:t>
      </w:r>
      <w:r>
        <w:rPr>
          <w:sz w:val="28"/>
          <w:szCs w:val="28"/>
        </w:rPr>
        <w:t xml:space="preserve"> file as described above. </w:t>
      </w:r>
      <w:r w:rsidR="00A379AD">
        <w:rPr>
          <w:sz w:val="28"/>
          <w:szCs w:val="28"/>
        </w:rPr>
        <w:t xml:space="preserve"> </w:t>
      </w:r>
      <w:r>
        <w:rPr>
          <w:sz w:val="28"/>
          <w:szCs w:val="28"/>
        </w:rPr>
        <w:t xml:space="preserve">The records file provided during the Review, a document entitled </w:t>
      </w:r>
      <w:r w:rsidRPr="000E04F2">
        <w:rPr>
          <w:i/>
          <w:sz w:val="28"/>
          <w:szCs w:val="28"/>
        </w:rPr>
        <w:t>UDOT 2009 FTA APPLICATION CYCLE 5310-5311-5316-5317 Federal Programs</w:t>
      </w:r>
      <w:r w:rsidR="000E04F2">
        <w:rPr>
          <w:sz w:val="28"/>
          <w:szCs w:val="28"/>
        </w:rPr>
        <w:t xml:space="preserve">, did not identify </w:t>
      </w:r>
      <w:r w:rsidR="000E04F2" w:rsidRPr="000E04F2">
        <w:rPr>
          <w:sz w:val="28"/>
          <w:szCs w:val="28"/>
        </w:rPr>
        <w:t xml:space="preserve">applicants that </w:t>
      </w:r>
      <w:r w:rsidR="000E04F2">
        <w:rPr>
          <w:sz w:val="28"/>
          <w:szCs w:val="28"/>
        </w:rPr>
        <w:t>we</w:t>
      </w:r>
      <w:r w:rsidR="000E04F2" w:rsidRPr="000E04F2">
        <w:rPr>
          <w:sz w:val="28"/>
          <w:szCs w:val="28"/>
        </w:rPr>
        <w:t>re minority organizations or provide</w:t>
      </w:r>
      <w:r w:rsidR="000E04F2">
        <w:rPr>
          <w:sz w:val="28"/>
          <w:szCs w:val="28"/>
        </w:rPr>
        <w:t>d</w:t>
      </w:r>
      <w:r w:rsidR="000E04F2" w:rsidRPr="000E04F2">
        <w:rPr>
          <w:sz w:val="28"/>
          <w:szCs w:val="28"/>
        </w:rPr>
        <w:t xml:space="preserve"> assistance to minority communities</w:t>
      </w:r>
      <w:r w:rsidR="000E04F2">
        <w:rPr>
          <w:sz w:val="28"/>
          <w:szCs w:val="28"/>
        </w:rPr>
        <w:t xml:space="preserve">. </w:t>
      </w:r>
      <w:r w:rsidR="00A379AD">
        <w:rPr>
          <w:sz w:val="28"/>
          <w:szCs w:val="28"/>
        </w:rPr>
        <w:t xml:space="preserve"> </w:t>
      </w:r>
      <w:r w:rsidR="007615CE">
        <w:rPr>
          <w:sz w:val="28"/>
          <w:szCs w:val="28"/>
        </w:rPr>
        <w:t xml:space="preserve">Another “Record of Requests for Funding” table provided in the document entitled </w:t>
      </w:r>
      <w:r w:rsidR="007615CE" w:rsidRPr="00F52DBA">
        <w:rPr>
          <w:i/>
          <w:sz w:val="28"/>
          <w:szCs w:val="28"/>
        </w:rPr>
        <w:t>Documents Required for Title 6 Review</w:t>
      </w:r>
      <w:r w:rsidR="007615CE">
        <w:rPr>
          <w:sz w:val="28"/>
          <w:szCs w:val="28"/>
        </w:rPr>
        <w:t xml:space="preserve"> also did not identify </w:t>
      </w:r>
      <w:r w:rsidR="007615CE" w:rsidRPr="000E04F2">
        <w:rPr>
          <w:sz w:val="28"/>
          <w:szCs w:val="28"/>
        </w:rPr>
        <w:t xml:space="preserve">applicants that </w:t>
      </w:r>
      <w:r w:rsidR="007615CE">
        <w:rPr>
          <w:sz w:val="28"/>
          <w:szCs w:val="28"/>
        </w:rPr>
        <w:t>we</w:t>
      </w:r>
      <w:r w:rsidR="007615CE" w:rsidRPr="000E04F2">
        <w:rPr>
          <w:sz w:val="28"/>
          <w:szCs w:val="28"/>
        </w:rPr>
        <w:t xml:space="preserve">re minority </w:t>
      </w:r>
      <w:r w:rsidR="007615CE">
        <w:rPr>
          <w:sz w:val="28"/>
          <w:szCs w:val="28"/>
        </w:rPr>
        <w:t xml:space="preserve">or </w:t>
      </w:r>
      <w:r w:rsidR="007615CE">
        <w:rPr>
          <w:sz w:val="28"/>
          <w:szCs w:val="28"/>
        </w:rPr>
        <w:lastRenderedPageBreak/>
        <w:t xml:space="preserve">low-income </w:t>
      </w:r>
      <w:r w:rsidR="007615CE" w:rsidRPr="000E04F2">
        <w:rPr>
          <w:sz w:val="28"/>
          <w:szCs w:val="28"/>
        </w:rPr>
        <w:t>organizations or provide</w:t>
      </w:r>
      <w:r w:rsidR="007615CE">
        <w:rPr>
          <w:sz w:val="28"/>
          <w:szCs w:val="28"/>
        </w:rPr>
        <w:t>d</w:t>
      </w:r>
      <w:r w:rsidR="007615CE" w:rsidRPr="000E04F2">
        <w:rPr>
          <w:sz w:val="28"/>
          <w:szCs w:val="28"/>
        </w:rPr>
        <w:t xml:space="preserve"> assistance to minority </w:t>
      </w:r>
      <w:r w:rsidR="007615CE">
        <w:rPr>
          <w:sz w:val="28"/>
          <w:szCs w:val="28"/>
        </w:rPr>
        <w:t xml:space="preserve">or low-income </w:t>
      </w:r>
      <w:r w:rsidR="007615CE" w:rsidRPr="000E04F2">
        <w:rPr>
          <w:sz w:val="28"/>
          <w:szCs w:val="28"/>
        </w:rPr>
        <w:t>communities</w:t>
      </w:r>
      <w:r w:rsidR="007615CE">
        <w:rPr>
          <w:sz w:val="28"/>
          <w:szCs w:val="28"/>
        </w:rPr>
        <w:t>.</w:t>
      </w:r>
    </w:p>
    <w:p w:rsidR="000E04F2" w:rsidRDefault="000E04F2" w:rsidP="00CB33F0">
      <w:pPr>
        <w:spacing w:line="360" w:lineRule="auto"/>
        <w:rPr>
          <w:sz w:val="28"/>
          <w:szCs w:val="28"/>
        </w:rPr>
      </w:pPr>
    </w:p>
    <w:p w:rsidR="000E04F2" w:rsidRDefault="000E04F2" w:rsidP="00CB33F0">
      <w:pPr>
        <w:spacing w:line="360" w:lineRule="auto"/>
        <w:rPr>
          <w:sz w:val="28"/>
          <w:szCs w:val="28"/>
        </w:rPr>
      </w:pPr>
      <w:r>
        <w:rPr>
          <w:sz w:val="28"/>
          <w:szCs w:val="28"/>
        </w:rPr>
        <w:t xml:space="preserve">The UDOT </w:t>
      </w:r>
      <w:r w:rsidR="00493307">
        <w:rPr>
          <w:sz w:val="28"/>
          <w:szCs w:val="28"/>
        </w:rPr>
        <w:t>A</w:t>
      </w:r>
      <w:r>
        <w:rPr>
          <w:sz w:val="28"/>
          <w:szCs w:val="28"/>
        </w:rPr>
        <w:t>pplication for Section 5310, 5311, 5316, and 5317 funding provided during the Review contained a section on Civil Rights and that section contained the following questions:</w:t>
      </w:r>
    </w:p>
    <w:p w:rsidR="000E04F2" w:rsidRDefault="000E04F2" w:rsidP="00CB33F0">
      <w:pPr>
        <w:spacing w:line="360" w:lineRule="auto"/>
        <w:rPr>
          <w:sz w:val="28"/>
          <w:szCs w:val="28"/>
        </w:rPr>
      </w:pPr>
    </w:p>
    <w:p w:rsidR="000E04F2" w:rsidRPr="00493307" w:rsidRDefault="000E04F2" w:rsidP="00493307">
      <w:pPr>
        <w:pStyle w:val="ListParagraph"/>
        <w:numPr>
          <w:ilvl w:val="0"/>
          <w:numId w:val="44"/>
        </w:numPr>
        <w:spacing w:line="360" w:lineRule="auto"/>
        <w:rPr>
          <w:i/>
          <w:sz w:val="28"/>
          <w:szCs w:val="28"/>
        </w:rPr>
      </w:pPr>
      <w:r w:rsidRPr="00493307">
        <w:rPr>
          <w:i/>
          <w:sz w:val="28"/>
          <w:szCs w:val="28"/>
        </w:rPr>
        <w:t>Has your agency had any lawsuits or complaints lodged against them involving civil rights issues in the past three years</w:t>
      </w:r>
      <w:r w:rsidR="00C07E4D">
        <w:rPr>
          <w:i/>
          <w:sz w:val="28"/>
          <w:szCs w:val="28"/>
        </w:rPr>
        <w:t>?</w:t>
      </w:r>
    </w:p>
    <w:p w:rsidR="00493307" w:rsidRPr="00493307" w:rsidRDefault="00493307" w:rsidP="00493307">
      <w:pPr>
        <w:pStyle w:val="ListParagraph"/>
        <w:numPr>
          <w:ilvl w:val="0"/>
          <w:numId w:val="44"/>
        </w:numPr>
        <w:spacing w:line="360" w:lineRule="auto"/>
        <w:rPr>
          <w:i/>
          <w:sz w:val="28"/>
          <w:szCs w:val="28"/>
        </w:rPr>
      </w:pPr>
      <w:r w:rsidRPr="00493307">
        <w:rPr>
          <w:i/>
          <w:sz w:val="28"/>
          <w:szCs w:val="28"/>
        </w:rPr>
        <w:t>If Yes, describe how many and indicate if they have been resolved</w:t>
      </w:r>
    </w:p>
    <w:p w:rsidR="00493307" w:rsidRPr="00493307" w:rsidRDefault="00493307" w:rsidP="00493307">
      <w:pPr>
        <w:pStyle w:val="ListParagraph"/>
        <w:numPr>
          <w:ilvl w:val="0"/>
          <w:numId w:val="44"/>
        </w:numPr>
        <w:spacing w:line="360" w:lineRule="auto"/>
        <w:rPr>
          <w:i/>
          <w:sz w:val="28"/>
          <w:szCs w:val="28"/>
        </w:rPr>
      </w:pPr>
      <w:r w:rsidRPr="00493307">
        <w:rPr>
          <w:i/>
          <w:sz w:val="28"/>
          <w:szCs w:val="28"/>
        </w:rPr>
        <w:t>Agency is minority owned</w:t>
      </w:r>
      <w:r w:rsidR="00C07E4D">
        <w:rPr>
          <w:i/>
          <w:sz w:val="28"/>
          <w:szCs w:val="28"/>
        </w:rPr>
        <w:t>?</w:t>
      </w:r>
    </w:p>
    <w:p w:rsidR="00493307" w:rsidRPr="00493307" w:rsidRDefault="00493307" w:rsidP="00493307">
      <w:pPr>
        <w:pStyle w:val="ListParagraph"/>
        <w:numPr>
          <w:ilvl w:val="0"/>
          <w:numId w:val="44"/>
        </w:numPr>
        <w:spacing w:line="360" w:lineRule="auto"/>
        <w:rPr>
          <w:i/>
          <w:sz w:val="28"/>
          <w:szCs w:val="28"/>
        </w:rPr>
      </w:pPr>
      <w:r w:rsidRPr="00493307">
        <w:rPr>
          <w:i/>
          <w:sz w:val="28"/>
          <w:szCs w:val="28"/>
        </w:rPr>
        <w:t>Agree to comply with all applicable federal ci</w:t>
      </w:r>
      <w:r w:rsidR="00C07E4D">
        <w:rPr>
          <w:i/>
          <w:sz w:val="28"/>
          <w:szCs w:val="28"/>
        </w:rPr>
        <w:t>vil rights laws and regulations?</w:t>
      </w:r>
    </w:p>
    <w:p w:rsidR="00493307" w:rsidRPr="00FC0B2B" w:rsidRDefault="00493307" w:rsidP="00CB33F0">
      <w:pPr>
        <w:spacing w:line="360" w:lineRule="auto"/>
        <w:rPr>
          <w:sz w:val="28"/>
          <w:szCs w:val="28"/>
        </w:rPr>
      </w:pPr>
    </w:p>
    <w:p w:rsidR="00493307" w:rsidRDefault="00FC0B2B" w:rsidP="00CB33F0">
      <w:pPr>
        <w:spacing w:line="360" w:lineRule="auto"/>
        <w:rPr>
          <w:sz w:val="28"/>
          <w:szCs w:val="28"/>
        </w:rPr>
      </w:pPr>
      <w:r w:rsidRPr="00FC0B2B">
        <w:rPr>
          <w:sz w:val="28"/>
          <w:szCs w:val="28"/>
        </w:rPr>
        <w:t>There</w:t>
      </w:r>
      <w:r>
        <w:t xml:space="preserve"> </w:t>
      </w:r>
      <w:r>
        <w:rPr>
          <w:sz w:val="28"/>
          <w:szCs w:val="28"/>
        </w:rPr>
        <w:t xml:space="preserve">were no </w:t>
      </w:r>
      <w:r w:rsidRPr="00FC0B2B">
        <w:rPr>
          <w:sz w:val="28"/>
          <w:szCs w:val="28"/>
        </w:rPr>
        <w:t xml:space="preserve">questions </w:t>
      </w:r>
      <w:r>
        <w:rPr>
          <w:sz w:val="28"/>
          <w:szCs w:val="28"/>
        </w:rPr>
        <w:t>that collected information as to whether an applicant</w:t>
      </w:r>
      <w:r w:rsidRPr="006E6429">
        <w:rPr>
          <w:sz w:val="28"/>
          <w:szCs w:val="28"/>
        </w:rPr>
        <w:t xml:space="preserve"> serve</w:t>
      </w:r>
      <w:r>
        <w:rPr>
          <w:sz w:val="28"/>
          <w:szCs w:val="28"/>
        </w:rPr>
        <w:t>d</w:t>
      </w:r>
      <w:r w:rsidRPr="006E6429">
        <w:rPr>
          <w:sz w:val="28"/>
          <w:szCs w:val="28"/>
        </w:rPr>
        <w:t xml:space="preserve"> predominantly minority </w:t>
      </w:r>
      <w:r w:rsidR="007615CE">
        <w:rPr>
          <w:sz w:val="28"/>
          <w:szCs w:val="28"/>
        </w:rPr>
        <w:t>or</w:t>
      </w:r>
      <w:r w:rsidRPr="006E6429">
        <w:rPr>
          <w:sz w:val="28"/>
          <w:szCs w:val="28"/>
        </w:rPr>
        <w:t xml:space="preserve"> low-income populations, including Native American tribes</w:t>
      </w:r>
      <w:r>
        <w:rPr>
          <w:sz w:val="28"/>
          <w:szCs w:val="28"/>
        </w:rPr>
        <w:t xml:space="preserve">. </w:t>
      </w:r>
      <w:r w:rsidR="00493307">
        <w:rPr>
          <w:sz w:val="28"/>
          <w:szCs w:val="28"/>
        </w:rPr>
        <w:t xml:space="preserve">The UDOT Application Review Sheet that was used to rank applications contained a Civil Rights </w:t>
      </w:r>
      <w:r>
        <w:rPr>
          <w:sz w:val="28"/>
          <w:szCs w:val="28"/>
        </w:rPr>
        <w:t>section</w:t>
      </w:r>
      <w:r w:rsidR="00493307">
        <w:rPr>
          <w:sz w:val="28"/>
          <w:szCs w:val="28"/>
        </w:rPr>
        <w:t xml:space="preserve"> that was based on responses to the questions above. </w:t>
      </w:r>
    </w:p>
    <w:p w:rsidR="00FC0B2B" w:rsidRPr="00493307" w:rsidRDefault="00FC0B2B" w:rsidP="00CB33F0">
      <w:pPr>
        <w:spacing w:line="360" w:lineRule="auto"/>
        <w:rPr>
          <w:sz w:val="28"/>
          <w:szCs w:val="28"/>
        </w:rPr>
      </w:pPr>
    </w:p>
    <w:p w:rsidR="00F80A8D" w:rsidRDefault="007C3CA4" w:rsidP="00CB33F0">
      <w:pPr>
        <w:spacing w:line="360" w:lineRule="auto"/>
        <w:rPr>
          <w:sz w:val="28"/>
          <w:szCs w:val="28"/>
        </w:rPr>
      </w:pPr>
      <w:r>
        <w:rPr>
          <w:sz w:val="28"/>
          <w:szCs w:val="28"/>
        </w:rPr>
        <w:t xml:space="preserve">The following table contains </w:t>
      </w:r>
      <w:r w:rsidR="003B5DDA">
        <w:rPr>
          <w:sz w:val="28"/>
          <w:szCs w:val="28"/>
        </w:rPr>
        <w:t xml:space="preserve">Circular </w:t>
      </w:r>
      <w:r>
        <w:rPr>
          <w:sz w:val="28"/>
          <w:szCs w:val="28"/>
        </w:rPr>
        <w:t xml:space="preserve">guidance for Program Administration and whether </w:t>
      </w:r>
      <w:r w:rsidR="006C274C">
        <w:rPr>
          <w:sz w:val="28"/>
          <w:szCs w:val="28"/>
        </w:rPr>
        <w:t>UDOT</w:t>
      </w:r>
      <w:r>
        <w:rPr>
          <w:sz w:val="28"/>
          <w:szCs w:val="28"/>
        </w:rPr>
        <w:t xml:space="preserve"> followed the guidance</w:t>
      </w:r>
      <w:r w:rsidR="00407122">
        <w:rPr>
          <w:sz w:val="28"/>
          <w:szCs w:val="28"/>
        </w:rPr>
        <w:t xml:space="preserve">, either in the </w:t>
      </w:r>
      <w:r w:rsidR="00407122" w:rsidRPr="00407122">
        <w:rPr>
          <w:i/>
          <w:sz w:val="28"/>
          <w:szCs w:val="28"/>
        </w:rPr>
        <w:t>State Management Plan</w:t>
      </w:r>
      <w:r w:rsidR="00407122">
        <w:rPr>
          <w:sz w:val="28"/>
          <w:szCs w:val="28"/>
        </w:rPr>
        <w:t xml:space="preserve"> or any other document</w:t>
      </w:r>
      <w:r>
        <w:rPr>
          <w:sz w:val="28"/>
          <w:szCs w:val="28"/>
        </w:rPr>
        <w:t>:</w:t>
      </w:r>
    </w:p>
    <w:p w:rsidR="00C07E4D" w:rsidRDefault="00C07E4D">
      <w:pPr>
        <w:rPr>
          <w:sz w:val="28"/>
          <w:szCs w:val="28"/>
        </w:rPr>
      </w:pPr>
      <w:r>
        <w:rPr>
          <w:sz w:val="28"/>
          <w:szCs w:val="28"/>
        </w:rPr>
        <w:br w:type="page"/>
      </w:r>
    </w:p>
    <w:p w:rsidR="007C3CA4" w:rsidRDefault="007C3CA4" w:rsidP="007C3CA4">
      <w:pPr>
        <w:ind w:left="7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38"/>
        <w:gridCol w:w="1368"/>
      </w:tblGrid>
      <w:tr w:rsidR="007C3CA4" w:rsidTr="0064099D">
        <w:trPr>
          <w:cantSplit/>
        </w:trPr>
        <w:tc>
          <w:tcPr>
            <w:tcW w:w="7938" w:type="dxa"/>
          </w:tcPr>
          <w:p w:rsidR="007C3CA4" w:rsidRDefault="007C3CA4" w:rsidP="0064099D">
            <w:pPr>
              <w:rPr>
                <w:b/>
                <w:iCs/>
                <w:caps/>
                <w:sz w:val="24"/>
                <w:szCs w:val="24"/>
              </w:rPr>
            </w:pPr>
            <w:r>
              <w:rPr>
                <w:b/>
                <w:iCs/>
                <w:caps/>
                <w:sz w:val="24"/>
                <w:szCs w:val="24"/>
              </w:rPr>
              <w:t>GUIDANCE ON PROGRAM ADMINISTRATION</w:t>
            </w:r>
          </w:p>
          <w:p w:rsidR="007C3CA4" w:rsidRDefault="007C3CA4" w:rsidP="0064099D">
            <w:r>
              <w:rPr>
                <w:b/>
                <w:bCs/>
                <w:sz w:val="24"/>
                <w:szCs w:val="28"/>
              </w:rPr>
              <w:t>(Per FTA C. 4702.1A, VI, 2. a. (1) – (5))</w:t>
            </w:r>
          </w:p>
        </w:tc>
        <w:tc>
          <w:tcPr>
            <w:tcW w:w="1368" w:type="dxa"/>
            <w:shd w:val="clear" w:color="auto" w:fill="auto"/>
          </w:tcPr>
          <w:p w:rsidR="007C3CA4" w:rsidRPr="00DB472F" w:rsidRDefault="007C3CA4" w:rsidP="003B5DDA">
            <w:pPr>
              <w:jc w:val="center"/>
              <w:rPr>
                <w:b/>
                <w:sz w:val="22"/>
                <w:szCs w:val="28"/>
              </w:rPr>
            </w:pPr>
            <w:r w:rsidRPr="00DB472F">
              <w:rPr>
                <w:b/>
                <w:sz w:val="22"/>
                <w:szCs w:val="28"/>
              </w:rPr>
              <w:t xml:space="preserve">In </w:t>
            </w:r>
            <w:r w:rsidR="006C274C">
              <w:rPr>
                <w:b/>
                <w:sz w:val="22"/>
                <w:szCs w:val="28"/>
              </w:rPr>
              <w:t>UDOT</w:t>
            </w:r>
            <w:r w:rsidRPr="00DB472F">
              <w:rPr>
                <w:b/>
                <w:sz w:val="22"/>
                <w:szCs w:val="28"/>
              </w:rPr>
              <w:t xml:space="preserve"> </w:t>
            </w:r>
            <w:r w:rsidR="003B5DDA">
              <w:rPr>
                <w:b/>
                <w:sz w:val="22"/>
                <w:szCs w:val="28"/>
              </w:rPr>
              <w:t>Process</w:t>
            </w:r>
            <w:r w:rsidRPr="00DB472F">
              <w:rPr>
                <w:b/>
                <w:sz w:val="22"/>
                <w:szCs w:val="28"/>
              </w:rPr>
              <w:t>?</w:t>
            </w:r>
          </w:p>
        </w:tc>
      </w:tr>
      <w:tr w:rsidR="007C3CA4" w:rsidTr="0064099D">
        <w:trPr>
          <w:cantSplit/>
        </w:trPr>
        <w:tc>
          <w:tcPr>
            <w:tcW w:w="7938" w:type="dxa"/>
          </w:tcPr>
          <w:p w:rsidR="007C3CA4" w:rsidRPr="007C3CA4" w:rsidRDefault="007C3CA4" w:rsidP="0064099D">
            <w:pPr>
              <w:numPr>
                <w:ilvl w:val="0"/>
                <w:numId w:val="14"/>
              </w:numPr>
            </w:pPr>
            <w:r w:rsidRPr="007C3CA4">
              <w:t>A description of how the agency develops its competitive selection process or annual program of projects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tc>
        <w:tc>
          <w:tcPr>
            <w:tcW w:w="1368" w:type="dxa"/>
            <w:vAlign w:val="center"/>
          </w:tcPr>
          <w:p w:rsidR="007C3CA4" w:rsidRDefault="003B5DDA" w:rsidP="0064099D">
            <w:pPr>
              <w:jc w:val="center"/>
              <w:rPr>
                <w:sz w:val="22"/>
                <w:szCs w:val="28"/>
              </w:rPr>
            </w:pPr>
            <w:r>
              <w:rPr>
                <w:sz w:val="22"/>
                <w:szCs w:val="28"/>
              </w:rPr>
              <w:t>No</w:t>
            </w:r>
          </w:p>
        </w:tc>
      </w:tr>
      <w:tr w:rsidR="007C3CA4" w:rsidTr="0064099D">
        <w:trPr>
          <w:cantSplit/>
        </w:trPr>
        <w:tc>
          <w:tcPr>
            <w:tcW w:w="7938" w:type="dxa"/>
          </w:tcPr>
          <w:p w:rsidR="007C3CA4" w:rsidRPr="007C3CA4" w:rsidRDefault="007C3CA4" w:rsidP="0064099D">
            <w:pPr>
              <w:numPr>
                <w:ilvl w:val="0"/>
                <w:numId w:val="14"/>
              </w:numPr>
            </w:pPr>
            <w:r w:rsidRPr="007C3CA4">
              <w:t>A description of the agency’s criteria for selecting transit providers to participate in any FTA grant program.</w:t>
            </w:r>
          </w:p>
        </w:tc>
        <w:tc>
          <w:tcPr>
            <w:tcW w:w="1368" w:type="dxa"/>
            <w:vAlign w:val="center"/>
          </w:tcPr>
          <w:p w:rsidR="007C3CA4" w:rsidRDefault="00407122" w:rsidP="0064099D">
            <w:pPr>
              <w:jc w:val="center"/>
              <w:rPr>
                <w:sz w:val="22"/>
                <w:szCs w:val="28"/>
              </w:rPr>
            </w:pPr>
            <w:r>
              <w:rPr>
                <w:sz w:val="22"/>
                <w:szCs w:val="28"/>
              </w:rPr>
              <w:t>Yes, in SMP</w:t>
            </w:r>
          </w:p>
        </w:tc>
      </w:tr>
      <w:tr w:rsidR="007C3CA4" w:rsidTr="0064099D">
        <w:trPr>
          <w:cantSplit/>
        </w:trPr>
        <w:tc>
          <w:tcPr>
            <w:tcW w:w="7938" w:type="dxa"/>
          </w:tcPr>
          <w:p w:rsidR="007C3CA4" w:rsidRPr="007C3CA4" w:rsidRDefault="007C3CA4" w:rsidP="0064099D">
            <w:pPr>
              <w:numPr>
                <w:ilvl w:val="0"/>
                <w:numId w:val="14"/>
              </w:numPr>
            </w:pPr>
            <w:r w:rsidRPr="007C3CA4">
              <w:t>A record of requests for Elderly Individuals and Individuals with Disabilities, Rural and Small Urban Area Formula Funding, JARC, and New Freedom funding. The record should identify those applicants that would use grant program funds to provide assistance to predominantly minority and low-income populations. The record should also indicate whether those applicants were accepted or rejected for funding.</w:t>
            </w:r>
          </w:p>
        </w:tc>
        <w:tc>
          <w:tcPr>
            <w:tcW w:w="1368" w:type="dxa"/>
            <w:vAlign w:val="center"/>
          </w:tcPr>
          <w:p w:rsidR="00596328" w:rsidRDefault="003B5DDA" w:rsidP="0064099D">
            <w:pPr>
              <w:jc w:val="center"/>
              <w:rPr>
                <w:sz w:val="22"/>
                <w:szCs w:val="28"/>
              </w:rPr>
            </w:pPr>
            <w:r>
              <w:rPr>
                <w:sz w:val="22"/>
                <w:szCs w:val="28"/>
              </w:rPr>
              <w:t>No</w:t>
            </w:r>
          </w:p>
        </w:tc>
      </w:tr>
      <w:tr w:rsidR="007C3CA4" w:rsidTr="0064099D">
        <w:trPr>
          <w:cantSplit/>
        </w:trPr>
        <w:tc>
          <w:tcPr>
            <w:tcW w:w="7938" w:type="dxa"/>
          </w:tcPr>
          <w:p w:rsidR="007C3CA4" w:rsidRPr="007C3CA4" w:rsidRDefault="007C3CA4" w:rsidP="0064099D">
            <w:pPr>
              <w:numPr>
                <w:ilvl w:val="0"/>
                <w:numId w:val="14"/>
              </w:numPr>
            </w:pPr>
            <w:r w:rsidRPr="007C3CA4">
              <w:t>A description of the agency’s procedures to assist potential subrecipients in applying for Elderly Individuals and Individuals with Disabilities, Rural and Small Urban Area Formula Funding, JARC, and New Freedom funding, including any efforts to assist applicants that would serve predominantly minority and low-income populations.</w:t>
            </w:r>
          </w:p>
        </w:tc>
        <w:tc>
          <w:tcPr>
            <w:tcW w:w="1368" w:type="dxa"/>
            <w:vAlign w:val="center"/>
          </w:tcPr>
          <w:p w:rsidR="007C3CA4" w:rsidRDefault="003B5DDA" w:rsidP="0064099D">
            <w:pPr>
              <w:jc w:val="center"/>
              <w:rPr>
                <w:sz w:val="22"/>
                <w:szCs w:val="28"/>
              </w:rPr>
            </w:pPr>
            <w:r>
              <w:rPr>
                <w:sz w:val="22"/>
                <w:szCs w:val="28"/>
              </w:rPr>
              <w:t>No</w:t>
            </w:r>
          </w:p>
        </w:tc>
      </w:tr>
      <w:tr w:rsidR="007C3CA4" w:rsidTr="0064099D">
        <w:trPr>
          <w:cantSplit/>
        </w:trPr>
        <w:tc>
          <w:tcPr>
            <w:tcW w:w="7938" w:type="dxa"/>
          </w:tcPr>
          <w:p w:rsidR="007C3CA4" w:rsidRPr="007C3CA4" w:rsidRDefault="007C3CA4" w:rsidP="0064099D">
            <w:pPr>
              <w:numPr>
                <w:ilvl w:val="0"/>
                <w:numId w:val="14"/>
              </w:numPr>
            </w:pPr>
            <w:r w:rsidRPr="007C3CA4">
              <w:t>State DOTs or other administering agencies may classify applicants as providing service to predominantly minority and low-income populations if the proportion of minority and low-income people in the applicant’s service area exceeds the statewide average minority and low-income population.</w:t>
            </w:r>
          </w:p>
        </w:tc>
        <w:tc>
          <w:tcPr>
            <w:tcW w:w="1368" w:type="dxa"/>
            <w:vAlign w:val="center"/>
          </w:tcPr>
          <w:p w:rsidR="007C3CA4" w:rsidRDefault="003B5DDA" w:rsidP="0064099D">
            <w:pPr>
              <w:jc w:val="center"/>
              <w:rPr>
                <w:sz w:val="22"/>
                <w:szCs w:val="28"/>
              </w:rPr>
            </w:pPr>
            <w:r>
              <w:rPr>
                <w:sz w:val="22"/>
                <w:szCs w:val="28"/>
              </w:rPr>
              <w:t>No</w:t>
            </w:r>
          </w:p>
        </w:tc>
      </w:tr>
    </w:tbl>
    <w:p w:rsidR="007C3CA4" w:rsidRDefault="007C3CA4" w:rsidP="007C3CA4">
      <w:pPr>
        <w:ind w:left="720"/>
        <w:rPr>
          <w:sz w:val="28"/>
          <w:szCs w:val="28"/>
        </w:rPr>
      </w:pPr>
    </w:p>
    <w:p w:rsidR="00A2623C" w:rsidRDefault="00A2623C" w:rsidP="00A550A9">
      <w:pPr>
        <w:spacing w:line="360" w:lineRule="auto"/>
        <w:rPr>
          <w:b/>
          <w:bCs/>
          <w:sz w:val="28"/>
          <w:szCs w:val="28"/>
        </w:rPr>
      </w:pPr>
    </w:p>
    <w:p w:rsidR="00C657B3" w:rsidRPr="00C657B3" w:rsidRDefault="00A550A9" w:rsidP="00C657B3">
      <w:pPr>
        <w:spacing w:line="360" w:lineRule="auto"/>
        <w:rPr>
          <w:sz w:val="28"/>
          <w:szCs w:val="28"/>
        </w:rPr>
      </w:pPr>
      <w:r w:rsidRPr="00A550A9">
        <w:rPr>
          <w:b/>
          <w:bCs/>
          <w:sz w:val="28"/>
          <w:szCs w:val="28"/>
        </w:rPr>
        <w:t xml:space="preserve">Corrective Actions and Schedules: </w:t>
      </w:r>
      <w:r w:rsidRPr="00A550A9">
        <w:rPr>
          <w:sz w:val="28"/>
          <w:szCs w:val="28"/>
        </w:rPr>
        <w:t xml:space="preserve">Within </w:t>
      </w:r>
      <w:r w:rsidR="00C657B3">
        <w:rPr>
          <w:sz w:val="28"/>
          <w:szCs w:val="28"/>
        </w:rPr>
        <w:t>90</w:t>
      </w:r>
      <w:r w:rsidRPr="00A550A9">
        <w:rPr>
          <w:sz w:val="28"/>
          <w:szCs w:val="28"/>
        </w:rPr>
        <w:t xml:space="preserve"> days, </w:t>
      </w:r>
      <w:r w:rsidR="006C274C">
        <w:rPr>
          <w:sz w:val="28"/>
          <w:szCs w:val="28"/>
        </w:rPr>
        <w:t>UDOT</w:t>
      </w:r>
      <w:r w:rsidR="00C657B3" w:rsidRPr="00C657B3">
        <w:rPr>
          <w:sz w:val="28"/>
          <w:szCs w:val="28"/>
        </w:rPr>
        <w:t xml:space="preserve"> must submit to </w:t>
      </w:r>
      <w:r w:rsidR="00DE71F1" w:rsidRPr="00C00537">
        <w:rPr>
          <w:sz w:val="28"/>
          <w:szCs w:val="28"/>
        </w:rPr>
        <w:t xml:space="preserve">the FTA </w:t>
      </w:r>
      <w:r w:rsidR="00DE71F1">
        <w:rPr>
          <w:sz w:val="28"/>
          <w:szCs w:val="28"/>
        </w:rPr>
        <w:t>Equal Opportunity Specialist in FTA’s Headquarters Office of Civil Rights</w:t>
      </w:r>
      <w:r w:rsidR="00C657B3" w:rsidRPr="00C657B3">
        <w:rPr>
          <w:sz w:val="28"/>
          <w:szCs w:val="28"/>
        </w:rPr>
        <w:t xml:space="preserve"> documentation that it has procedures in place to fulfill </w:t>
      </w:r>
      <w:r w:rsidR="00E01F25">
        <w:rPr>
          <w:sz w:val="28"/>
          <w:szCs w:val="28"/>
        </w:rPr>
        <w:t xml:space="preserve">FTA </w:t>
      </w:r>
      <w:r w:rsidR="00C657B3" w:rsidRPr="00C657B3">
        <w:rPr>
          <w:sz w:val="28"/>
          <w:szCs w:val="28"/>
        </w:rPr>
        <w:t>C</w:t>
      </w:r>
      <w:r w:rsidR="00E01F25">
        <w:rPr>
          <w:sz w:val="28"/>
          <w:szCs w:val="28"/>
        </w:rPr>
        <w:t xml:space="preserve"> 4702.1A</w:t>
      </w:r>
      <w:r w:rsidR="00C657B3" w:rsidRPr="00C657B3">
        <w:rPr>
          <w:sz w:val="28"/>
          <w:szCs w:val="28"/>
        </w:rPr>
        <w:t xml:space="preserve"> requirements for Program Administration.</w:t>
      </w:r>
    </w:p>
    <w:p w:rsidR="00A550A9" w:rsidRPr="00A550A9" w:rsidRDefault="00A550A9" w:rsidP="00A550A9">
      <w:pPr>
        <w:spacing w:line="360" w:lineRule="auto"/>
        <w:rPr>
          <w:sz w:val="28"/>
          <w:szCs w:val="28"/>
        </w:rPr>
      </w:pPr>
    </w:p>
    <w:p w:rsidR="00916238" w:rsidRDefault="00916238">
      <w:pPr>
        <w:spacing w:line="360" w:lineRule="auto"/>
        <w:rPr>
          <w:sz w:val="28"/>
          <w:szCs w:val="28"/>
        </w:rPr>
      </w:pPr>
    </w:p>
    <w:p w:rsidR="00F80A8D" w:rsidRDefault="00A550A9">
      <w:pPr>
        <w:pStyle w:val="BHLevel2"/>
        <w:rPr>
          <w:sz w:val="28"/>
          <w:szCs w:val="28"/>
        </w:rPr>
      </w:pPr>
      <w:bookmarkStart w:id="23" w:name="_Toc253152163"/>
      <w:r w:rsidRPr="00A550A9">
        <w:rPr>
          <w:sz w:val="28"/>
          <w:szCs w:val="28"/>
        </w:rPr>
        <w:t>Providing Assistance to Subrecipients</w:t>
      </w:r>
      <w:bookmarkEnd w:id="23"/>
    </w:p>
    <w:p w:rsidR="00F80A8D" w:rsidRDefault="00F80A8D">
      <w:pPr>
        <w:pStyle w:val="BodyTextIndent2"/>
        <w:ind w:firstLine="0"/>
        <w:rPr>
          <w:i/>
          <w:iCs/>
        </w:rPr>
      </w:pPr>
      <w:r>
        <w:rPr>
          <w:b/>
          <w:sz w:val="28"/>
          <w:szCs w:val="28"/>
        </w:rPr>
        <w:t xml:space="preserve">Requirement: </w:t>
      </w:r>
      <w:r>
        <w:rPr>
          <w:sz w:val="28"/>
          <w:szCs w:val="28"/>
        </w:rPr>
        <w:t xml:space="preserve">  </w:t>
      </w:r>
      <w:r w:rsidR="00A550A9" w:rsidRPr="00A550A9">
        <w:rPr>
          <w:i/>
          <w:iCs/>
          <w:sz w:val="28"/>
          <w:szCs w:val="28"/>
        </w:rPr>
        <w:t>FTA recommends that agencies assist their subrecipients in complying with the general reporting requirements in Chapter IV.  The State DOT or other administrating agency should provide assistance at the request of a subrecipient or as deemed necessary and appropriate</w:t>
      </w:r>
      <w:r>
        <w:rPr>
          <w:i/>
          <w:iCs/>
          <w:sz w:val="28"/>
        </w:rPr>
        <w:t>.</w:t>
      </w:r>
    </w:p>
    <w:p w:rsidR="00F80A8D" w:rsidRDefault="00F80A8D">
      <w:pPr>
        <w:pStyle w:val="BodyTextIndent2"/>
        <w:tabs>
          <w:tab w:val="left" w:pos="6465"/>
        </w:tabs>
        <w:ind w:firstLine="0"/>
        <w:rPr>
          <w:i/>
          <w:iCs/>
        </w:rPr>
      </w:pPr>
      <w:r>
        <w:rPr>
          <w:i/>
          <w:iCs/>
        </w:rPr>
        <w:tab/>
      </w:r>
    </w:p>
    <w:p w:rsidR="008A2BF5" w:rsidRDefault="00F80A8D" w:rsidP="008A2BF5">
      <w:pPr>
        <w:spacing w:line="360" w:lineRule="auto"/>
        <w:rPr>
          <w:i/>
          <w:sz w:val="28"/>
          <w:szCs w:val="28"/>
          <w:u w:val="single"/>
        </w:rPr>
      </w:pPr>
      <w:r>
        <w:rPr>
          <w:b/>
          <w:sz w:val="28"/>
          <w:szCs w:val="28"/>
        </w:rPr>
        <w:t xml:space="preserve">Findings:  </w:t>
      </w:r>
      <w:r w:rsidR="00A550A9">
        <w:rPr>
          <w:sz w:val="28"/>
        </w:rPr>
        <w:t xml:space="preserve">During this Title VI Compliance Review of </w:t>
      </w:r>
      <w:r w:rsidR="006C274C">
        <w:rPr>
          <w:sz w:val="28"/>
        </w:rPr>
        <w:t>UDOT</w:t>
      </w:r>
      <w:r w:rsidR="00A550A9" w:rsidRPr="0080784D">
        <w:rPr>
          <w:sz w:val="28"/>
        </w:rPr>
        <w:t>, deficiencies</w:t>
      </w:r>
      <w:r w:rsidR="00A550A9">
        <w:rPr>
          <w:sz w:val="28"/>
        </w:rPr>
        <w:t xml:space="preserve"> were found regarding </w:t>
      </w:r>
      <w:r w:rsidR="006C274C">
        <w:rPr>
          <w:sz w:val="28"/>
        </w:rPr>
        <w:t>UDOT</w:t>
      </w:r>
      <w:r w:rsidR="00A550A9">
        <w:rPr>
          <w:sz w:val="28"/>
        </w:rPr>
        <w:t xml:space="preserve">’s compliance with FTA guidance for Providing Assistance </w:t>
      </w:r>
      <w:r w:rsidR="00A550A9">
        <w:rPr>
          <w:sz w:val="28"/>
        </w:rPr>
        <w:lastRenderedPageBreak/>
        <w:t>to Subrecipients</w:t>
      </w:r>
      <w:r w:rsidR="00807EBC">
        <w:rPr>
          <w:sz w:val="28"/>
        </w:rPr>
        <w:t xml:space="preserve">.  </w:t>
      </w:r>
      <w:r w:rsidR="007B5B1A">
        <w:rPr>
          <w:sz w:val="28"/>
        </w:rPr>
        <w:t xml:space="preserve">UDOT did not provide documentation that it was providing assistance to subrecipients as described in FTA C 4702.1A. </w:t>
      </w:r>
      <w:r w:rsidR="008A2BF5">
        <w:rPr>
          <w:sz w:val="28"/>
        </w:rPr>
        <w:t xml:space="preserve"> </w:t>
      </w:r>
      <w:r w:rsidR="007B5B1A">
        <w:rPr>
          <w:sz w:val="28"/>
        </w:rPr>
        <w:t xml:space="preserve">In its document entitled, </w:t>
      </w:r>
      <w:r w:rsidR="008A2BF5" w:rsidRPr="008A2BF5">
        <w:rPr>
          <w:i/>
          <w:sz w:val="28"/>
        </w:rPr>
        <w:t>Utah Department of Transportation – Public Transit Team Title VI Report – 3-19-10</w:t>
      </w:r>
      <w:r w:rsidR="008A2BF5">
        <w:rPr>
          <w:sz w:val="28"/>
        </w:rPr>
        <w:t xml:space="preserve">, </w:t>
      </w:r>
      <w:r w:rsidR="007B5B1A">
        <w:rPr>
          <w:sz w:val="28"/>
        </w:rPr>
        <w:t>UDOT provided the following discussion regarding providing assistance to subrecipients:</w:t>
      </w:r>
    </w:p>
    <w:p w:rsidR="007B5B1A" w:rsidRPr="007B5B1A" w:rsidRDefault="007B5B1A" w:rsidP="008A2BF5">
      <w:pPr>
        <w:ind w:left="720"/>
        <w:rPr>
          <w:i/>
          <w:sz w:val="28"/>
          <w:szCs w:val="28"/>
          <w:u w:val="single"/>
        </w:rPr>
      </w:pPr>
      <w:r w:rsidRPr="007B5B1A">
        <w:rPr>
          <w:i/>
          <w:sz w:val="28"/>
          <w:szCs w:val="28"/>
          <w:u w:val="single"/>
        </w:rPr>
        <w:t xml:space="preserve">Program Administration – Procedures used to provide assistance to </w:t>
      </w:r>
      <w:r w:rsidRPr="008A2BF5">
        <w:rPr>
          <w:i/>
          <w:sz w:val="28"/>
          <w:szCs w:val="28"/>
          <w:u w:val="single"/>
        </w:rPr>
        <w:t>potation</w:t>
      </w:r>
      <w:r w:rsidRPr="007B5B1A">
        <w:rPr>
          <w:i/>
          <w:sz w:val="28"/>
          <w:szCs w:val="28"/>
          <w:u w:val="single"/>
        </w:rPr>
        <w:t xml:space="preserve"> </w:t>
      </w:r>
      <w:r w:rsidR="001558E1">
        <w:rPr>
          <w:i/>
          <w:sz w:val="28"/>
          <w:szCs w:val="28"/>
          <w:u w:val="single"/>
        </w:rPr>
        <w:t xml:space="preserve">(Sic.) </w:t>
      </w:r>
      <w:r w:rsidRPr="007B5B1A">
        <w:rPr>
          <w:i/>
          <w:sz w:val="28"/>
          <w:szCs w:val="28"/>
          <w:u w:val="single"/>
        </w:rPr>
        <w:t>subrecipients in a non discriminatory manner</w:t>
      </w:r>
    </w:p>
    <w:p w:rsidR="007B5B1A" w:rsidRPr="007B5B1A" w:rsidRDefault="007B5B1A" w:rsidP="008A2BF5">
      <w:pPr>
        <w:autoSpaceDE w:val="0"/>
        <w:autoSpaceDN w:val="0"/>
        <w:adjustRightInd w:val="0"/>
        <w:ind w:left="720"/>
        <w:rPr>
          <w:rFonts w:cs="Calibri"/>
          <w:i/>
          <w:sz w:val="28"/>
          <w:szCs w:val="28"/>
        </w:rPr>
      </w:pPr>
      <w:r w:rsidRPr="007B5B1A">
        <w:rPr>
          <w:rFonts w:cs="Calibri"/>
          <w:i/>
          <w:sz w:val="28"/>
          <w:szCs w:val="28"/>
        </w:rPr>
        <w:t>Each year’s cycle of funding begins with a project development process that is initiated by an announcement of the availability of FTA funds. This announcement is sent to each agency listed in the PTT’s database of transportation providers, non</w:t>
      </w:r>
      <w:r>
        <w:rPr>
          <w:rFonts w:cs="Calibri"/>
          <w:i/>
          <w:sz w:val="28"/>
          <w:szCs w:val="28"/>
        </w:rPr>
        <w:t>-</w:t>
      </w:r>
      <w:r w:rsidRPr="007B5B1A">
        <w:rPr>
          <w:rFonts w:cs="Calibri"/>
          <w:i/>
          <w:sz w:val="28"/>
          <w:szCs w:val="28"/>
        </w:rPr>
        <w:t>profit organizations, and local government agencies. The announcement is also posted on the UDOT website and posted as legal notices in newspapers. Following the announcement of funds, the PTT invites all interested agencies to attend planning workshops that are conducted in each of the state’s AOG’s. These workshops offer an opportunity for the PTT to interact with potential subrecipients, answer any questions regarding the grant programs, and offer</w:t>
      </w:r>
      <w:r w:rsidRPr="007B5B1A">
        <w:rPr>
          <w:i/>
          <w:sz w:val="28"/>
          <w:szCs w:val="28"/>
        </w:rPr>
        <w:t xml:space="preserve"> </w:t>
      </w:r>
      <w:r w:rsidRPr="007B5B1A">
        <w:rPr>
          <w:rFonts w:cs="Calibri"/>
          <w:i/>
          <w:sz w:val="28"/>
          <w:szCs w:val="28"/>
        </w:rPr>
        <w:t>training in other topics. The workshops also serve as an opportunity for improved coordination among proposed projects.</w:t>
      </w:r>
    </w:p>
    <w:p w:rsidR="007B5B1A" w:rsidRDefault="007B5B1A" w:rsidP="00A550A9">
      <w:pPr>
        <w:spacing w:line="360" w:lineRule="auto"/>
        <w:rPr>
          <w:sz w:val="28"/>
        </w:rPr>
      </w:pPr>
    </w:p>
    <w:p w:rsidR="00A550A9" w:rsidRDefault="007B5B1A" w:rsidP="00A550A9">
      <w:pPr>
        <w:spacing w:line="360" w:lineRule="auto"/>
        <w:rPr>
          <w:sz w:val="28"/>
          <w:szCs w:val="28"/>
        </w:rPr>
      </w:pPr>
      <w:r>
        <w:rPr>
          <w:sz w:val="28"/>
          <w:szCs w:val="28"/>
        </w:rPr>
        <w:t xml:space="preserve">The information provided above </w:t>
      </w:r>
      <w:r w:rsidR="00740062">
        <w:rPr>
          <w:sz w:val="28"/>
          <w:szCs w:val="28"/>
        </w:rPr>
        <w:t>did not meet the requirement of the Circular, as shown below</w:t>
      </w:r>
      <w:r>
        <w:rPr>
          <w:sz w:val="28"/>
          <w:szCs w:val="28"/>
        </w:rPr>
        <w:t>.</w:t>
      </w:r>
      <w:r w:rsidR="00740062">
        <w:rPr>
          <w:sz w:val="28"/>
          <w:szCs w:val="28"/>
        </w:rPr>
        <w:t xml:space="preserve"> </w:t>
      </w:r>
      <w:r>
        <w:rPr>
          <w:sz w:val="28"/>
          <w:szCs w:val="28"/>
        </w:rPr>
        <w:t xml:space="preserve"> </w:t>
      </w:r>
      <w:r w:rsidRPr="00740062">
        <w:rPr>
          <w:sz w:val="28"/>
          <w:szCs w:val="28"/>
        </w:rPr>
        <w:t xml:space="preserve">On the UDOT website, there was a document entitled </w:t>
      </w:r>
      <w:r w:rsidRPr="00740062">
        <w:rPr>
          <w:i/>
          <w:sz w:val="28"/>
          <w:szCs w:val="28"/>
        </w:rPr>
        <w:t>Utah Department of Transportation Title VI Requirements For FTA Sub-Recipients Rev. 10-99</w:t>
      </w:r>
      <w:r w:rsidRPr="00740062">
        <w:rPr>
          <w:sz w:val="28"/>
          <w:szCs w:val="28"/>
        </w:rPr>
        <w:t xml:space="preserve">. </w:t>
      </w:r>
      <w:r w:rsidR="00740062" w:rsidRPr="00740062">
        <w:rPr>
          <w:sz w:val="28"/>
          <w:szCs w:val="28"/>
        </w:rPr>
        <w:t xml:space="preserve"> </w:t>
      </w:r>
      <w:r w:rsidRPr="00740062">
        <w:rPr>
          <w:sz w:val="28"/>
          <w:szCs w:val="28"/>
        </w:rPr>
        <w:t xml:space="preserve">The document did contain </w:t>
      </w:r>
      <w:r w:rsidR="00740062" w:rsidRPr="00740062">
        <w:rPr>
          <w:sz w:val="28"/>
          <w:szCs w:val="28"/>
        </w:rPr>
        <w:t>sample</w:t>
      </w:r>
      <w:r w:rsidR="00C07E4D">
        <w:rPr>
          <w:sz w:val="28"/>
          <w:szCs w:val="28"/>
        </w:rPr>
        <w:t xml:space="preserve"> complaint procedure,</w:t>
      </w:r>
      <w:r w:rsidRPr="00740062">
        <w:rPr>
          <w:sz w:val="28"/>
          <w:szCs w:val="28"/>
        </w:rPr>
        <w:t xml:space="preserve"> but it was inconsistent with the </w:t>
      </w:r>
      <w:r w:rsidR="00E01F25" w:rsidRPr="00740062">
        <w:rPr>
          <w:sz w:val="28"/>
          <w:szCs w:val="28"/>
        </w:rPr>
        <w:t xml:space="preserve">information on </w:t>
      </w:r>
      <w:r w:rsidRPr="00740062">
        <w:rPr>
          <w:sz w:val="28"/>
          <w:szCs w:val="28"/>
        </w:rPr>
        <w:t>complaint procedures found in the UDOT SMP.</w:t>
      </w:r>
      <w:r>
        <w:rPr>
          <w:sz w:val="28"/>
          <w:szCs w:val="28"/>
        </w:rPr>
        <w:t xml:space="preserve">  </w:t>
      </w:r>
      <w:r w:rsidR="00807EBC">
        <w:rPr>
          <w:sz w:val="28"/>
          <w:szCs w:val="28"/>
        </w:rPr>
        <w:t xml:space="preserve">The following table contains guidance for Providing Assistance to Subrecipients and whether </w:t>
      </w:r>
      <w:r w:rsidR="006C274C">
        <w:rPr>
          <w:sz w:val="28"/>
          <w:szCs w:val="28"/>
        </w:rPr>
        <w:t>UDOT</w:t>
      </w:r>
      <w:r w:rsidR="00807EBC">
        <w:rPr>
          <w:sz w:val="28"/>
          <w:szCs w:val="28"/>
        </w:rPr>
        <w:t xml:space="preserve"> </w:t>
      </w:r>
      <w:r w:rsidR="00201BB0">
        <w:rPr>
          <w:sz w:val="28"/>
          <w:szCs w:val="28"/>
        </w:rPr>
        <w:t>provided documentation pursuant to</w:t>
      </w:r>
      <w:r w:rsidR="00807EBC">
        <w:rPr>
          <w:sz w:val="28"/>
          <w:szCs w:val="28"/>
        </w:rPr>
        <w:t xml:space="preserve"> the guidance:</w:t>
      </w:r>
    </w:p>
    <w:p w:rsidR="00C07E4D" w:rsidRDefault="00C07E4D">
      <w:pPr>
        <w:rPr>
          <w:sz w:val="28"/>
          <w:szCs w:val="28"/>
        </w:rPr>
      </w:pPr>
      <w:r>
        <w:rPr>
          <w:sz w:val="28"/>
          <w:szCs w:val="28"/>
        </w:rPr>
        <w:br w:type="page"/>
      </w:r>
    </w:p>
    <w:p w:rsidR="00A550A9" w:rsidRDefault="00A550A9" w:rsidP="00A550A9">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38"/>
        <w:gridCol w:w="1368"/>
      </w:tblGrid>
      <w:tr w:rsidR="00807EBC" w:rsidTr="0064099D">
        <w:trPr>
          <w:cantSplit/>
        </w:trPr>
        <w:tc>
          <w:tcPr>
            <w:tcW w:w="7938" w:type="dxa"/>
          </w:tcPr>
          <w:p w:rsidR="00807EBC" w:rsidRDefault="00807EBC" w:rsidP="0064099D">
            <w:pPr>
              <w:rPr>
                <w:b/>
                <w:iCs/>
                <w:caps/>
                <w:sz w:val="24"/>
                <w:szCs w:val="24"/>
              </w:rPr>
            </w:pPr>
            <w:r>
              <w:rPr>
                <w:b/>
                <w:iCs/>
                <w:caps/>
                <w:sz w:val="24"/>
                <w:szCs w:val="24"/>
              </w:rPr>
              <w:t>GUIDANCE ON PROVIDING ASSISTANCE TO SUBRECIPIENTS</w:t>
            </w:r>
          </w:p>
          <w:p w:rsidR="00807EBC" w:rsidRDefault="00807EBC" w:rsidP="00807EBC">
            <w:r>
              <w:rPr>
                <w:b/>
                <w:bCs/>
                <w:sz w:val="24"/>
                <w:szCs w:val="28"/>
              </w:rPr>
              <w:t xml:space="preserve">(Per FTA C. 4702.1A, VI, </w:t>
            </w:r>
            <w:proofErr w:type="gramStart"/>
            <w:r>
              <w:rPr>
                <w:b/>
                <w:bCs/>
                <w:sz w:val="24"/>
                <w:szCs w:val="28"/>
              </w:rPr>
              <w:t>4</w:t>
            </w:r>
            <w:proofErr w:type="gramEnd"/>
            <w:r>
              <w:rPr>
                <w:b/>
                <w:bCs/>
                <w:sz w:val="24"/>
                <w:szCs w:val="28"/>
              </w:rPr>
              <w:t>. a. – c.)</w:t>
            </w:r>
          </w:p>
        </w:tc>
        <w:tc>
          <w:tcPr>
            <w:tcW w:w="1368" w:type="dxa"/>
            <w:shd w:val="clear" w:color="auto" w:fill="auto"/>
          </w:tcPr>
          <w:p w:rsidR="00807EBC" w:rsidRPr="00DB472F" w:rsidRDefault="006C274C" w:rsidP="00BE43D8">
            <w:pPr>
              <w:jc w:val="center"/>
              <w:rPr>
                <w:b/>
                <w:sz w:val="22"/>
                <w:szCs w:val="28"/>
              </w:rPr>
            </w:pPr>
            <w:r>
              <w:rPr>
                <w:b/>
                <w:sz w:val="22"/>
                <w:szCs w:val="28"/>
              </w:rPr>
              <w:t>UDOT</w:t>
            </w:r>
            <w:r w:rsidR="00807EBC" w:rsidRPr="00DB472F">
              <w:rPr>
                <w:b/>
                <w:sz w:val="22"/>
                <w:szCs w:val="28"/>
              </w:rPr>
              <w:t xml:space="preserve"> </w:t>
            </w:r>
          </w:p>
        </w:tc>
      </w:tr>
      <w:tr w:rsidR="00807EBC" w:rsidTr="0064099D">
        <w:trPr>
          <w:cantSplit/>
        </w:trPr>
        <w:tc>
          <w:tcPr>
            <w:tcW w:w="7938" w:type="dxa"/>
          </w:tcPr>
          <w:p w:rsidR="00807EBC" w:rsidRPr="007C3CA4" w:rsidRDefault="00807EBC" w:rsidP="0064099D">
            <w:pPr>
              <w:numPr>
                <w:ilvl w:val="0"/>
                <w:numId w:val="14"/>
              </w:numPr>
            </w:pPr>
            <w:r w:rsidRPr="00807EBC">
              <w:t>Sample notices to the public informing beneficiaries of their rights under Title VI and procedures on how to file a Title VI complaint.</w:t>
            </w:r>
          </w:p>
        </w:tc>
        <w:tc>
          <w:tcPr>
            <w:tcW w:w="1368" w:type="dxa"/>
            <w:vAlign w:val="center"/>
          </w:tcPr>
          <w:p w:rsidR="00807EBC" w:rsidRDefault="00417A9F" w:rsidP="0064099D">
            <w:pPr>
              <w:jc w:val="center"/>
              <w:rPr>
                <w:sz w:val="22"/>
                <w:szCs w:val="28"/>
              </w:rPr>
            </w:pPr>
            <w:r>
              <w:rPr>
                <w:sz w:val="22"/>
                <w:szCs w:val="28"/>
              </w:rPr>
              <w:t>No</w:t>
            </w:r>
            <w:r w:rsidR="007B5B1A">
              <w:rPr>
                <w:sz w:val="22"/>
                <w:szCs w:val="28"/>
              </w:rPr>
              <w:t>t a correct Notice</w:t>
            </w:r>
          </w:p>
        </w:tc>
      </w:tr>
      <w:tr w:rsidR="00807EBC" w:rsidTr="0064099D">
        <w:trPr>
          <w:cantSplit/>
        </w:trPr>
        <w:tc>
          <w:tcPr>
            <w:tcW w:w="7938" w:type="dxa"/>
          </w:tcPr>
          <w:p w:rsidR="00807EBC" w:rsidRPr="007C3CA4" w:rsidRDefault="00807EBC" w:rsidP="0064099D">
            <w:pPr>
              <w:numPr>
                <w:ilvl w:val="0"/>
                <w:numId w:val="14"/>
              </w:numPr>
            </w:pPr>
            <w:r w:rsidRPr="00807EBC">
              <w:t>Sample procedures for tracking and investigating Title VI complaints filed with a subrecipient.</w:t>
            </w:r>
          </w:p>
        </w:tc>
        <w:tc>
          <w:tcPr>
            <w:tcW w:w="1368" w:type="dxa"/>
            <w:vAlign w:val="center"/>
          </w:tcPr>
          <w:p w:rsidR="00807EBC" w:rsidRDefault="00740062" w:rsidP="0064099D">
            <w:pPr>
              <w:jc w:val="center"/>
              <w:rPr>
                <w:sz w:val="22"/>
                <w:szCs w:val="28"/>
              </w:rPr>
            </w:pPr>
            <w:r>
              <w:rPr>
                <w:sz w:val="22"/>
                <w:szCs w:val="28"/>
              </w:rPr>
              <w:t>No, see section on C</w:t>
            </w:r>
            <w:r w:rsidR="007B5B1A">
              <w:rPr>
                <w:sz w:val="22"/>
                <w:szCs w:val="28"/>
              </w:rPr>
              <w:t>omplaints</w:t>
            </w:r>
          </w:p>
        </w:tc>
      </w:tr>
      <w:tr w:rsidR="00807EBC" w:rsidTr="0064099D">
        <w:trPr>
          <w:cantSplit/>
        </w:trPr>
        <w:tc>
          <w:tcPr>
            <w:tcW w:w="7938" w:type="dxa"/>
          </w:tcPr>
          <w:p w:rsidR="00807EBC" w:rsidRPr="007C3CA4" w:rsidRDefault="00807EBC" w:rsidP="0064099D">
            <w:pPr>
              <w:numPr>
                <w:ilvl w:val="0"/>
                <w:numId w:val="14"/>
              </w:numPr>
            </w:pPr>
            <w:r w:rsidRPr="00807EBC">
              <w:t>Demographic information on the race, income, and English proficiency of residents served by the subrecipient. (This information will assist the subrecipient in assessing the level and quality of service it provides to communities within its service area and in assessing the need for language assistance.)</w:t>
            </w:r>
          </w:p>
        </w:tc>
        <w:tc>
          <w:tcPr>
            <w:tcW w:w="1368" w:type="dxa"/>
            <w:vAlign w:val="center"/>
          </w:tcPr>
          <w:p w:rsidR="00807EBC" w:rsidRDefault="00417A9F" w:rsidP="0064099D">
            <w:pPr>
              <w:jc w:val="center"/>
              <w:rPr>
                <w:sz w:val="22"/>
                <w:szCs w:val="28"/>
              </w:rPr>
            </w:pPr>
            <w:r>
              <w:rPr>
                <w:sz w:val="22"/>
                <w:szCs w:val="28"/>
              </w:rPr>
              <w:t>No</w:t>
            </w:r>
          </w:p>
        </w:tc>
      </w:tr>
    </w:tbl>
    <w:p w:rsidR="00417A9F" w:rsidRDefault="00417A9F" w:rsidP="00A550A9">
      <w:pPr>
        <w:spacing w:line="360" w:lineRule="auto"/>
        <w:rPr>
          <w:sz w:val="28"/>
          <w:szCs w:val="28"/>
        </w:rPr>
      </w:pPr>
    </w:p>
    <w:p w:rsidR="003312F2" w:rsidRDefault="00201BB0" w:rsidP="00A550A9">
      <w:pPr>
        <w:spacing w:line="360" w:lineRule="auto"/>
        <w:rPr>
          <w:bCs/>
          <w:sz w:val="28"/>
          <w:szCs w:val="28"/>
        </w:rPr>
      </w:pPr>
      <w:r w:rsidRPr="00201BB0">
        <w:rPr>
          <w:bCs/>
          <w:sz w:val="28"/>
          <w:szCs w:val="28"/>
        </w:rPr>
        <w:t>During the Review</w:t>
      </w:r>
      <w:r>
        <w:rPr>
          <w:bCs/>
          <w:sz w:val="28"/>
          <w:szCs w:val="28"/>
        </w:rPr>
        <w:t xml:space="preserve">, UDOT provided </w:t>
      </w:r>
      <w:r w:rsidR="006E668D">
        <w:rPr>
          <w:bCs/>
          <w:sz w:val="28"/>
          <w:szCs w:val="28"/>
        </w:rPr>
        <w:t>two</w:t>
      </w:r>
      <w:r>
        <w:rPr>
          <w:bCs/>
          <w:sz w:val="28"/>
          <w:szCs w:val="28"/>
        </w:rPr>
        <w:t xml:space="preserve"> document</w:t>
      </w:r>
      <w:r w:rsidR="006E668D">
        <w:rPr>
          <w:bCs/>
          <w:sz w:val="28"/>
          <w:szCs w:val="28"/>
        </w:rPr>
        <w:t xml:space="preserve">s, one </w:t>
      </w:r>
      <w:r>
        <w:rPr>
          <w:bCs/>
          <w:sz w:val="28"/>
          <w:szCs w:val="28"/>
        </w:rPr>
        <w:t>entitled</w:t>
      </w:r>
      <w:r w:rsidR="003312F2">
        <w:rPr>
          <w:bCs/>
          <w:sz w:val="28"/>
          <w:szCs w:val="28"/>
        </w:rPr>
        <w:t xml:space="preserve"> </w:t>
      </w:r>
      <w:r w:rsidR="003312F2" w:rsidRPr="003312F2">
        <w:rPr>
          <w:bCs/>
          <w:i/>
          <w:sz w:val="28"/>
          <w:szCs w:val="28"/>
        </w:rPr>
        <w:t xml:space="preserve">FTA Title VI&amp; Civil Rights Non-Discrimination </w:t>
      </w:r>
      <w:r w:rsidR="003312F2">
        <w:rPr>
          <w:bCs/>
          <w:sz w:val="28"/>
          <w:szCs w:val="28"/>
        </w:rPr>
        <w:t xml:space="preserve">and the other entitled </w:t>
      </w:r>
      <w:r w:rsidR="003312F2" w:rsidRPr="003312F2">
        <w:rPr>
          <w:bCs/>
          <w:i/>
          <w:sz w:val="28"/>
          <w:szCs w:val="28"/>
        </w:rPr>
        <w:t>FTA Section 5311Title VI, Civil Rights &amp; LEP</w:t>
      </w:r>
      <w:r w:rsidR="003312F2">
        <w:rPr>
          <w:bCs/>
          <w:sz w:val="28"/>
          <w:szCs w:val="28"/>
        </w:rPr>
        <w:t xml:space="preserve">.  These documents did convey some of the FTA Circular requirements. </w:t>
      </w:r>
      <w:r w:rsidR="00740062">
        <w:rPr>
          <w:bCs/>
          <w:sz w:val="28"/>
          <w:szCs w:val="28"/>
        </w:rPr>
        <w:t xml:space="preserve"> </w:t>
      </w:r>
      <w:r w:rsidR="003312F2">
        <w:rPr>
          <w:bCs/>
          <w:sz w:val="28"/>
          <w:szCs w:val="28"/>
        </w:rPr>
        <w:t xml:space="preserve">At the site visit, UDOT indicated that it was planning to </w:t>
      </w:r>
      <w:r w:rsidR="00E01F25">
        <w:rPr>
          <w:bCs/>
          <w:sz w:val="28"/>
          <w:szCs w:val="28"/>
        </w:rPr>
        <w:t>provide</w:t>
      </w:r>
      <w:r w:rsidR="003312F2">
        <w:rPr>
          <w:bCs/>
          <w:sz w:val="28"/>
          <w:szCs w:val="28"/>
        </w:rPr>
        <w:t xml:space="preserve"> documents like those </w:t>
      </w:r>
      <w:r w:rsidR="00E01F25">
        <w:rPr>
          <w:bCs/>
          <w:sz w:val="28"/>
          <w:szCs w:val="28"/>
        </w:rPr>
        <w:t xml:space="preserve">to subrecipients </w:t>
      </w:r>
      <w:r w:rsidR="003312F2">
        <w:rPr>
          <w:bCs/>
          <w:sz w:val="28"/>
          <w:szCs w:val="28"/>
        </w:rPr>
        <w:t>in future application processes.</w:t>
      </w:r>
    </w:p>
    <w:p w:rsidR="00201BB0" w:rsidRPr="00201BB0" w:rsidRDefault="00201BB0" w:rsidP="00A550A9">
      <w:pPr>
        <w:spacing w:line="360" w:lineRule="auto"/>
        <w:rPr>
          <w:bCs/>
          <w:sz w:val="28"/>
          <w:szCs w:val="28"/>
        </w:rPr>
      </w:pPr>
      <w:r>
        <w:rPr>
          <w:bCs/>
          <w:sz w:val="28"/>
          <w:szCs w:val="28"/>
        </w:rPr>
        <w:t xml:space="preserve"> </w:t>
      </w:r>
    </w:p>
    <w:p w:rsidR="003759EA" w:rsidRDefault="003759EA" w:rsidP="00A550A9">
      <w:pPr>
        <w:spacing w:line="360" w:lineRule="auto"/>
        <w:rPr>
          <w:sz w:val="28"/>
          <w:szCs w:val="28"/>
        </w:rPr>
      </w:pPr>
      <w:r w:rsidRPr="00A550A9">
        <w:rPr>
          <w:b/>
          <w:bCs/>
          <w:sz w:val="28"/>
          <w:szCs w:val="28"/>
        </w:rPr>
        <w:t xml:space="preserve">Corrective Actions and Schedules: </w:t>
      </w:r>
      <w:r w:rsidRPr="00A550A9">
        <w:rPr>
          <w:sz w:val="28"/>
          <w:szCs w:val="28"/>
        </w:rPr>
        <w:t xml:space="preserve">Within </w:t>
      </w:r>
      <w:r>
        <w:rPr>
          <w:sz w:val="28"/>
          <w:szCs w:val="28"/>
        </w:rPr>
        <w:t>90</w:t>
      </w:r>
      <w:r w:rsidRPr="00A550A9">
        <w:rPr>
          <w:sz w:val="28"/>
          <w:szCs w:val="28"/>
        </w:rPr>
        <w:t xml:space="preserve"> days, </w:t>
      </w:r>
      <w:r>
        <w:rPr>
          <w:sz w:val="28"/>
          <w:szCs w:val="28"/>
        </w:rPr>
        <w:t>UDOT</w:t>
      </w:r>
      <w:r w:rsidRPr="00C657B3">
        <w:rPr>
          <w:sz w:val="28"/>
          <w:szCs w:val="28"/>
        </w:rPr>
        <w:t xml:space="preserve"> must submit to </w:t>
      </w:r>
      <w:r w:rsidRPr="00C00537">
        <w:rPr>
          <w:sz w:val="28"/>
          <w:szCs w:val="28"/>
        </w:rPr>
        <w:t xml:space="preserve">the FTA </w:t>
      </w:r>
      <w:r>
        <w:rPr>
          <w:sz w:val="28"/>
          <w:szCs w:val="28"/>
        </w:rPr>
        <w:t>Equal Opportunity Specialist in FTA’s Headquarters Office of Civil Rights</w:t>
      </w:r>
      <w:r w:rsidRPr="00C657B3">
        <w:rPr>
          <w:sz w:val="28"/>
          <w:szCs w:val="28"/>
        </w:rPr>
        <w:t xml:space="preserve"> documentation that it has procedures in place to fulfill </w:t>
      </w:r>
      <w:r w:rsidR="00E01F25">
        <w:rPr>
          <w:sz w:val="28"/>
          <w:szCs w:val="28"/>
        </w:rPr>
        <w:t>FTA</w:t>
      </w:r>
      <w:r w:rsidRPr="00C657B3">
        <w:rPr>
          <w:sz w:val="28"/>
          <w:szCs w:val="28"/>
        </w:rPr>
        <w:t xml:space="preserve"> C</w:t>
      </w:r>
      <w:r w:rsidR="00E01F25">
        <w:rPr>
          <w:sz w:val="28"/>
          <w:szCs w:val="28"/>
        </w:rPr>
        <w:t xml:space="preserve"> 4702.1A</w:t>
      </w:r>
      <w:r w:rsidRPr="00C657B3">
        <w:rPr>
          <w:sz w:val="28"/>
          <w:szCs w:val="28"/>
        </w:rPr>
        <w:t xml:space="preserve"> require</w:t>
      </w:r>
      <w:r>
        <w:rPr>
          <w:sz w:val="28"/>
          <w:szCs w:val="28"/>
        </w:rPr>
        <w:t>ments for Providing Assistance to Subrecipients</w:t>
      </w:r>
      <w:r w:rsidRPr="00C657B3">
        <w:rPr>
          <w:sz w:val="28"/>
          <w:szCs w:val="28"/>
        </w:rPr>
        <w:t>.</w:t>
      </w:r>
    </w:p>
    <w:p w:rsidR="00523022" w:rsidRDefault="00523022" w:rsidP="00523022">
      <w:pPr>
        <w:spacing w:line="360" w:lineRule="auto"/>
        <w:rPr>
          <w:sz w:val="28"/>
          <w:szCs w:val="28"/>
        </w:rPr>
      </w:pPr>
    </w:p>
    <w:p w:rsidR="00F80A8D" w:rsidRDefault="00A550A9">
      <w:pPr>
        <w:pStyle w:val="BHLevel2"/>
        <w:rPr>
          <w:sz w:val="28"/>
          <w:szCs w:val="28"/>
        </w:rPr>
      </w:pPr>
      <w:bookmarkStart w:id="24" w:name="_Toc253152164"/>
      <w:r w:rsidRPr="00A550A9">
        <w:rPr>
          <w:sz w:val="28"/>
          <w:szCs w:val="28"/>
        </w:rPr>
        <w:t>Monitoring Subrecipients</w:t>
      </w:r>
      <w:bookmarkEnd w:id="24"/>
    </w:p>
    <w:p w:rsidR="00F80A8D" w:rsidRDefault="00F80A8D">
      <w:pPr>
        <w:pStyle w:val="BodyTextIndent2"/>
        <w:ind w:firstLine="0"/>
        <w:rPr>
          <w:rFonts w:cs="Arial"/>
          <w:i/>
          <w:iCs/>
          <w:spacing w:val="4"/>
        </w:rPr>
      </w:pPr>
      <w:r>
        <w:rPr>
          <w:b/>
          <w:sz w:val="28"/>
          <w:szCs w:val="28"/>
        </w:rPr>
        <w:t xml:space="preserve">Requirement:  </w:t>
      </w:r>
      <w:r w:rsidR="00A550A9" w:rsidRPr="00A550A9">
        <w:rPr>
          <w:bCs/>
          <w:i/>
          <w:iCs/>
          <w:sz w:val="28"/>
          <w:szCs w:val="28"/>
        </w:rPr>
        <w:t>State DOTs or other State administering agencies should monitor their subrecipients for compliance with Title VI</w:t>
      </w:r>
      <w:r>
        <w:rPr>
          <w:rFonts w:cs="Arial"/>
          <w:bCs/>
          <w:i/>
          <w:iCs/>
          <w:spacing w:val="4"/>
          <w:sz w:val="28"/>
        </w:rPr>
        <w:t>.</w:t>
      </w:r>
    </w:p>
    <w:p w:rsidR="00F80A8D" w:rsidRDefault="00F80A8D">
      <w:pPr>
        <w:spacing w:line="360" w:lineRule="auto"/>
        <w:rPr>
          <w:sz w:val="28"/>
          <w:szCs w:val="28"/>
        </w:rPr>
      </w:pPr>
    </w:p>
    <w:p w:rsidR="003312F2" w:rsidRPr="00BE43D8" w:rsidRDefault="00F80A8D" w:rsidP="003312F2">
      <w:pPr>
        <w:spacing w:line="360" w:lineRule="auto"/>
        <w:rPr>
          <w:bCs/>
          <w:sz w:val="28"/>
          <w:szCs w:val="28"/>
        </w:rPr>
      </w:pPr>
      <w:r>
        <w:rPr>
          <w:b/>
          <w:sz w:val="28"/>
          <w:szCs w:val="28"/>
        </w:rPr>
        <w:t xml:space="preserve">Findings: </w:t>
      </w:r>
      <w:r w:rsidR="00B61D57">
        <w:rPr>
          <w:b/>
          <w:sz w:val="28"/>
          <w:szCs w:val="28"/>
        </w:rPr>
        <w:t xml:space="preserve"> </w:t>
      </w:r>
      <w:r w:rsidR="00A550A9">
        <w:rPr>
          <w:sz w:val="28"/>
          <w:szCs w:val="28"/>
        </w:rPr>
        <w:t xml:space="preserve">During this Title VI Compliance Review of </w:t>
      </w:r>
      <w:r w:rsidR="006C274C">
        <w:rPr>
          <w:sz w:val="28"/>
          <w:szCs w:val="28"/>
        </w:rPr>
        <w:t>UDOT</w:t>
      </w:r>
      <w:r w:rsidR="00A550A9" w:rsidRPr="0080784D">
        <w:rPr>
          <w:sz w:val="28"/>
          <w:szCs w:val="28"/>
        </w:rPr>
        <w:t>, deficiencies</w:t>
      </w:r>
      <w:r w:rsidR="00A550A9">
        <w:rPr>
          <w:sz w:val="28"/>
          <w:szCs w:val="28"/>
        </w:rPr>
        <w:t xml:space="preserve"> were found regarding </w:t>
      </w:r>
      <w:r w:rsidR="006C274C">
        <w:rPr>
          <w:sz w:val="28"/>
          <w:szCs w:val="28"/>
        </w:rPr>
        <w:t>UDOT</w:t>
      </w:r>
      <w:r w:rsidR="00A550A9">
        <w:rPr>
          <w:sz w:val="28"/>
          <w:szCs w:val="28"/>
        </w:rPr>
        <w:t xml:space="preserve">’s compliance with FTA requirements for Monitoring Subrecipients.  </w:t>
      </w:r>
      <w:r w:rsidR="003312F2">
        <w:rPr>
          <w:bCs/>
          <w:sz w:val="28"/>
          <w:szCs w:val="28"/>
        </w:rPr>
        <w:t xml:space="preserve">During the Review, UDOT did not provide documentation that it </w:t>
      </w:r>
      <w:r w:rsidR="003312F2">
        <w:rPr>
          <w:bCs/>
          <w:sz w:val="28"/>
          <w:szCs w:val="28"/>
        </w:rPr>
        <w:lastRenderedPageBreak/>
        <w:t>had a process for ensuring that all subrecipients were complying with the general reporting requirements of the Circular.</w:t>
      </w:r>
      <w:r w:rsidR="007615CE">
        <w:rPr>
          <w:bCs/>
          <w:sz w:val="28"/>
          <w:szCs w:val="28"/>
        </w:rPr>
        <w:t xml:space="preserve"> </w:t>
      </w:r>
      <w:r w:rsidR="00740062">
        <w:rPr>
          <w:bCs/>
          <w:sz w:val="28"/>
          <w:szCs w:val="28"/>
        </w:rPr>
        <w:t xml:space="preserve"> </w:t>
      </w:r>
      <w:r w:rsidR="007615CE">
        <w:rPr>
          <w:sz w:val="28"/>
          <w:szCs w:val="28"/>
        </w:rPr>
        <w:t xml:space="preserve">On the UDOT website, there was a document entitled </w:t>
      </w:r>
      <w:r w:rsidR="007615CE" w:rsidRPr="00CE4E9B">
        <w:rPr>
          <w:i/>
          <w:sz w:val="28"/>
          <w:szCs w:val="28"/>
        </w:rPr>
        <w:t>Utah Department of Transportation Title VI Requirements For FTA Sub-Recipients Rev. 10-99</w:t>
      </w:r>
      <w:r w:rsidR="007615CE">
        <w:rPr>
          <w:sz w:val="28"/>
          <w:szCs w:val="28"/>
        </w:rPr>
        <w:t>.</w:t>
      </w:r>
      <w:r w:rsidR="00740062">
        <w:rPr>
          <w:sz w:val="28"/>
          <w:szCs w:val="28"/>
        </w:rPr>
        <w:t xml:space="preserve"> </w:t>
      </w:r>
      <w:r w:rsidR="007615CE">
        <w:rPr>
          <w:sz w:val="28"/>
          <w:szCs w:val="28"/>
        </w:rPr>
        <w:t xml:space="preserve"> It was developed</w:t>
      </w:r>
      <w:r w:rsidR="00A35003">
        <w:rPr>
          <w:sz w:val="28"/>
          <w:szCs w:val="28"/>
        </w:rPr>
        <w:t xml:space="preserve"> as</w:t>
      </w:r>
      <w:r w:rsidR="007615CE">
        <w:rPr>
          <w:sz w:val="28"/>
          <w:szCs w:val="28"/>
        </w:rPr>
        <w:t xml:space="preserve"> </w:t>
      </w:r>
      <w:r w:rsidR="00A35003">
        <w:rPr>
          <w:sz w:val="28"/>
          <w:szCs w:val="28"/>
        </w:rPr>
        <w:t>instructions “</w:t>
      </w:r>
      <w:r w:rsidR="007615CE">
        <w:rPr>
          <w:sz w:val="28"/>
          <w:szCs w:val="28"/>
        </w:rPr>
        <w:t xml:space="preserve">to </w:t>
      </w:r>
      <w:r w:rsidR="00A35003">
        <w:rPr>
          <w:sz w:val="28"/>
          <w:szCs w:val="28"/>
        </w:rPr>
        <w:t>provide guidance and instructions necessary to carry out Title VI of the Civil Rights Act of 1964, as amended, as it applies to FTA sub-recipients</w:t>
      </w:r>
      <w:r w:rsidR="00B7221F">
        <w:rPr>
          <w:sz w:val="28"/>
          <w:szCs w:val="28"/>
        </w:rPr>
        <w:t>...”</w:t>
      </w:r>
      <w:r w:rsidR="00A35003">
        <w:rPr>
          <w:sz w:val="28"/>
          <w:szCs w:val="28"/>
        </w:rPr>
        <w:t>.</w:t>
      </w:r>
      <w:r w:rsidR="007615CE">
        <w:rPr>
          <w:bCs/>
          <w:sz w:val="28"/>
          <w:szCs w:val="28"/>
        </w:rPr>
        <w:t xml:space="preserve"> </w:t>
      </w:r>
      <w:r w:rsidR="00A35003">
        <w:rPr>
          <w:bCs/>
          <w:sz w:val="28"/>
          <w:szCs w:val="28"/>
        </w:rPr>
        <w:t xml:space="preserve">The guidance in the document was based on the prior FTA Title VI C 4702.1 and did not contain the general reporting requirements of FTA C 4702.1A.  </w:t>
      </w:r>
    </w:p>
    <w:p w:rsidR="003312F2" w:rsidRDefault="003312F2" w:rsidP="00A550A9">
      <w:pPr>
        <w:spacing w:line="360" w:lineRule="auto"/>
        <w:rPr>
          <w:sz w:val="28"/>
          <w:szCs w:val="28"/>
        </w:rPr>
      </w:pPr>
    </w:p>
    <w:p w:rsidR="00A550A9" w:rsidRDefault="00807EBC" w:rsidP="00A550A9">
      <w:pPr>
        <w:spacing w:line="360" w:lineRule="auto"/>
        <w:rPr>
          <w:sz w:val="28"/>
          <w:szCs w:val="28"/>
        </w:rPr>
      </w:pPr>
      <w:r>
        <w:rPr>
          <w:sz w:val="28"/>
          <w:szCs w:val="28"/>
        </w:rPr>
        <w:t xml:space="preserve">The following table contains guidance for Monitoring Subrecipients and whether </w:t>
      </w:r>
      <w:r w:rsidR="006C274C">
        <w:rPr>
          <w:sz w:val="28"/>
          <w:szCs w:val="28"/>
        </w:rPr>
        <w:t>UDOT</w:t>
      </w:r>
      <w:r>
        <w:rPr>
          <w:sz w:val="28"/>
          <w:szCs w:val="28"/>
        </w:rPr>
        <w:t xml:space="preserve"> followed the guidance:</w:t>
      </w:r>
    </w:p>
    <w:p w:rsidR="00A550A9" w:rsidRDefault="00A550A9" w:rsidP="00A550A9">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38"/>
        <w:gridCol w:w="1368"/>
      </w:tblGrid>
      <w:tr w:rsidR="00807EBC" w:rsidTr="0064099D">
        <w:trPr>
          <w:cantSplit/>
        </w:trPr>
        <w:tc>
          <w:tcPr>
            <w:tcW w:w="7938" w:type="dxa"/>
          </w:tcPr>
          <w:p w:rsidR="00807EBC" w:rsidRDefault="00807EBC" w:rsidP="0064099D">
            <w:pPr>
              <w:rPr>
                <w:b/>
                <w:iCs/>
                <w:caps/>
                <w:sz w:val="24"/>
                <w:szCs w:val="24"/>
              </w:rPr>
            </w:pPr>
            <w:r>
              <w:rPr>
                <w:b/>
                <w:iCs/>
                <w:caps/>
                <w:sz w:val="24"/>
                <w:szCs w:val="24"/>
              </w:rPr>
              <w:t xml:space="preserve">GUIDANCE ON </w:t>
            </w:r>
            <w:r w:rsidR="007615CE">
              <w:rPr>
                <w:b/>
                <w:iCs/>
                <w:caps/>
                <w:sz w:val="24"/>
                <w:szCs w:val="24"/>
              </w:rPr>
              <w:t>MONORITING</w:t>
            </w:r>
            <w:r>
              <w:rPr>
                <w:b/>
                <w:iCs/>
                <w:caps/>
                <w:sz w:val="24"/>
                <w:szCs w:val="24"/>
              </w:rPr>
              <w:t xml:space="preserve"> SUBRECIPIENTS</w:t>
            </w:r>
          </w:p>
          <w:p w:rsidR="00807EBC" w:rsidRDefault="00807EBC" w:rsidP="0064099D">
            <w:r>
              <w:rPr>
                <w:b/>
                <w:bCs/>
                <w:sz w:val="24"/>
                <w:szCs w:val="28"/>
              </w:rPr>
              <w:t>(Per FTA C. 4702.1A, VI, 3. a. – b.)</w:t>
            </w:r>
          </w:p>
        </w:tc>
        <w:tc>
          <w:tcPr>
            <w:tcW w:w="1368" w:type="dxa"/>
            <w:shd w:val="clear" w:color="auto" w:fill="auto"/>
          </w:tcPr>
          <w:p w:rsidR="00807EBC" w:rsidRPr="00DB472F" w:rsidRDefault="006C274C" w:rsidP="0080784D">
            <w:pPr>
              <w:jc w:val="center"/>
              <w:rPr>
                <w:b/>
                <w:sz w:val="22"/>
                <w:szCs w:val="28"/>
              </w:rPr>
            </w:pPr>
            <w:r>
              <w:rPr>
                <w:b/>
                <w:sz w:val="22"/>
                <w:szCs w:val="28"/>
              </w:rPr>
              <w:t>UDOT</w:t>
            </w:r>
            <w:r w:rsidR="00807EBC" w:rsidRPr="00DB472F">
              <w:rPr>
                <w:b/>
                <w:sz w:val="22"/>
                <w:szCs w:val="28"/>
              </w:rPr>
              <w:t xml:space="preserve"> </w:t>
            </w:r>
          </w:p>
        </w:tc>
      </w:tr>
      <w:tr w:rsidR="00807EBC" w:rsidTr="0064099D">
        <w:trPr>
          <w:cantSplit/>
        </w:trPr>
        <w:tc>
          <w:tcPr>
            <w:tcW w:w="7938" w:type="dxa"/>
          </w:tcPr>
          <w:p w:rsidR="00807EBC" w:rsidRPr="007C3CA4" w:rsidRDefault="00807EBC" w:rsidP="0064099D">
            <w:pPr>
              <w:numPr>
                <w:ilvl w:val="0"/>
                <w:numId w:val="14"/>
              </w:numPr>
            </w:pPr>
            <w:r w:rsidRPr="00807EBC">
              <w:t>The agency should document its process for ensuring that all subrecipients are complying with the general reporting requirements of this circular.</w:t>
            </w:r>
          </w:p>
        </w:tc>
        <w:tc>
          <w:tcPr>
            <w:tcW w:w="1368" w:type="dxa"/>
            <w:vAlign w:val="center"/>
          </w:tcPr>
          <w:p w:rsidR="00807EBC" w:rsidRPr="00740062" w:rsidRDefault="003759EA" w:rsidP="0064099D">
            <w:pPr>
              <w:jc w:val="center"/>
            </w:pPr>
            <w:r w:rsidRPr="00740062">
              <w:t>No</w:t>
            </w:r>
            <w:r w:rsidR="00A35003" w:rsidRPr="00740062">
              <w:t>, old guidance</w:t>
            </w:r>
          </w:p>
        </w:tc>
      </w:tr>
      <w:tr w:rsidR="00807EBC" w:rsidTr="0064099D">
        <w:trPr>
          <w:cantSplit/>
        </w:trPr>
        <w:tc>
          <w:tcPr>
            <w:tcW w:w="7938" w:type="dxa"/>
          </w:tcPr>
          <w:p w:rsidR="00807EBC" w:rsidRPr="007C3CA4" w:rsidRDefault="00807EBC" w:rsidP="0064099D">
            <w:pPr>
              <w:numPr>
                <w:ilvl w:val="0"/>
                <w:numId w:val="14"/>
              </w:numPr>
            </w:pPr>
            <w:r w:rsidRPr="00807EBC">
              <w:t>At the request of FTA, in response to a complaint of discrimination, or as otherwise deemed necessary by the State DOT or administering agency, the agency should request that subrecipients who provide transportation services verify that their level and quality of service is provided on an equitable basis. Recipients should ask subrecipients to develop system-wide service standards and verify that service provided to predominantly minority and low-income communities meets these standards.</w:t>
            </w:r>
          </w:p>
        </w:tc>
        <w:tc>
          <w:tcPr>
            <w:tcW w:w="1368" w:type="dxa"/>
            <w:vAlign w:val="center"/>
          </w:tcPr>
          <w:p w:rsidR="00807EBC" w:rsidRPr="00740062" w:rsidRDefault="00D70B2B" w:rsidP="0064099D">
            <w:pPr>
              <w:jc w:val="center"/>
            </w:pPr>
            <w:r w:rsidRPr="00740062">
              <w:t>Not Requested by FTA</w:t>
            </w:r>
          </w:p>
        </w:tc>
      </w:tr>
    </w:tbl>
    <w:p w:rsidR="00A550A9" w:rsidRDefault="00A550A9" w:rsidP="00A550A9">
      <w:pPr>
        <w:rPr>
          <w:sz w:val="28"/>
          <w:szCs w:val="28"/>
        </w:rPr>
      </w:pPr>
    </w:p>
    <w:p w:rsidR="00D70B2B" w:rsidRDefault="00D70B2B" w:rsidP="00A550A9">
      <w:pPr>
        <w:spacing w:line="360" w:lineRule="auto"/>
        <w:rPr>
          <w:b/>
          <w:bCs/>
          <w:sz w:val="28"/>
          <w:szCs w:val="28"/>
        </w:rPr>
      </w:pPr>
    </w:p>
    <w:p w:rsidR="003537F0" w:rsidRDefault="003759EA" w:rsidP="00A550A9">
      <w:pPr>
        <w:spacing w:line="360" w:lineRule="auto"/>
        <w:rPr>
          <w:sz w:val="28"/>
          <w:szCs w:val="28"/>
        </w:rPr>
      </w:pPr>
      <w:r w:rsidRPr="00A550A9">
        <w:rPr>
          <w:b/>
          <w:bCs/>
          <w:sz w:val="28"/>
          <w:szCs w:val="28"/>
        </w:rPr>
        <w:t xml:space="preserve">Corrective Actions and Schedules: </w:t>
      </w:r>
      <w:r w:rsidRPr="00A550A9">
        <w:rPr>
          <w:sz w:val="28"/>
          <w:szCs w:val="28"/>
        </w:rPr>
        <w:t xml:space="preserve">Within </w:t>
      </w:r>
      <w:r>
        <w:rPr>
          <w:sz w:val="28"/>
          <w:szCs w:val="28"/>
        </w:rPr>
        <w:t>90</w:t>
      </w:r>
      <w:r w:rsidRPr="00A550A9">
        <w:rPr>
          <w:sz w:val="28"/>
          <w:szCs w:val="28"/>
        </w:rPr>
        <w:t xml:space="preserve"> days, </w:t>
      </w:r>
      <w:r>
        <w:rPr>
          <w:sz w:val="28"/>
          <w:szCs w:val="28"/>
        </w:rPr>
        <w:t>UDOT</w:t>
      </w:r>
      <w:r w:rsidRPr="00C657B3">
        <w:rPr>
          <w:sz w:val="28"/>
          <w:szCs w:val="28"/>
        </w:rPr>
        <w:t xml:space="preserve"> must submit to </w:t>
      </w:r>
      <w:r w:rsidRPr="00C00537">
        <w:rPr>
          <w:sz w:val="28"/>
          <w:szCs w:val="28"/>
        </w:rPr>
        <w:t xml:space="preserve">the FTA </w:t>
      </w:r>
      <w:r>
        <w:rPr>
          <w:sz w:val="28"/>
          <w:szCs w:val="28"/>
        </w:rPr>
        <w:t>Equal Opportunity Specialist in FTA’s Headquarters Office of Civil Rights</w:t>
      </w:r>
      <w:r w:rsidRPr="00C657B3">
        <w:rPr>
          <w:sz w:val="28"/>
          <w:szCs w:val="28"/>
        </w:rPr>
        <w:t xml:space="preserve"> documentation that it has pro</w:t>
      </w:r>
      <w:r w:rsidR="00A35003">
        <w:rPr>
          <w:sz w:val="28"/>
          <w:szCs w:val="28"/>
        </w:rPr>
        <w:t xml:space="preserve">cedures in place to fulfill FTA </w:t>
      </w:r>
      <w:r w:rsidRPr="00C657B3">
        <w:rPr>
          <w:sz w:val="28"/>
          <w:szCs w:val="28"/>
        </w:rPr>
        <w:t>C</w:t>
      </w:r>
      <w:r w:rsidR="00A35003">
        <w:rPr>
          <w:sz w:val="28"/>
          <w:szCs w:val="28"/>
        </w:rPr>
        <w:t xml:space="preserve"> 4702.1A</w:t>
      </w:r>
      <w:r w:rsidRPr="00C657B3">
        <w:rPr>
          <w:sz w:val="28"/>
          <w:szCs w:val="28"/>
        </w:rPr>
        <w:t xml:space="preserve"> requirements for </w:t>
      </w:r>
      <w:r>
        <w:rPr>
          <w:sz w:val="28"/>
          <w:szCs w:val="28"/>
        </w:rPr>
        <w:t>Monitoring Subrecipients</w:t>
      </w:r>
      <w:r w:rsidRPr="00C657B3">
        <w:rPr>
          <w:sz w:val="28"/>
          <w:szCs w:val="28"/>
        </w:rPr>
        <w:t>.</w:t>
      </w:r>
    </w:p>
    <w:p w:rsidR="00CB33F0" w:rsidRPr="00CB33F0" w:rsidRDefault="003759EA" w:rsidP="003759EA">
      <w:pPr>
        <w:pStyle w:val="BodyTextIndent2"/>
        <w:tabs>
          <w:tab w:val="left" w:pos="7817"/>
        </w:tabs>
        <w:ind w:firstLine="0"/>
        <w:rPr>
          <w:sz w:val="28"/>
          <w:szCs w:val="28"/>
        </w:rPr>
      </w:pPr>
      <w:bookmarkStart w:id="25" w:name="_Toc453032740"/>
      <w:bookmarkStart w:id="26" w:name="_Toc106790255"/>
      <w:r>
        <w:rPr>
          <w:sz w:val="28"/>
          <w:szCs w:val="28"/>
        </w:rPr>
        <w:tab/>
      </w:r>
    </w:p>
    <w:p w:rsidR="00F80A8D" w:rsidRPr="009A52A0" w:rsidRDefault="00F80A8D" w:rsidP="009A52A0">
      <w:pPr>
        <w:pStyle w:val="BHLevel1"/>
        <w:numPr>
          <w:ilvl w:val="0"/>
          <w:numId w:val="0"/>
        </w:numPr>
        <w:spacing w:line="360" w:lineRule="auto"/>
        <w:ind w:left="-720" w:firstLine="720"/>
        <w:rPr>
          <w:sz w:val="28"/>
          <w:szCs w:val="28"/>
          <w:u w:val="none"/>
        </w:rPr>
      </w:pPr>
      <w:r>
        <w:rPr>
          <w:b w:val="0"/>
          <w:caps w:val="0"/>
          <w:sz w:val="28"/>
          <w:szCs w:val="28"/>
        </w:rPr>
        <w:br w:type="page"/>
      </w:r>
      <w:bookmarkStart w:id="27" w:name="_Toc253152165"/>
      <w:r w:rsidRPr="009A52A0">
        <w:rPr>
          <w:sz w:val="28"/>
          <w:szCs w:val="28"/>
          <w:u w:val="none"/>
        </w:rPr>
        <w:lastRenderedPageBreak/>
        <w:t>VII.</w:t>
      </w:r>
      <w:r w:rsidRPr="009A52A0">
        <w:rPr>
          <w:sz w:val="28"/>
          <w:szCs w:val="28"/>
          <w:u w:val="none"/>
        </w:rPr>
        <w:tab/>
      </w:r>
      <w:r w:rsidRPr="009A52A0">
        <w:rPr>
          <w:sz w:val="28"/>
          <w:szCs w:val="28"/>
        </w:rPr>
        <w:t>SUMMARY OF FINDINGS AND CORRECTIVE ACTIONS</w:t>
      </w:r>
      <w:bookmarkEnd w:id="25"/>
      <w:bookmarkEnd w:id="26"/>
      <w:bookmarkEnd w:id="27"/>
    </w:p>
    <w:tbl>
      <w:tblPr>
        <w:tblW w:w="10590"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1080"/>
        <w:gridCol w:w="2250"/>
        <w:gridCol w:w="2430"/>
        <w:gridCol w:w="1260"/>
        <w:gridCol w:w="1140"/>
      </w:tblGrid>
      <w:tr w:rsidR="00F80A8D">
        <w:trPr>
          <w:tblHeader/>
        </w:trPr>
        <w:tc>
          <w:tcPr>
            <w:tcW w:w="2430" w:type="dxa"/>
            <w:tcBorders>
              <w:top w:val="double" w:sz="6" w:space="0" w:color="auto"/>
              <w:bottom w:val="double" w:sz="6" w:space="0" w:color="auto"/>
            </w:tcBorders>
            <w:shd w:val="pct10" w:color="auto" w:fill="auto"/>
            <w:vAlign w:val="center"/>
          </w:tcPr>
          <w:p w:rsidR="00F80A8D" w:rsidRDefault="00F80A8D" w:rsidP="00703761">
            <w:pPr>
              <w:spacing w:before="60" w:after="60"/>
              <w:jc w:val="center"/>
              <w:rPr>
                <w:b/>
                <w:sz w:val="22"/>
              </w:rPr>
            </w:pPr>
            <w:r>
              <w:rPr>
                <w:b/>
                <w:sz w:val="22"/>
              </w:rPr>
              <w:t>Title VI Requirements For Transit Providers</w:t>
            </w:r>
            <w:r w:rsidR="00703761">
              <w:rPr>
                <w:b/>
                <w:sz w:val="22"/>
              </w:rPr>
              <w:t xml:space="preserve"> </w:t>
            </w:r>
          </w:p>
        </w:tc>
        <w:tc>
          <w:tcPr>
            <w:tcW w:w="108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Findings</w:t>
            </w:r>
          </w:p>
        </w:tc>
        <w:tc>
          <w:tcPr>
            <w:tcW w:w="225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Description of Deficiencies</w:t>
            </w:r>
          </w:p>
        </w:tc>
        <w:tc>
          <w:tcPr>
            <w:tcW w:w="2430" w:type="dxa"/>
            <w:tcBorders>
              <w:top w:val="double" w:sz="6" w:space="0" w:color="auto"/>
              <w:bottom w:val="double" w:sz="6" w:space="0" w:color="auto"/>
            </w:tcBorders>
            <w:shd w:val="pct10" w:color="auto" w:fill="auto"/>
            <w:vAlign w:val="center"/>
          </w:tcPr>
          <w:p w:rsidR="00F80A8D" w:rsidRDefault="00F80A8D">
            <w:pPr>
              <w:spacing w:before="160" w:after="60"/>
              <w:jc w:val="center"/>
              <w:rPr>
                <w:b/>
                <w:sz w:val="22"/>
              </w:rPr>
            </w:pPr>
            <w:r>
              <w:rPr>
                <w:b/>
                <w:sz w:val="22"/>
              </w:rPr>
              <w:t>Corrective Action(s)</w:t>
            </w:r>
          </w:p>
        </w:tc>
        <w:tc>
          <w:tcPr>
            <w:tcW w:w="126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Response Days/Date</w:t>
            </w:r>
          </w:p>
        </w:tc>
        <w:tc>
          <w:tcPr>
            <w:tcW w:w="114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Date Closed</w:t>
            </w:r>
          </w:p>
        </w:tc>
      </w:tr>
      <w:tr w:rsidR="00F80A8D">
        <w:tc>
          <w:tcPr>
            <w:tcW w:w="10590" w:type="dxa"/>
            <w:gridSpan w:val="6"/>
            <w:tcBorders>
              <w:top w:val="nil"/>
            </w:tcBorders>
          </w:tcPr>
          <w:p w:rsidR="00F80A8D" w:rsidRDefault="00F80A8D">
            <w:pPr>
              <w:jc w:val="center"/>
              <w:rPr>
                <w:b/>
                <w:sz w:val="24"/>
              </w:rPr>
            </w:pPr>
            <w:r>
              <w:rPr>
                <w:b/>
                <w:sz w:val="24"/>
              </w:rPr>
              <w:t xml:space="preserve">GENERAL </w:t>
            </w:r>
            <w:r w:rsidR="00C5043B">
              <w:rPr>
                <w:b/>
                <w:sz w:val="24"/>
              </w:rPr>
              <w:t xml:space="preserve">REPORTING </w:t>
            </w:r>
            <w:r>
              <w:rPr>
                <w:b/>
                <w:sz w:val="24"/>
              </w:rPr>
              <w:t>REQUIREMENTS</w:t>
            </w:r>
            <w:r w:rsidR="00703761">
              <w:rPr>
                <w:b/>
                <w:sz w:val="24"/>
              </w:rPr>
              <w:t xml:space="preserve"> – FTA C. 4702.1A. IV, 1-9</w:t>
            </w:r>
          </w:p>
        </w:tc>
      </w:tr>
      <w:tr w:rsidR="00F80A8D">
        <w:tc>
          <w:tcPr>
            <w:tcW w:w="2430" w:type="dxa"/>
            <w:tcBorders>
              <w:top w:val="nil"/>
            </w:tcBorders>
          </w:tcPr>
          <w:p w:rsidR="00703761" w:rsidRPr="00703761" w:rsidRDefault="00F80A8D" w:rsidP="00D46449">
            <w:pPr>
              <w:pStyle w:val="Header"/>
              <w:numPr>
                <w:ilvl w:val="0"/>
                <w:numId w:val="10"/>
              </w:numPr>
              <w:tabs>
                <w:tab w:val="clear" w:pos="720"/>
                <w:tab w:val="clear" w:pos="4320"/>
                <w:tab w:val="clear" w:pos="8640"/>
                <w:tab w:val="num" w:pos="420"/>
              </w:tabs>
              <w:ind w:left="420" w:hanging="420"/>
              <w:rPr>
                <w:sz w:val="24"/>
              </w:rPr>
            </w:pPr>
            <w:r>
              <w:rPr>
                <w:sz w:val="24"/>
              </w:rPr>
              <w:t>Inclusive Public Participation</w:t>
            </w:r>
          </w:p>
        </w:tc>
        <w:tc>
          <w:tcPr>
            <w:tcW w:w="1080" w:type="dxa"/>
            <w:tcBorders>
              <w:top w:val="nil"/>
            </w:tcBorders>
          </w:tcPr>
          <w:p w:rsidR="00F80A8D" w:rsidRDefault="002D7A56">
            <w:pPr>
              <w:jc w:val="center"/>
              <w:rPr>
                <w:sz w:val="24"/>
              </w:rPr>
            </w:pPr>
            <w:r>
              <w:rPr>
                <w:sz w:val="24"/>
              </w:rPr>
              <w:t>D</w:t>
            </w:r>
          </w:p>
        </w:tc>
        <w:tc>
          <w:tcPr>
            <w:tcW w:w="2250" w:type="dxa"/>
            <w:tcBorders>
              <w:top w:val="nil"/>
            </w:tcBorders>
          </w:tcPr>
          <w:p w:rsidR="00F80A8D" w:rsidRDefault="00E84124">
            <w:pPr>
              <w:ind w:left="45"/>
              <w:rPr>
                <w:sz w:val="24"/>
              </w:rPr>
            </w:pPr>
            <w:r w:rsidRPr="00E84124">
              <w:rPr>
                <w:sz w:val="24"/>
              </w:rPr>
              <w:t>Inadequate documentation of inclusive public participation</w:t>
            </w:r>
          </w:p>
        </w:tc>
        <w:tc>
          <w:tcPr>
            <w:tcW w:w="2430" w:type="dxa"/>
            <w:tcBorders>
              <w:top w:val="nil"/>
            </w:tcBorders>
          </w:tcPr>
          <w:p w:rsidR="00F80A8D" w:rsidRPr="00D96504" w:rsidRDefault="006C274C" w:rsidP="00404B66">
            <w:pPr>
              <w:pStyle w:val="Header"/>
              <w:tabs>
                <w:tab w:val="clear" w:pos="4320"/>
                <w:tab w:val="clear" w:pos="8640"/>
              </w:tabs>
              <w:ind w:left="45"/>
              <w:rPr>
                <w:sz w:val="24"/>
                <w:szCs w:val="24"/>
              </w:rPr>
            </w:pPr>
            <w:r>
              <w:rPr>
                <w:sz w:val="24"/>
                <w:szCs w:val="24"/>
              </w:rPr>
              <w:t>UDOT</w:t>
            </w:r>
            <w:r w:rsidR="009734DD" w:rsidRPr="009734DD">
              <w:rPr>
                <w:sz w:val="24"/>
                <w:szCs w:val="24"/>
              </w:rPr>
              <w:t xml:space="preserve"> must submit to the FTA Equal Opportunity Specialist in FTA’s Headquarters Office of Civil Rights documentation that it has procedures in place to fulfill the inclusive public participation requirements as described in FTA Circular 4702.1A for itself and its subrecipients.</w:t>
            </w:r>
          </w:p>
        </w:tc>
        <w:tc>
          <w:tcPr>
            <w:tcW w:w="1260" w:type="dxa"/>
            <w:tcBorders>
              <w:top w:val="nil"/>
            </w:tcBorders>
          </w:tcPr>
          <w:p w:rsidR="00F80A8D" w:rsidRDefault="00D96504">
            <w:pPr>
              <w:ind w:left="45"/>
              <w:jc w:val="center"/>
              <w:rPr>
                <w:sz w:val="24"/>
              </w:rPr>
            </w:pPr>
            <w:r>
              <w:rPr>
                <w:sz w:val="24"/>
              </w:rPr>
              <w:t>90 Days</w:t>
            </w:r>
          </w:p>
        </w:tc>
        <w:tc>
          <w:tcPr>
            <w:tcW w:w="1140" w:type="dxa"/>
            <w:tcBorders>
              <w:top w:val="nil"/>
            </w:tcBorders>
          </w:tcPr>
          <w:p w:rsidR="00F80A8D" w:rsidRDefault="00F80A8D">
            <w:pPr>
              <w:jc w:val="center"/>
              <w:rPr>
                <w:sz w:val="24"/>
              </w:rPr>
            </w:pPr>
          </w:p>
        </w:tc>
      </w:tr>
      <w:tr w:rsidR="00F80A8D">
        <w:tc>
          <w:tcPr>
            <w:tcW w:w="2430" w:type="dxa"/>
          </w:tcPr>
          <w:p w:rsidR="00703761" w:rsidRDefault="00F80A8D" w:rsidP="00D46449">
            <w:pPr>
              <w:numPr>
                <w:ilvl w:val="0"/>
                <w:numId w:val="10"/>
              </w:numPr>
              <w:tabs>
                <w:tab w:val="clear" w:pos="720"/>
                <w:tab w:val="num" w:pos="420"/>
              </w:tabs>
              <w:ind w:left="420" w:hanging="420"/>
              <w:rPr>
                <w:sz w:val="24"/>
              </w:rPr>
            </w:pPr>
            <w:r>
              <w:rPr>
                <w:sz w:val="24"/>
              </w:rPr>
              <w:t>Language Access to LEP Persons</w:t>
            </w:r>
          </w:p>
        </w:tc>
        <w:tc>
          <w:tcPr>
            <w:tcW w:w="1080" w:type="dxa"/>
          </w:tcPr>
          <w:p w:rsidR="00F80A8D" w:rsidRDefault="002D7A56">
            <w:pPr>
              <w:jc w:val="center"/>
              <w:rPr>
                <w:sz w:val="24"/>
              </w:rPr>
            </w:pPr>
            <w:r>
              <w:rPr>
                <w:sz w:val="24"/>
              </w:rPr>
              <w:t>D</w:t>
            </w:r>
          </w:p>
        </w:tc>
        <w:tc>
          <w:tcPr>
            <w:tcW w:w="2250" w:type="dxa"/>
          </w:tcPr>
          <w:p w:rsidR="00F80A8D" w:rsidRDefault="00E84124" w:rsidP="00D64D52">
            <w:pPr>
              <w:ind w:left="45"/>
              <w:rPr>
                <w:sz w:val="24"/>
              </w:rPr>
            </w:pPr>
            <w:r w:rsidRPr="00E84124">
              <w:rPr>
                <w:sz w:val="24"/>
              </w:rPr>
              <w:t>Lacking four-factor assessment and language assistance plan for LEP persons</w:t>
            </w:r>
          </w:p>
        </w:tc>
        <w:tc>
          <w:tcPr>
            <w:tcW w:w="2430" w:type="dxa"/>
          </w:tcPr>
          <w:p w:rsidR="00F80A8D" w:rsidRPr="00186683" w:rsidRDefault="006C274C" w:rsidP="004F6378">
            <w:pPr>
              <w:rPr>
                <w:sz w:val="24"/>
                <w:szCs w:val="24"/>
              </w:rPr>
            </w:pPr>
            <w:r>
              <w:rPr>
                <w:sz w:val="24"/>
                <w:szCs w:val="24"/>
              </w:rPr>
              <w:t>UDOT</w:t>
            </w:r>
            <w:r w:rsidR="009734DD" w:rsidRPr="009734DD">
              <w:rPr>
                <w:sz w:val="24"/>
                <w:szCs w:val="24"/>
              </w:rPr>
              <w:t xml:space="preserve"> must submit to the FTA Equal Opportunity Specialist in FTA’s Headquarters Office of Civil Rights a</w:t>
            </w:r>
            <w:r w:rsidR="00D64D52">
              <w:rPr>
                <w:sz w:val="24"/>
                <w:szCs w:val="24"/>
              </w:rPr>
              <w:t xml:space="preserve"> LEP Assessment and</w:t>
            </w:r>
            <w:r w:rsidR="009734DD" w:rsidRPr="009734DD">
              <w:rPr>
                <w:sz w:val="24"/>
                <w:szCs w:val="24"/>
              </w:rPr>
              <w:t xml:space="preserve"> Language Access Plan that meets the requirements of</w:t>
            </w:r>
            <w:r w:rsidR="00D64D52">
              <w:rPr>
                <w:sz w:val="24"/>
                <w:szCs w:val="24"/>
              </w:rPr>
              <w:t xml:space="preserve"> FTA C 4702.1A and</w:t>
            </w:r>
            <w:r w:rsidR="009734DD" w:rsidRPr="009734DD">
              <w:rPr>
                <w:sz w:val="24"/>
                <w:szCs w:val="24"/>
              </w:rPr>
              <w:t xml:space="preserve"> </w:t>
            </w:r>
            <w:r w:rsidR="009734DD" w:rsidRPr="009734DD">
              <w:rPr>
                <w:i/>
                <w:sz w:val="24"/>
                <w:szCs w:val="24"/>
              </w:rPr>
              <w:t>DOT Policy Guidance Concerning</w:t>
            </w:r>
            <w:r w:rsidR="004D7B63" w:rsidRPr="00CC3819">
              <w:rPr>
                <w:i/>
                <w:sz w:val="28"/>
                <w:szCs w:val="28"/>
              </w:rPr>
              <w:t xml:space="preserve"> </w:t>
            </w:r>
            <w:r w:rsidR="009734DD" w:rsidRPr="009734DD">
              <w:rPr>
                <w:i/>
                <w:sz w:val="24"/>
                <w:szCs w:val="24"/>
              </w:rPr>
              <w:t>Recipients’ Responsibilities to Limited English Proficient Persons, (December 14, 2005).</w:t>
            </w:r>
          </w:p>
        </w:tc>
        <w:tc>
          <w:tcPr>
            <w:tcW w:w="1260" w:type="dxa"/>
          </w:tcPr>
          <w:p w:rsidR="00F80A8D" w:rsidRDefault="004D7B63">
            <w:pPr>
              <w:ind w:left="45"/>
              <w:jc w:val="center"/>
              <w:rPr>
                <w:sz w:val="24"/>
              </w:rPr>
            </w:pPr>
            <w:r>
              <w:rPr>
                <w:sz w:val="24"/>
              </w:rPr>
              <w:t>90 Days</w:t>
            </w:r>
          </w:p>
        </w:tc>
        <w:tc>
          <w:tcPr>
            <w:tcW w:w="1140" w:type="dxa"/>
          </w:tcPr>
          <w:p w:rsidR="00F80A8D" w:rsidRDefault="00F80A8D">
            <w:pPr>
              <w:jc w:val="center"/>
              <w:rPr>
                <w:sz w:val="24"/>
              </w:rPr>
            </w:pPr>
          </w:p>
        </w:tc>
      </w:tr>
      <w:tr w:rsidR="00F80A8D">
        <w:tc>
          <w:tcPr>
            <w:tcW w:w="2430" w:type="dxa"/>
          </w:tcPr>
          <w:p w:rsidR="00F80A8D" w:rsidRPr="00236583" w:rsidRDefault="00F80A8D" w:rsidP="00724AFC">
            <w:pPr>
              <w:numPr>
                <w:ilvl w:val="0"/>
                <w:numId w:val="10"/>
              </w:numPr>
              <w:tabs>
                <w:tab w:val="clear" w:pos="720"/>
                <w:tab w:val="num" w:pos="420"/>
              </w:tabs>
              <w:ind w:left="420" w:hanging="420"/>
              <w:rPr>
                <w:sz w:val="24"/>
              </w:rPr>
            </w:pPr>
            <w:r w:rsidRPr="00236583">
              <w:rPr>
                <w:sz w:val="24"/>
              </w:rPr>
              <w:t>Title VI Complaint Procedures</w:t>
            </w:r>
          </w:p>
        </w:tc>
        <w:tc>
          <w:tcPr>
            <w:tcW w:w="1080" w:type="dxa"/>
          </w:tcPr>
          <w:p w:rsidR="00F80A8D" w:rsidRPr="00236583" w:rsidRDefault="00BD0727">
            <w:pPr>
              <w:jc w:val="center"/>
              <w:rPr>
                <w:sz w:val="24"/>
              </w:rPr>
            </w:pPr>
            <w:r w:rsidRPr="00236583">
              <w:rPr>
                <w:sz w:val="24"/>
              </w:rPr>
              <w:t>AC</w:t>
            </w:r>
          </w:p>
        </w:tc>
        <w:tc>
          <w:tcPr>
            <w:tcW w:w="2250" w:type="dxa"/>
          </w:tcPr>
          <w:p w:rsidR="00F80A8D" w:rsidRPr="00236583" w:rsidRDefault="00666E96">
            <w:pPr>
              <w:ind w:left="45"/>
              <w:rPr>
                <w:sz w:val="24"/>
              </w:rPr>
            </w:pPr>
            <w:r w:rsidRPr="00236583">
              <w:rPr>
                <w:sz w:val="24"/>
              </w:rPr>
              <w:t>Inadequate complaint procedures</w:t>
            </w:r>
          </w:p>
        </w:tc>
        <w:tc>
          <w:tcPr>
            <w:tcW w:w="2430" w:type="dxa"/>
          </w:tcPr>
          <w:p w:rsidR="00F80A8D" w:rsidRPr="000C1C81" w:rsidRDefault="000C1C81">
            <w:pPr>
              <w:ind w:left="45"/>
              <w:rPr>
                <w:sz w:val="24"/>
                <w:szCs w:val="24"/>
                <w:highlight w:val="yellow"/>
              </w:rPr>
            </w:pPr>
            <w:r w:rsidRPr="000C1C81">
              <w:rPr>
                <w:sz w:val="24"/>
                <w:szCs w:val="24"/>
              </w:rPr>
              <w:t xml:space="preserve">UDOT must submit to the FTA Equal Opportunity Specialist in FTA’s </w:t>
            </w:r>
            <w:r w:rsidRPr="000C1C81">
              <w:rPr>
                <w:sz w:val="24"/>
                <w:szCs w:val="24"/>
              </w:rPr>
              <w:lastRenderedPageBreak/>
              <w:t xml:space="preserve">Headquarters Office of Civil Rights a clear </w:t>
            </w:r>
            <w:r w:rsidRPr="000C1C81">
              <w:rPr>
                <w:iCs/>
                <w:sz w:val="24"/>
                <w:szCs w:val="24"/>
              </w:rPr>
              <w:t>procedure for investigating and tracking Title VI complaints filed against it and its subrecipients</w:t>
            </w:r>
            <w:r w:rsidRPr="000C1C81">
              <w:rPr>
                <w:sz w:val="24"/>
                <w:szCs w:val="24"/>
              </w:rPr>
              <w:t>.</w:t>
            </w:r>
          </w:p>
        </w:tc>
        <w:tc>
          <w:tcPr>
            <w:tcW w:w="1260" w:type="dxa"/>
          </w:tcPr>
          <w:p w:rsidR="00F80A8D" w:rsidRPr="006B00F6" w:rsidRDefault="000C1C81">
            <w:pPr>
              <w:ind w:left="45"/>
              <w:jc w:val="center"/>
              <w:rPr>
                <w:sz w:val="24"/>
                <w:highlight w:val="yellow"/>
              </w:rPr>
            </w:pPr>
            <w:r w:rsidRPr="000C1C81">
              <w:rPr>
                <w:sz w:val="24"/>
              </w:rPr>
              <w:lastRenderedPageBreak/>
              <w:t>90 Days</w:t>
            </w:r>
          </w:p>
        </w:tc>
        <w:tc>
          <w:tcPr>
            <w:tcW w:w="1140" w:type="dxa"/>
          </w:tcPr>
          <w:p w:rsidR="00F80A8D" w:rsidRDefault="00F80A8D">
            <w:pPr>
              <w:jc w:val="center"/>
              <w:rPr>
                <w:sz w:val="24"/>
              </w:rPr>
            </w:pPr>
          </w:p>
        </w:tc>
      </w:tr>
      <w:tr w:rsidR="00F80A8D">
        <w:tc>
          <w:tcPr>
            <w:tcW w:w="2430" w:type="dxa"/>
          </w:tcPr>
          <w:p w:rsidR="00F80A8D" w:rsidRDefault="00F80A8D" w:rsidP="00724AFC">
            <w:pPr>
              <w:numPr>
                <w:ilvl w:val="0"/>
                <w:numId w:val="10"/>
              </w:numPr>
              <w:tabs>
                <w:tab w:val="clear" w:pos="720"/>
                <w:tab w:val="num" w:pos="420"/>
              </w:tabs>
              <w:ind w:left="420" w:hanging="420"/>
              <w:rPr>
                <w:sz w:val="24"/>
              </w:rPr>
            </w:pPr>
            <w:r>
              <w:rPr>
                <w:sz w:val="24"/>
              </w:rPr>
              <w:lastRenderedPageBreak/>
              <w:t>Record of Title VI Investigations, Complaints, and Lawsuits</w:t>
            </w:r>
          </w:p>
        </w:tc>
        <w:tc>
          <w:tcPr>
            <w:tcW w:w="1080" w:type="dxa"/>
          </w:tcPr>
          <w:p w:rsidR="00F80A8D" w:rsidRDefault="002D7A56">
            <w:pPr>
              <w:jc w:val="center"/>
              <w:rPr>
                <w:sz w:val="24"/>
              </w:rPr>
            </w:pPr>
            <w:r>
              <w:rPr>
                <w:sz w:val="24"/>
              </w:rPr>
              <w:t>D</w:t>
            </w:r>
          </w:p>
        </w:tc>
        <w:tc>
          <w:tcPr>
            <w:tcW w:w="2250" w:type="dxa"/>
          </w:tcPr>
          <w:p w:rsidR="00F80A8D" w:rsidRDefault="003759EA">
            <w:pPr>
              <w:ind w:left="45"/>
              <w:rPr>
                <w:sz w:val="24"/>
              </w:rPr>
            </w:pPr>
            <w:r>
              <w:rPr>
                <w:sz w:val="24"/>
              </w:rPr>
              <w:t>Inadequate record of Title VI investigations, complaints, and lawsuits</w:t>
            </w:r>
          </w:p>
        </w:tc>
        <w:tc>
          <w:tcPr>
            <w:tcW w:w="2430" w:type="dxa"/>
          </w:tcPr>
          <w:p w:rsidR="00F80A8D" w:rsidRPr="00666E96" w:rsidRDefault="00666E96">
            <w:pPr>
              <w:ind w:left="45"/>
              <w:rPr>
                <w:sz w:val="24"/>
                <w:szCs w:val="24"/>
              </w:rPr>
            </w:pPr>
            <w:r w:rsidRPr="00666E96">
              <w:rPr>
                <w:sz w:val="24"/>
                <w:szCs w:val="24"/>
              </w:rPr>
              <w:t xml:space="preserve">UDOT must submit to the FTA Equal Opportunity Specialist in FTA’s Headquarters Office of Civil Rights a list of active Title VI complaints </w:t>
            </w:r>
            <w:r w:rsidR="00165CBD">
              <w:rPr>
                <w:sz w:val="24"/>
                <w:szCs w:val="24"/>
              </w:rPr>
              <w:t xml:space="preserve">pertaining to UDOT or its subrecipients </w:t>
            </w:r>
            <w:r w:rsidRPr="00666E96">
              <w:rPr>
                <w:sz w:val="24"/>
                <w:szCs w:val="24"/>
              </w:rPr>
              <w:t>and written procedures that ensure all Title VI complaints, investigations and lawsuits will be properly recorded and tracked.</w:t>
            </w:r>
          </w:p>
        </w:tc>
        <w:tc>
          <w:tcPr>
            <w:tcW w:w="1260" w:type="dxa"/>
          </w:tcPr>
          <w:p w:rsidR="00F80A8D" w:rsidRDefault="000C1C81">
            <w:pPr>
              <w:ind w:left="45"/>
              <w:jc w:val="center"/>
              <w:rPr>
                <w:sz w:val="24"/>
              </w:rPr>
            </w:pPr>
            <w:r>
              <w:rPr>
                <w:sz w:val="24"/>
              </w:rPr>
              <w:t>9</w:t>
            </w:r>
            <w:r w:rsidR="00666E96">
              <w:rPr>
                <w:sz w:val="24"/>
              </w:rPr>
              <w:t>0 days</w:t>
            </w:r>
          </w:p>
        </w:tc>
        <w:tc>
          <w:tcPr>
            <w:tcW w:w="1140" w:type="dxa"/>
          </w:tcPr>
          <w:p w:rsidR="00F80A8D" w:rsidRDefault="00F80A8D">
            <w:pPr>
              <w:jc w:val="center"/>
              <w:rPr>
                <w:sz w:val="24"/>
              </w:rPr>
            </w:pPr>
          </w:p>
        </w:tc>
      </w:tr>
      <w:tr w:rsidR="00F80A8D">
        <w:tc>
          <w:tcPr>
            <w:tcW w:w="2430" w:type="dxa"/>
          </w:tcPr>
          <w:p w:rsidR="00F80A8D" w:rsidRDefault="00F80A8D" w:rsidP="00724AFC">
            <w:pPr>
              <w:numPr>
                <w:ilvl w:val="0"/>
                <w:numId w:val="10"/>
              </w:numPr>
              <w:tabs>
                <w:tab w:val="clear" w:pos="720"/>
                <w:tab w:val="num" w:pos="420"/>
              </w:tabs>
              <w:ind w:left="420" w:hanging="420"/>
              <w:rPr>
                <w:sz w:val="24"/>
              </w:rPr>
            </w:pPr>
            <w:r>
              <w:rPr>
                <w:sz w:val="24"/>
              </w:rPr>
              <w:t>Notice to Beneficiaries of Protection Under Title VI</w:t>
            </w:r>
          </w:p>
        </w:tc>
        <w:tc>
          <w:tcPr>
            <w:tcW w:w="1080" w:type="dxa"/>
          </w:tcPr>
          <w:p w:rsidR="00F80A8D" w:rsidRDefault="000658ED">
            <w:pPr>
              <w:jc w:val="center"/>
              <w:rPr>
                <w:sz w:val="24"/>
              </w:rPr>
            </w:pPr>
            <w:r>
              <w:rPr>
                <w:sz w:val="24"/>
              </w:rPr>
              <w:t>D</w:t>
            </w:r>
          </w:p>
        </w:tc>
        <w:tc>
          <w:tcPr>
            <w:tcW w:w="2250" w:type="dxa"/>
          </w:tcPr>
          <w:p w:rsidR="00F80A8D" w:rsidRDefault="00E84124">
            <w:pPr>
              <w:ind w:left="45"/>
              <w:rPr>
                <w:sz w:val="24"/>
              </w:rPr>
            </w:pPr>
            <w:r w:rsidRPr="00E84124">
              <w:rPr>
                <w:sz w:val="24"/>
              </w:rPr>
              <w:t>Title VI Notification Deficiencies</w:t>
            </w:r>
          </w:p>
        </w:tc>
        <w:tc>
          <w:tcPr>
            <w:tcW w:w="2430" w:type="dxa"/>
          </w:tcPr>
          <w:p w:rsidR="00F80A8D" w:rsidRDefault="006C274C" w:rsidP="009102A5">
            <w:pPr>
              <w:ind w:left="45"/>
              <w:rPr>
                <w:sz w:val="24"/>
              </w:rPr>
            </w:pPr>
            <w:r>
              <w:rPr>
                <w:sz w:val="24"/>
                <w:szCs w:val="24"/>
              </w:rPr>
              <w:t>UDOT</w:t>
            </w:r>
            <w:r w:rsidR="00751820" w:rsidRPr="00751820">
              <w:rPr>
                <w:sz w:val="24"/>
                <w:szCs w:val="24"/>
              </w:rPr>
              <w:t xml:space="preserve"> must submit to the FTA Equal Opportunity Specialist in FTA’s Headquarters Office of Civil Rights an updated </w:t>
            </w:r>
            <w:r w:rsidR="009102A5">
              <w:rPr>
                <w:sz w:val="24"/>
                <w:szCs w:val="24"/>
              </w:rPr>
              <w:t>N</w:t>
            </w:r>
            <w:r w:rsidR="00751820" w:rsidRPr="00751820">
              <w:rPr>
                <w:sz w:val="24"/>
                <w:szCs w:val="24"/>
              </w:rPr>
              <w:t xml:space="preserve">otice to </w:t>
            </w:r>
            <w:r w:rsidR="009102A5">
              <w:rPr>
                <w:sz w:val="24"/>
                <w:szCs w:val="24"/>
              </w:rPr>
              <w:t>B</w:t>
            </w:r>
            <w:r w:rsidR="00751820" w:rsidRPr="00751820">
              <w:rPr>
                <w:sz w:val="24"/>
                <w:szCs w:val="24"/>
              </w:rPr>
              <w:t xml:space="preserve">eneficiaries that </w:t>
            </w:r>
            <w:r w:rsidR="00F21F0C">
              <w:rPr>
                <w:sz w:val="24"/>
                <w:szCs w:val="24"/>
              </w:rPr>
              <w:t xml:space="preserve">includes all the elements required by FTA Circular 4702.1a.  </w:t>
            </w:r>
            <w:r>
              <w:rPr>
                <w:sz w:val="24"/>
                <w:szCs w:val="24"/>
              </w:rPr>
              <w:t>UDOT</w:t>
            </w:r>
            <w:r w:rsidR="00751820" w:rsidRPr="00751820">
              <w:rPr>
                <w:sz w:val="24"/>
                <w:szCs w:val="24"/>
              </w:rPr>
              <w:t xml:space="preserve"> must provide documentation</w:t>
            </w:r>
            <w:r w:rsidR="00751820">
              <w:rPr>
                <w:sz w:val="28"/>
                <w:szCs w:val="28"/>
              </w:rPr>
              <w:t xml:space="preserve"> </w:t>
            </w:r>
            <w:r w:rsidR="00751820" w:rsidRPr="004F6378">
              <w:rPr>
                <w:sz w:val="24"/>
                <w:szCs w:val="24"/>
              </w:rPr>
              <w:t xml:space="preserve">that it has distributed </w:t>
            </w:r>
            <w:r w:rsidR="00F21F0C">
              <w:rPr>
                <w:sz w:val="24"/>
                <w:szCs w:val="24"/>
              </w:rPr>
              <w:t xml:space="preserve">the </w:t>
            </w:r>
            <w:r w:rsidR="00CA1585">
              <w:rPr>
                <w:sz w:val="24"/>
                <w:szCs w:val="24"/>
              </w:rPr>
              <w:t xml:space="preserve">revised </w:t>
            </w:r>
            <w:r w:rsidR="009102A5">
              <w:rPr>
                <w:sz w:val="24"/>
                <w:szCs w:val="24"/>
              </w:rPr>
              <w:t>N</w:t>
            </w:r>
            <w:r w:rsidR="00751820" w:rsidRPr="004F6378">
              <w:rPr>
                <w:sz w:val="24"/>
                <w:szCs w:val="24"/>
              </w:rPr>
              <w:t xml:space="preserve">otice to the public in a manner other than its website. </w:t>
            </w:r>
            <w:r>
              <w:rPr>
                <w:sz w:val="24"/>
                <w:szCs w:val="24"/>
              </w:rPr>
              <w:lastRenderedPageBreak/>
              <w:t>UDOT</w:t>
            </w:r>
            <w:r w:rsidR="00751820" w:rsidRPr="004F6378">
              <w:rPr>
                <w:sz w:val="24"/>
                <w:szCs w:val="24"/>
              </w:rPr>
              <w:t xml:space="preserve"> must document that its subrecipients have distributed </w:t>
            </w:r>
            <w:r w:rsidR="00CA1585">
              <w:rPr>
                <w:sz w:val="24"/>
                <w:szCs w:val="24"/>
              </w:rPr>
              <w:t>an updated</w:t>
            </w:r>
            <w:r w:rsidR="00751820" w:rsidRPr="004F6378">
              <w:rPr>
                <w:sz w:val="24"/>
                <w:szCs w:val="24"/>
              </w:rPr>
              <w:t xml:space="preserve"> </w:t>
            </w:r>
            <w:r w:rsidR="009102A5">
              <w:rPr>
                <w:sz w:val="24"/>
                <w:szCs w:val="24"/>
              </w:rPr>
              <w:t>N</w:t>
            </w:r>
            <w:r w:rsidR="00751820" w:rsidRPr="004F6378">
              <w:rPr>
                <w:sz w:val="24"/>
                <w:szCs w:val="24"/>
              </w:rPr>
              <w:t xml:space="preserve">otice to </w:t>
            </w:r>
            <w:r w:rsidR="009102A5">
              <w:rPr>
                <w:sz w:val="24"/>
                <w:szCs w:val="24"/>
              </w:rPr>
              <w:t>B</w:t>
            </w:r>
            <w:r w:rsidR="00751820" w:rsidRPr="004F6378">
              <w:rPr>
                <w:sz w:val="24"/>
                <w:szCs w:val="24"/>
              </w:rPr>
              <w:t xml:space="preserve">eneficiaries that </w:t>
            </w:r>
            <w:r w:rsidR="00F21F0C">
              <w:rPr>
                <w:sz w:val="24"/>
                <w:szCs w:val="24"/>
              </w:rPr>
              <w:t>includes all the required elements</w:t>
            </w:r>
            <w:r w:rsidR="00751820" w:rsidRPr="004F6378">
              <w:rPr>
                <w:sz w:val="24"/>
                <w:szCs w:val="24"/>
              </w:rPr>
              <w:t>.</w:t>
            </w:r>
          </w:p>
        </w:tc>
        <w:tc>
          <w:tcPr>
            <w:tcW w:w="1260" w:type="dxa"/>
          </w:tcPr>
          <w:p w:rsidR="00F80A8D" w:rsidRDefault="004F6378">
            <w:pPr>
              <w:pStyle w:val="Heading9"/>
              <w:spacing w:line="240" w:lineRule="auto"/>
              <w:ind w:left="45"/>
            </w:pPr>
            <w:r>
              <w:lastRenderedPageBreak/>
              <w:t>90 Days</w:t>
            </w:r>
          </w:p>
        </w:tc>
        <w:tc>
          <w:tcPr>
            <w:tcW w:w="1140" w:type="dxa"/>
          </w:tcPr>
          <w:p w:rsidR="00F80A8D" w:rsidRDefault="00F80A8D">
            <w:pPr>
              <w:jc w:val="center"/>
              <w:rPr>
                <w:sz w:val="24"/>
              </w:rPr>
            </w:pPr>
          </w:p>
        </w:tc>
      </w:tr>
      <w:tr w:rsidR="00F80A8D">
        <w:tc>
          <w:tcPr>
            <w:tcW w:w="2430" w:type="dxa"/>
          </w:tcPr>
          <w:p w:rsidR="00F80A8D" w:rsidRDefault="00F80A8D" w:rsidP="00724AFC">
            <w:pPr>
              <w:numPr>
                <w:ilvl w:val="0"/>
                <w:numId w:val="10"/>
              </w:numPr>
              <w:tabs>
                <w:tab w:val="clear" w:pos="720"/>
                <w:tab w:val="num" w:pos="420"/>
              </w:tabs>
              <w:ind w:left="420" w:hanging="420"/>
              <w:rPr>
                <w:sz w:val="24"/>
              </w:rPr>
            </w:pPr>
            <w:r>
              <w:rPr>
                <w:sz w:val="24"/>
              </w:rPr>
              <w:lastRenderedPageBreak/>
              <w:t>Annual Title VI Certification and Assurance</w:t>
            </w:r>
          </w:p>
        </w:tc>
        <w:tc>
          <w:tcPr>
            <w:tcW w:w="1080" w:type="dxa"/>
          </w:tcPr>
          <w:p w:rsidR="00F80A8D" w:rsidRDefault="002D7A56">
            <w:pPr>
              <w:jc w:val="center"/>
              <w:rPr>
                <w:sz w:val="24"/>
              </w:rPr>
            </w:pPr>
            <w:r>
              <w:rPr>
                <w:sz w:val="24"/>
              </w:rPr>
              <w:t>ND</w:t>
            </w:r>
          </w:p>
        </w:tc>
        <w:tc>
          <w:tcPr>
            <w:tcW w:w="2250" w:type="dxa"/>
          </w:tcPr>
          <w:p w:rsidR="00F80A8D" w:rsidRDefault="00F80A8D">
            <w:pPr>
              <w:ind w:left="45"/>
              <w:rPr>
                <w:sz w:val="24"/>
              </w:rPr>
            </w:pPr>
          </w:p>
        </w:tc>
        <w:tc>
          <w:tcPr>
            <w:tcW w:w="2430" w:type="dxa"/>
          </w:tcPr>
          <w:p w:rsidR="00F80A8D" w:rsidRDefault="00F80A8D">
            <w:pPr>
              <w:tabs>
                <w:tab w:val="left" w:pos="330"/>
              </w:tabs>
              <w:ind w:left="330" w:hanging="360"/>
              <w:rPr>
                <w:sz w:val="24"/>
              </w:rPr>
            </w:pPr>
          </w:p>
        </w:tc>
        <w:tc>
          <w:tcPr>
            <w:tcW w:w="1260" w:type="dxa"/>
          </w:tcPr>
          <w:p w:rsidR="00F80A8D" w:rsidRDefault="00F80A8D">
            <w:pPr>
              <w:jc w:val="center"/>
              <w:rPr>
                <w:sz w:val="24"/>
              </w:rPr>
            </w:pPr>
          </w:p>
        </w:tc>
        <w:tc>
          <w:tcPr>
            <w:tcW w:w="1140" w:type="dxa"/>
          </w:tcPr>
          <w:p w:rsidR="00F80A8D" w:rsidRDefault="00F80A8D">
            <w:pPr>
              <w:jc w:val="center"/>
              <w:rPr>
                <w:sz w:val="24"/>
              </w:rPr>
            </w:pPr>
          </w:p>
        </w:tc>
      </w:tr>
      <w:tr w:rsidR="00F80A8D">
        <w:tc>
          <w:tcPr>
            <w:tcW w:w="2430" w:type="dxa"/>
          </w:tcPr>
          <w:p w:rsidR="00F80A8D" w:rsidRPr="00F96221" w:rsidRDefault="00F80A8D" w:rsidP="00724AFC">
            <w:pPr>
              <w:numPr>
                <w:ilvl w:val="0"/>
                <w:numId w:val="10"/>
              </w:numPr>
              <w:tabs>
                <w:tab w:val="clear" w:pos="720"/>
                <w:tab w:val="num" w:pos="420"/>
              </w:tabs>
              <w:ind w:left="420" w:hanging="420"/>
              <w:rPr>
                <w:sz w:val="24"/>
              </w:rPr>
            </w:pPr>
            <w:r w:rsidRPr="00F96221">
              <w:rPr>
                <w:sz w:val="24"/>
              </w:rPr>
              <w:t>Environmental Justice Analysis of Construction Projects</w:t>
            </w:r>
          </w:p>
        </w:tc>
        <w:tc>
          <w:tcPr>
            <w:tcW w:w="1080" w:type="dxa"/>
          </w:tcPr>
          <w:p w:rsidR="00F80A8D" w:rsidRPr="00F96221" w:rsidRDefault="000C1C81">
            <w:pPr>
              <w:jc w:val="center"/>
              <w:rPr>
                <w:sz w:val="24"/>
              </w:rPr>
            </w:pPr>
            <w:r>
              <w:rPr>
                <w:sz w:val="24"/>
              </w:rPr>
              <w:t>AC</w:t>
            </w:r>
          </w:p>
        </w:tc>
        <w:tc>
          <w:tcPr>
            <w:tcW w:w="2250" w:type="dxa"/>
          </w:tcPr>
          <w:p w:rsidR="00F80A8D" w:rsidRPr="00F96221" w:rsidRDefault="00F80A8D">
            <w:pPr>
              <w:ind w:left="45"/>
              <w:rPr>
                <w:sz w:val="24"/>
              </w:rPr>
            </w:pPr>
          </w:p>
        </w:tc>
        <w:tc>
          <w:tcPr>
            <w:tcW w:w="2430" w:type="dxa"/>
          </w:tcPr>
          <w:p w:rsidR="00F80A8D" w:rsidRPr="005370B2" w:rsidRDefault="005370B2" w:rsidP="00F97516">
            <w:pPr>
              <w:tabs>
                <w:tab w:val="left" w:pos="330"/>
                <w:tab w:val="left" w:pos="1725"/>
              </w:tabs>
              <w:ind w:left="-30"/>
              <w:rPr>
                <w:sz w:val="24"/>
                <w:szCs w:val="24"/>
              </w:rPr>
            </w:pPr>
            <w:r w:rsidRPr="005370B2">
              <w:rPr>
                <w:sz w:val="24"/>
                <w:szCs w:val="24"/>
              </w:rPr>
              <w:t xml:space="preserve">UDOT is advised that the current requirements for an EJ analysis have been revised with the issuance of FTA Circular 4702.1A.  </w:t>
            </w:r>
          </w:p>
        </w:tc>
        <w:tc>
          <w:tcPr>
            <w:tcW w:w="1260" w:type="dxa"/>
          </w:tcPr>
          <w:p w:rsidR="00F80A8D" w:rsidRDefault="00F80A8D">
            <w:pPr>
              <w:pStyle w:val="Heading9"/>
              <w:spacing w:line="240" w:lineRule="auto"/>
            </w:pPr>
          </w:p>
        </w:tc>
        <w:tc>
          <w:tcPr>
            <w:tcW w:w="1140" w:type="dxa"/>
          </w:tcPr>
          <w:p w:rsidR="00F80A8D" w:rsidRDefault="00F80A8D">
            <w:pPr>
              <w:jc w:val="center"/>
              <w:rPr>
                <w:sz w:val="24"/>
              </w:rPr>
            </w:pPr>
          </w:p>
        </w:tc>
      </w:tr>
      <w:tr w:rsidR="00F80A8D" w:rsidTr="00CB33F0">
        <w:trPr>
          <w:trHeight w:val="588"/>
        </w:trPr>
        <w:tc>
          <w:tcPr>
            <w:tcW w:w="2430" w:type="dxa"/>
          </w:tcPr>
          <w:p w:rsidR="00F80A8D" w:rsidRDefault="00F80A8D" w:rsidP="00724AFC">
            <w:pPr>
              <w:numPr>
                <w:ilvl w:val="0"/>
                <w:numId w:val="10"/>
              </w:numPr>
              <w:tabs>
                <w:tab w:val="clear" w:pos="720"/>
                <w:tab w:val="num" w:pos="420"/>
              </w:tabs>
              <w:ind w:left="420" w:hanging="420"/>
              <w:rPr>
                <w:sz w:val="24"/>
              </w:rPr>
            </w:pPr>
            <w:r>
              <w:rPr>
                <w:sz w:val="24"/>
              </w:rPr>
              <w:t>Submit Title VI Program</w:t>
            </w:r>
          </w:p>
        </w:tc>
        <w:tc>
          <w:tcPr>
            <w:tcW w:w="1080" w:type="dxa"/>
          </w:tcPr>
          <w:p w:rsidR="00F80A8D" w:rsidRDefault="002D7A56">
            <w:pPr>
              <w:jc w:val="center"/>
              <w:rPr>
                <w:sz w:val="24"/>
              </w:rPr>
            </w:pPr>
            <w:r>
              <w:rPr>
                <w:sz w:val="24"/>
              </w:rPr>
              <w:t>D</w:t>
            </w:r>
          </w:p>
        </w:tc>
        <w:tc>
          <w:tcPr>
            <w:tcW w:w="2250" w:type="dxa"/>
          </w:tcPr>
          <w:p w:rsidR="00F80A8D" w:rsidRDefault="00E84124">
            <w:pPr>
              <w:ind w:left="45"/>
              <w:rPr>
                <w:sz w:val="24"/>
              </w:rPr>
            </w:pPr>
            <w:r>
              <w:rPr>
                <w:sz w:val="24"/>
              </w:rPr>
              <w:t>Lack detailed Title VI Program under FTA Circular 4702.1A</w:t>
            </w:r>
          </w:p>
        </w:tc>
        <w:tc>
          <w:tcPr>
            <w:tcW w:w="2430" w:type="dxa"/>
          </w:tcPr>
          <w:p w:rsidR="00F80A8D" w:rsidRPr="00751820" w:rsidRDefault="006C274C" w:rsidP="00F97516">
            <w:pPr>
              <w:tabs>
                <w:tab w:val="left" w:pos="-30"/>
                <w:tab w:val="left" w:pos="1725"/>
              </w:tabs>
              <w:ind w:left="-30"/>
              <w:rPr>
                <w:sz w:val="24"/>
                <w:szCs w:val="24"/>
              </w:rPr>
            </w:pPr>
            <w:r>
              <w:rPr>
                <w:sz w:val="24"/>
                <w:szCs w:val="24"/>
              </w:rPr>
              <w:t>UDOT</w:t>
            </w:r>
            <w:r w:rsidR="00751820" w:rsidRPr="00751820">
              <w:rPr>
                <w:sz w:val="24"/>
                <w:szCs w:val="24"/>
              </w:rPr>
              <w:t xml:space="preserve"> must submit to the FTA Equal Opportunity Specialist in FTA’s Headquarters Office of Civil Rights a Title VI Program developed according to FTA Circular 4702.1A under the General Reporting Requirements and Program-Specific Requirements for State DOTs</w:t>
            </w:r>
            <w:r w:rsidR="000C1C81">
              <w:rPr>
                <w:sz w:val="24"/>
                <w:szCs w:val="24"/>
              </w:rPr>
              <w:t xml:space="preserve"> and Other Administering Agencies</w:t>
            </w:r>
            <w:r w:rsidR="00751820" w:rsidRPr="00751820">
              <w:rPr>
                <w:sz w:val="24"/>
                <w:szCs w:val="24"/>
              </w:rPr>
              <w:t>.</w:t>
            </w:r>
          </w:p>
        </w:tc>
        <w:tc>
          <w:tcPr>
            <w:tcW w:w="1260" w:type="dxa"/>
          </w:tcPr>
          <w:p w:rsidR="00751820" w:rsidRDefault="00751820">
            <w:pPr>
              <w:pStyle w:val="Heading9"/>
              <w:spacing w:line="240" w:lineRule="auto"/>
            </w:pPr>
            <w:r>
              <w:t>90 Days</w:t>
            </w:r>
          </w:p>
          <w:p w:rsidR="00751820" w:rsidRDefault="00751820" w:rsidP="00751820"/>
          <w:p w:rsidR="00F80A8D" w:rsidRPr="00751820" w:rsidRDefault="00F80A8D" w:rsidP="00751820"/>
        </w:tc>
        <w:tc>
          <w:tcPr>
            <w:tcW w:w="1140" w:type="dxa"/>
          </w:tcPr>
          <w:p w:rsidR="00F80A8D" w:rsidRDefault="00F80A8D">
            <w:pPr>
              <w:jc w:val="center"/>
              <w:rPr>
                <w:sz w:val="24"/>
              </w:rPr>
            </w:pPr>
          </w:p>
        </w:tc>
      </w:tr>
      <w:tr w:rsidR="00F80A8D">
        <w:tc>
          <w:tcPr>
            <w:tcW w:w="10590" w:type="dxa"/>
            <w:gridSpan w:val="6"/>
          </w:tcPr>
          <w:p w:rsidR="00F80A8D" w:rsidRDefault="00D46449">
            <w:pPr>
              <w:jc w:val="center"/>
              <w:rPr>
                <w:b/>
                <w:sz w:val="24"/>
              </w:rPr>
            </w:pPr>
            <w:r>
              <w:rPr>
                <w:b/>
                <w:sz w:val="24"/>
              </w:rPr>
              <w:t>PROGRAM SPECIFIC REQUIREMENTS – FTA C.4702.1A VI, 1-4</w:t>
            </w:r>
          </w:p>
        </w:tc>
      </w:tr>
      <w:tr w:rsidR="00D46449">
        <w:tc>
          <w:tcPr>
            <w:tcW w:w="2430" w:type="dxa"/>
          </w:tcPr>
          <w:p w:rsidR="00D46449" w:rsidRDefault="00D46449" w:rsidP="00D46449">
            <w:pPr>
              <w:numPr>
                <w:ilvl w:val="0"/>
                <w:numId w:val="10"/>
              </w:numPr>
              <w:tabs>
                <w:tab w:val="clear" w:pos="720"/>
                <w:tab w:val="num" w:pos="420"/>
              </w:tabs>
              <w:ind w:left="420" w:hanging="420"/>
              <w:rPr>
                <w:sz w:val="24"/>
              </w:rPr>
            </w:pPr>
            <w:r>
              <w:rPr>
                <w:sz w:val="24"/>
              </w:rPr>
              <w:t>Statewide Planning Activities</w:t>
            </w:r>
          </w:p>
        </w:tc>
        <w:tc>
          <w:tcPr>
            <w:tcW w:w="1080" w:type="dxa"/>
          </w:tcPr>
          <w:p w:rsidR="00D46449" w:rsidRDefault="00E84124">
            <w:pPr>
              <w:jc w:val="center"/>
              <w:rPr>
                <w:sz w:val="24"/>
              </w:rPr>
            </w:pPr>
            <w:r>
              <w:rPr>
                <w:sz w:val="24"/>
              </w:rPr>
              <w:t>D</w:t>
            </w:r>
          </w:p>
        </w:tc>
        <w:tc>
          <w:tcPr>
            <w:tcW w:w="2250" w:type="dxa"/>
          </w:tcPr>
          <w:p w:rsidR="00D46449" w:rsidRDefault="00E84124" w:rsidP="00E84124">
            <w:pPr>
              <w:ind w:left="45"/>
              <w:rPr>
                <w:sz w:val="24"/>
              </w:rPr>
            </w:pPr>
            <w:r>
              <w:rPr>
                <w:sz w:val="24"/>
              </w:rPr>
              <w:t>Lack statewide planning activities</w:t>
            </w:r>
          </w:p>
        </w:tc>
        <w:tc>
          <w:tcPr>
            <w:tcW w:w="2430" w:type="dxa"/>
          </w:tcPr>
          <w:p w:rsidR="00D46449" w:rsidRPr="00C5043B" w:rsidRDefault="006C274C" w:rsidP="003C2C05">
            <w:pPr>
              <w:rPr>
                <w:sz w:val="24"/>
                <w:szCs w:val="24"/>
              </w:rPr>
            </w:pPr>
            <w:r>
              <w:rPr>
                <w:sz w:val="24"/>
                <w:szCs w:val="24"/>
              </w:rPr>
              <w:t>UDOT</w:t>
            </w:r>
            <w:r w:rsidR="002566B9">
              <w:rPr>
                <w:sz w:val="24"/>
                <w:szCs w:val="24"/>
              </w:rPr>
              <w:t xml:space="preserve"> must submit</w:t>
            </w:r>
            <w:r w:rsidR="002566B9" w:rsidRPr="00121F8F">
              <w:rPr>
                <w:sz w:val="24"/>
                <w:szCs w:val="24"/>
              </w:rPr>
              <w:t xml:space="preserve"> </w:t>
            </w:r>
            <w:r w:rsidR="002566B9">
              <w:rPr>
                <w:sz w:val="24"/>
                <w:szCs w:val="24"/>
              </w:rPr>
              <w:t xml:space="preserve">to </w:t>
            </w:r>
            <w:r w:rsidR="00DE71F1" w:rsidRPr="00DE71F1">
              <w:rPr>
                <w:sz w:val="24"/>
                <w:szCs w:val="24"/>
              </w:rPr>
              <w:t>the FTA Equal Opportunity Specialist in FTA’s Headquarters Office of Civil Rights</w:t>
            </w:r>
            <w:r w:rsidR="00DE71F1" w:rsidRPr="00121F8F">
              <w:rPr>
                <w:sz w:val="24"/>
                <w:szCs w:val="24"/>
              </w:rPr>
              <w:t xml:space="preserve"> </w:t>
            </w:r>
            <w:r w:rsidR="002566B9" w:rsidRPr="00121F8F">
              <w:rPr>
                <w:sz w:val="24"/>
                <w:szCs w:val="24"/>
              </w:rPr>
              <w:t xml:space="preserve">documentation </w:t>
            </w:r>
            <w:r w:rsidR="002566B9">
              <w:rPr>
                <w:sz w:val="24"/>
                <w:szCs w:val="24"/>
              </w:rPr>
              <w:t>that it has an</w:t>
            </w:r>
            <w:r w:rsidR="002566B9" w:rsidRPr="00121F8F">
              <w:rPr>
                <w:sz w:val="24"/>
                <w:szCs w:val="24"/>
              </w:rPr>
              <w:t xml:space="preserve"> analytical basis </w:t>
            </w:r>
            <w:r w:rsidR="002566B9" w:rsidRPr="00121F8F">
              <w:rPr>
                <w:sz w:val="24"/>
                <w:szCs w:val="24"/>
              </w:rPr>
              <w:lastRenderedPageBreak/>
              <w:t xml:space="preserve">in place for certifying compliance </w:t>
            </w:r>
            <w:r w:rsidR="002566B9">
              <w:rPr>
                <w:sz w:val="24"/>
                <w:szCs w:val="24"/>
              </w:rPr>
              <w:t xml:space="preserve">of its FTA-funded programs </w:t>
            </w:r>
            <w:r w:rsidR="002566B9" w:rsidRPr="00121F8F">
              <w:rPr>
                <w:sz w:val="24"/>
                <w:szCs w:val="24"/>
              </w:rPr>
              <w:t>with Title VI.</w:t>
            </w:r>
          </w:p>
        </w:tc>
        <w:tc>
          <w:tcPr>
            <w:tcW w:w="1260" w:type="dxa"/>
          </w:tcPr>
          <w:p w:rsidR="00D46449" w:rsidRDefault="002566B9">
            <w:pPr>
              <w:jc w:val="center"/>
              <w:rPr>
                <w:sz w:val="24"/>
              </w:rPr>
            </w:pPr>
            <w:r>
              <w:rPr>
                <w:sz w:val="24"/>
              </w:rPr>
              <w:lastRenderedPageBreak/>
              <w:t>90 Days</w:t>
            </w:r>
          </w:p>
        </w:tc>
        <w:tc>
          <w:tcPr>
            <w:tcW w:w="1140" w:type="dxa"/>
          </w:tcPr>
          <w:p w:rsidR="00D46449" w:rsidRDefault="00D46449">
            <w:pPr>
              <w:jc w:val="center"/>
              <w:rPr>
                <w:sz w:val="24"/>
              </w:rPr>
            </w:pPr>
          </w:p>
        </w:tc>
      </w:tr>
      <w:tr w:rsidR="00D46449">
        <w:tc>
          <w:tcPr>
            <w:tcW w:w="2430" w:type="dxa"/>
          </w:tcPr>
          <w:p w:rsidR="00D46449" w:rsidRDefault="00D46449" w:rsidP="00D46449">
            <w:pPr>
              <w:numPr>
                <w:ilvl w:val="0"/>
                <w:numId w:val="10"/>
              </w:numPr>
              <w:tabs>
                <w:tab w:val="clear" w:pos="720"/>
                <w:tab w:val="num" w:pos="420"/>
              </w:tabs>
              <w:ind w:left="420" w:hanging="420"/>
              <w:rPr>
                <w:sz w:val="24"/>
              </w:rPr>
            </w:pPr>
            <w:r>
              <w:rPr>
                <w:sz w:val="24"/>
              </w:rPr>
              <w:lastRenderedPageBreak/>
              <w:t>Program Administration</w:t>
            </w:r>
          </w:p>
        </w:tc>
        <w:tc>
          <w:tcPr>
            <w:tcW w:w="1080" w:type="dxa"/>
          </w:tcPr>
          <w:p w:rsidR="00D46449" w:rsidRDefault="00E84124">
            <w:pPr>
              <w:jc w:val="center"/>
              <w:rPr>
                <w:sz w:val="24"/>
              </w:rPr>
            </w:pPr>
            <w:r>
              <w:rPr>
                <w:sz w:val="24"/>
              </w:rPr>
              <w:t>D</w:t>
            </w:r>
          </w:p>
        </w:tc>
        <w:tc>
          <w:tcPr>
            <w:tcW w:w="2250" w:type="dxa"/>
          </w:tcPr>
          <w:p w:rsidR="00D46449" w:rsidRDefault="00E84124">
            <w:pPr>
              <w:ind w:left="45"/>
              <w:rPr>
                <w:sz w:val="24"/>
              </w:rPr>
            </w:pPr>
            <w:r>
              <w:rPr>
                <w:sz w:val="24"/>
              </w:rPr>
              <w:t>Lack program administration</w:t>
            </w:r>
          </w:p>
        </w:tc>
        <w:tc>
          <w:tcPr>
            <w:tcW w:w="2430" w:type="dxa"/>
          </w:tcPr>
          <w:p w:rsidR="00D46449" w:rsidRPr="00C5043B" w:rsidRDefault="006C274C" w:rsidP="00E01F25">
            <w:pPr>
              <w:rPr>
                <w:sz w:val="24"/>
              </w:rPr>
            </w:pPr>
            <w:r>
              <w:rPr>
                <w:sz w:val="24"/>
                <w:szCs w:val="24"/>
              </w:rPr>
              <w:t>UDOT</w:t>
            </w:r>
            <w:r w:rsidR="00C657B3" w:rsidRPr="00D96504">
              <w:rPr>
                <w:sz w:val="24"/>
                <w:szCs w:val="24"/>
              </w:rPr>
              <w:t xml:space="preserve"> must submit </w:t>
            </w:r>
            <w:r w:rsidR="00C657B3">
              <w:rPr>
                <w:sz w:val="24"/>
                <w:szCs w:val="24"/>
              </w:rPr>
              <w:t xml:space="preserve">to </w:t>
            </w:r>
            <w:r w:rsidR="00DE71F1" w:rsidRPr="00DE71F1">
              <w:rPr>
                <w:sz w:val="24"/>
                <w:szCs w:val="24"/>
              </w:rPr>
              <w:t>the FTA Equal Opportunity Specialist in FTA’s Headquarters Office of Civil Rights</w:t>
            </w:r>
            <w:r w:rsidR="00DE71F1" w:rsidRPr="00D96504">
              <w:rPr>
                <w:sz w:val="24"/>
                <w:szCs w:val="24"/>
              </w:rPr>
              <w:t xml:space="preserve"> </w:t>
            </w:r>
            <w:r w:rsidR="00C657B3" w:rsidRPr="00D96504">
              <w:rPr>
                <w:sz w:val="24"/>
                <w:szCs w:val="24"/>
              </w:rPr>
              <w:t>documentation that it has procedures in place to fulfill</w:t>
            </w:r>
            <w:r w:rsidR="00C657B3">
              <w:rPr>
                <w:sz w:val="24"/>
                <w:szCs w:val="24"/>
              </w:rPr>
              <w:t xml:space="preserve"> </w:t>
            </w:r>
            <w:r w:rsidR="00E01F25">
              <w:rPr>
                <w:sz w:val="24"/>
                <w:szCs w:val="24"/>
              </w:rPr>
              <w:t xml:space="preserve">FTA </w:t>
            </w:r>
            <w:r w:rsidR="00C657B3">
              <w:rPr>
                <w:sz w:val="24"/>
                <w:szCs w:val="24"/>
              </w:rPr>
              <w:t>C</w:t>
            </w:r>
            <w:r w:rsidR="00E01F25">
              <w:rPr>
                <w:sz w:val="24"/>
                <w:szCs w:val="24"/>
              </w:rPr>
              <w:t xml:space="preserve"> 4702.1A</w:t>
            </w:r>
            <w:r w:rsidR="00C657B3">
              <w:rPr>
                <w:sz w:val="24"/>
                <w:szCs w:val="24"/>
              </w:rPr>
              <w:t xml:space="preserve"> requirements for Program Administration.</w:t>
            </w:r>
          </w:p>
        </w:tc>
        <w:tc>
          <w:tcPr>
            <w:tcW w:w="1260" w:type="dxa"/>
          </w:tcPr>
          <w:p w:rsidR="00D46449" w:rsidRDefault="00C657B3">
            <w:pPr>
              <w:pStyle w:val="Heading9"/>
              <w:spacing w:line="240" w:lineRule="auto"/>
              <w:ind w:left="45"/>
            </w:pPr>
            <w:r>
              <w:t>90 Days</w:t>
            </w:r>
          </w:p>
        </w:tc>
        <w:tc>
          <w:tcPr>
            <w:tcW w:w="1140" w:type="dxa"/>
          </w:tcPr>
          <w:p w:rsidR="00D46449" w:rsidRDefault="00D46449">
            <w:pPr>
              <w:jc w:val="center"/>
            </w:pPr>
          </w:p>
        </w:tc>
      </w:tr>
      <w:tr w:rsidR="00D46449">
        <w:tc>
          <w:tcPr>
            <w:tcW w:w="2430" w:type="dxa"/>
          </w:tcPr>
          <w:p w:rsidR="00D46449" w:rsidRDefault="00D46449" w:rsidP="00D46449">
            <w:pPr>
              <w:numPr>
                <w:ilvl w:val="0"/>
                <w:numId w:val="10"/>
              </w:numPr>
              <w:tabs>
                <w:tab w:val="clear" w:pos="720"/>
                <w:tab w:val="num" w:pos="420"/>
              </w:tabs>
              <w:ind w:left="420" w:hanging="420"/>
              <w:rPr>
                <w:sz w:val="24"/>
              </w:rPr>
            </w:pPr>
            <w:r>
              <w:rPr>
                <w:sz w:val="24"/>
              </w:rPr>
              <w:t>Providing Assistance to Subrecipients</w:t>
            </w:r>
          </w:p>
        </w:tc>
        <w:tc>
          <w:tcPr>
            <w:tcW w:w="1080" w:type="dxa"/>
          </w:tcPr>
          <w:p w:rsidR="00D46449" w:rsidRDefault="00666E96">
            <w:pPr>
              <w:jc w:val="center"/>
              <w:rPr>
                <w:sz w:val="24"/>
              </w:rPr>
            </w:pPr>
            <w:r>
              <w:rPr>
                <w:sz w:val="24"/>
              </w:rPr>
              <w:t>D</w:t>
            </w:r>
          </w:p>
        </w:tc>
        <w:tc>
          <w:tcPr>
            <w:tcW w:w="2250" w:type="dxa"/>
          </w:tcPr>
          <w:p w:rsidR="00D46449" w:rsidRDefault="00666E96">
            <w:pPr>
              <w:ind w:left="45"/>
              <w:rPr>
                <w:sz w:val="24"/>
              </w:rPr>
            </w:pPr>
            <w:r>
              <w:rPr>
                <w:sz w:val="24"/>
              </w:rPr>
              <w:t>Assistance not provided in a non-discriminatory manner</w:t>
            </w:r>
          </w:p>
        </w:tc>
        <w:tc>
          <w:tcPr>
            <w:tcW w:w="2430" w:type="dxa"/>
          </w:tcPr>
          <w:p w:rsidR="00D46449" w:rsidRDefault="00666E96" w:rsidP="00E01F25">
            <w:pPr>
              <w:ind w:left="45"/>
              <w:rPr>
                <w:sz w:val="24"/>
              </w:rPr>
            </w:pPr>
            <w:r>
              <w:rPr>
                <w:sz w:val="24"/>
                <w:szCs w:val="24"/>
              </w:rPr>
              <w:t>UDOT</w:t>
            </w:r>
            <w:r w:rsidRPr="00D96504">
              <w:rPr>
                <w:sz w:val="24"/>
                <w:szCs w:val="24"/>
              </w:rPr>
              <w:t xml:space="preserve"> must submit </w:t>
            </w:r>
            <w:r>
              <w:rPr>
                <w:sz w:val="24"/>
                <w:szCs w:val="24"/>
              </w:rPr>
              <w:t xml:space="preserve">to </w:t>
            </w:r>
            <w:r w:rsidRPr="00DE71F1">
              <w:rPr>
                <w:sz w:val="24"/>
                <w:szCs w:val="24"/>
              </w:rPr>
              <w:t>the FTA Equal Opportunity Specialist in FTA’s Headquarters Office of Civil Rights</w:t>
            </w:r>
            <w:r w:rsidRPr="00D96504">
              <w:rPr>
                <w:sz w:val="24"/>
                <w:szCs w:val="24"/>
              </w:rPr>
              <w:t xml:space="preserve"> documentation that it has procedures in place to fulfill</w:t>
            </w:r>
            <w:r>
              <w:rPr>
                <w:sz w:val="24"/>
                <w:szCs w:val="24"/>
              </w:rPr>
              <w:t xml:space="preserve"> </w:t>
            </w:r>
            <w:r w:rsidR="00E01F25">
              <w:rPr>
                <w:sz w:val="24"/>
                <w:szCs w:val="24"/>
              </w:rPr>
              <w:t xml:space="preserve">FTA </w:t>
            </w:r>
            <w:r>
              <w:rPr>
                <w:sz w:val="24"/>
                <w:szCs w:val="24"/>
              </w:rPr>
              <w:t>C</w:t>
            </w:r>
            <w:r w:rsidR="00E01F25">
              <w:rPr>
                <w:sz w:val="24"/>
                <w:szCs w:val="24"/>
              </w:rPr>
              <w:t xml:space="preserve"> 4702.1A</w:t>
            </w:r>
            <w:r>
              <w:rPr>
                <w:sz w:val="24"/>
                <w:szCs w:val="24"/>
              </w:rPr>
              <w:t xml:space="preserve"> requirements for Providing Assistance to Subrecipients.</w:t>
            </w:r>
          </w:p>
        </w:tc>
        <w:tc>
          <w:tcPr>
            <w:tcW w:w="1260" w:type="dxa"/>
          </w:tcPr>
          <w:p w:rsidR="00D46449" w:rsidRDefault="00666E96">
            <w:pPr>
              <w:pStyle w:val="Heading9"/>
              <w:spacing w:line="240" w:lineRule="auto"/>
              <w:ind w:left="45"/>
            </w:pPr>
            <w:r>
              <w:t>90 days</w:t>
            </w:r>
          </w:p>
        </w:tc>
        <w:tc>
          <w:tcPr>
            <w:tcW w:w="1140" w:type="dxa"/>
          </w:tcPr>
          <w:p w:rsidR="00D46449" w:rsidRDefault="00D46449">
            <w:pPr>
              <w:jc w:val="center"/>
              <w:rPr>
                <w:sz w:val="24"/>
              </w:rPr>
            </w:pPr>
          </w:p>
        </w:tc>
      </w:tr>
      <w:tr w:rsidR="00D46449">
        <w:tc>
          <w:tcPr>
            <w:tcW w:w="2430" w:type="dxa"/>
          </w:tcPr>
          <w:p w:rsidR="00D46449" w:rsidRDefault="00D46449" w:rsidP="00D46449">
            <w:pPr>
              <w:numPr>
                <w:ilvl w:val="0"/>
                <w:numId w:val="10"/>
              </w:numPr>
              <w:tabs>
                <w:tab w:val="clear" w:pos="720"/>
                <w:tab w:val="num" w:pos="420"/>
              </w:tabs>
              <w:ind w:left="420" w:hanging="420"/>
              <w:rPr>
                <w:sz w:val="24"/>
              </w:rPr>
            </w:pPr>
            <w:r>
              <w:rPr>
                <w:sz w:val="24"/>
              </w:rPr>
              <w:t>Monitoring Subrecipients</w:t>
            </w:r>
          </w:p>
        </w:tc>
        <w:tc>
          <w:tcPr>
            <w:tcW w:w="1080" w:type="dxa"/>
          </w:tcPr>
          <w:p w:rsidR="00D46449" w:rsidRDefault="00666E96">
            <w:pPr>
              <w:jc w:val="center"/>
              <w:rPr>
                <w:sz w:val="24"/>
              </w:rPr>
            </w:pPr>
            <w:r>
              <w:rPr>
                <w:sz w:val="24"/>
              </w:rPr>
              <w:t>D</w:t>
            </w:r>
          </w:p>
        </w:tc>
        <w:tc>
          <w:tcPr>
            <w:tcW w:w="2250" w:type="dxa"/>
          </w:tcPr>
          <w:p w:rsidR="00D46449" w:rsidRDefault="00666E96">
            <w:pPr>
              <w:pStyle w:val="ReferenceLine"/>
            </w:pPr>
            <w:r>
              <w:t>No procedures for monitoring subrecipients</w:t>
            </w:r>
          </w:p>
        </w:tc>
        <w:tc>
          <w:tcPr>
            <w:tcW w:w="2430" w:type="dxa"/>
          </w:tcPr>
          <w:p w:rsidR="00D46449" w:rsidRPr="002615D5" w:rsidRDefault="00666E96" w:rsidP="00A35003">
            <w:pPr>
              <w:pStyle w:val="ReferenceLine"/>
              <w:numPr>
                <w:ilvl w:val="0"/>
                <w:numId w:val="16"/>
              </w:numPr>
              <w:tabs>
                <w:tab w:val="num" w:pos="0"/>
              </w:tabs>
              <w:ind w:left="0" w:hanging="720"/>
              <w:rPr>
                <w:szCs w:val="24"/>
              </w:rPr>
            </w:pPr>
            <w:r>
              <w:rPr>
                <w:szCs w:val="24"/>
              </w:rPr>
              <w:t>UDOT</w:t>
            </w:r>
            <w:r w:rsidRPr="00D96504">
              <w:rPr>
                <w:szCs w:val="24"/>
              </w:rPr>
              <w:t xml:space="preserve"> must submit </w:t>
            </w:r>
            <w:r>
              <w:rPr>
                <w:szCs w:val="24"/>
              </w:rPr>
              <w:t xml:space="preserve">to </w:t>
            </w:r>
            <w:r w:rsidRPr="00DE71F1">
              <w:rPr>
                <w:szCs w:val="24"/>
              </w:rPr>
              <w:t>the FTA Equal Opportunity Specialist in FTA’s Headquarters Office of Civil Rights</w:t>
            </w:r>
            <w:r w:rsidRPr="00D96504">
              <w:rPr>
                <w:szCs w:val="24"/>
              </w:rPr>
              <w:t xml:space="preserve"> documentation that it has procedures in place to fulfill</w:t>
            </w:r>
            <w:r>
              <w:rPr>
                <w:szCs w:val="24"/>
              </w:rPr>
              <w:t xml:space="preserve"> </w:t>
            </w:r>
            <w:r w:rsidR="00A35003">
              <w:rPr>
                <w:szCs w:val="24"/>
              </w:rPr>
              <w:t xml:space="preserve">FTA </w:t>
            </w:r>
            <w:r>
              <w:rPr>
                <w:szCs w:val="24"/>
              </w:rPr>
              <w:t>C</w:t>
            </w:r>
            <w:r w:rsidR="00A35003">
              <w:rPr>
                <w:szCs w:val="24"/>
              </w:rPr>
              <w:t xml:space="preserve"> 4702.1A</w:t>
            </w:r>
            <w:r>
              <w:rPr>
                <w:szCs w:val="24"/>
              </w:rPr>
              <w:t xml:space="preserve"> requirements for Monitoring Subrecipients.</w:t>
            </w:r>
          </w:p>
        </w:tc>
        <w:tc>
          <w:tcPr>
            <w:tcW w:w="1260" w:type="dxa"/>
          </w:tcPr>
          <w:p w:rsidR="00D46449" w:rsidRDefault="00666E96">
            <w:pPr>
              <w:pStyle w:val="Heading9"/>
              <w:spacing w:line="240" w:lineRule="auto"/>
            </w:pPr>
            <w:r>
              <w:t>90 days</w:t>
            </w:r>
          </w:p>
        </w:tc>
        <w:tc>
          <w:tcPr>
            <w:tcW w:w="1140" w:type="dxa"/>
          </w:tcPr>
          <w:p w:rsidR="00D46449" w:rsidRDefault="00D46449">
            <w:pPr>
              <w:jc w:val="center"/>
            </w:pPr>
          </w:p>
        </w:tc>
      </w:tr>
    </w:tbl>
    <w:p w:rsidR="00F80A8D" w:rsidRDefault="00F80A8D">
      <w:pPr>
        <w:ind w:left="-180"/>
      </w:pPr>
      <w:r>
        <w:t>Findings at the time of the site visit:  ND = No Deficiencies</w:t>
      </w:r>
      <w:proofErr w:type="gramStart"/>
      <w:r>
        <w:t>;  D</w:t>
      </w:r>
      <w:proofErr w:type="gramEnd"/>
      <w:r>
        <w:t xml:space="preserve"> = Deficiency;  NA = Not Applicable; </w:t>
      </w:r>
    </w:p>
    <w:p w:rsidR="00F80A8D" w:rsidRDefault="00F80A8D">
      <w:pPr>
        <w:ind w:left="-180"/>
      </w:pPr>
      <w:r>
        <w:t>NR = Not Reviewed; AC = Advisory Comment</w:t>
      </w:r>
    </w:p>
    <w:p w:rsidR="00F80A8D" w:rsidRDefault="00F80A8D" w:rsidP="009A52A0">
      <w:pPr>
        <w:pStyle w:val="BHLevel1"/>
        <w:numPr>
          <w:ilvl w:val="0"/>
          <w:numId w:val="0"/>
        </w:numPr>
        <w:spacing w:line="360" w:lineRule="auto"/>
        <w:ind w:left="-720" w:firstLine="720"/>
        <w:rPr>
          <w:sz w:val="28"/>
          <w:szCs w:val="28"/>
        </w:rPr>
      </w:pPr>
      <w:bookmarkStart w:id="28" w:name="_Toc106790256"/>
      <w:bookmarkStart w:id="29" w:name="_Toc109968490"/>
      <w:r>
        <w:rPr>
          <w:b w:val="0"/>
          <w:bCs/>
          <w:sz w:val="28"/>
        </w:rPr>
        <w:br w:type="page"/>
      </w:r>
      <w:bookmarkStart w:id="30" w:name="_Toc253152166"/>
      <w:r w:rsidRPr="009A52A0">
        <w:rPr>
          <w:sz w:val="28"/>
          <w:szCs w:val="28"/>
          <w:u w:val="none"/>
        </w:rPr>
        <w:lastRenderedPageBreak/>
        <w:t>VIII.</w:t>
      </w:r>
      <w:r w:rsidRPr="009A52A0">
        <w:rPr>
          <w:sz w:val="28"/>
          <w:szCs w:val="28"/>
          <w:u w:val="none"/>
        </w:rPr>
        <w:tab/>
      </w:r>
      <w:r w:rsidRPr="009A52A0">
        <w:rPr>
          <w:sz w:val="28"/>
          <w:szCs w:val="28"/>
        </w:rPr>
        <w:t>ATTENDEES</w:t>
      </w:r>
      <w:bookmarkEnd w:id="28"/>
      <w:bookmarkEnd w:id="30"/>
    </w:p>
    <w:tbl>
      <w:tblPr>
        <w:tblW w:w="10923" w:type="dxa"/>
        <w:jc w:val="center"/>
        <w:tblInd w:w="-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2700"/>
        <w:gridCol w:w="3601"/>
        <w:gridCol w:w="1530"/>
        <w:gridCol w:w="3092"/>
      </w:tblGrid>
      <w:tr w:rsidR="00E22E02" w:rsidRPr="00D526D1" w:rsidTr="00D625B8">
        <w:trPr>
          <w:cantSplit/>
          <w:trHeight w:hRule="exact" w:val="720"/>
          <w:tblHeader/>
          <w:jc w:val="center"/>
        </w:trPr>
        <w:tc>
          <w:tcPr>
            <w:tcW w:w="2700" w:type="dxa"/>
            <w:shd w:val="pct10" w:color="auto" w:fill="auto"/>
            <w:vAlign w:val="center"/>
          </w:tcPr>
          <w:p w:rsidR="00E22E02" w:rsidRPr="00D526D1" w:rsidRDefault="00E22E02" w:rsidP="00D625B8">
            <w:pPr>
              <w:jc w:val="center"/>
              <w:rPr>
                <w:b/>
                <w:sz w:val="22"/>
              </w:rPr>
            </w:pPr>
            <w:r w:rsidRPr="00D526D1">
              <w:rPr>
                <w:b/>
                <w:sz w:val="22"/>
              </w:rPr>
              <w:t>NAME</w:t>
            </w:r>
          </w:p>
        </w:tc>
        <w:tc>
          <w:tcPr>
            <w:tcW w:w="3601" w:type="dxa"/>
            <w:shd w:val="pct10" w:color="auto" w:fill="auto"/>
            <w:vAlign w:val="center"/>
          </w:tcPr>
          <w:p w:rsidR="00E22E02" w:rsidRPr="00D526D1" w:rsidRDefault="00E22E02" w:rsidP="00D625B8">
            <w:pPr>
              <w:jc w:val="center"/>
              <w:rPr>
                <w:b/>
                <w:sz w:val="22"/>
              </w:rPr>
            </w:pPr>
            <w:r>
              <w:rPr>
                <w:b/>
                <w:sz w:val="22"/>
              </w:rPr>
              <w:t>ORGANIZATION/</w:t>
            </w:r>
            <w:r w:rsidRPr="00D526D1">
              <w:rPr>
                <w:b/>
                <w:sz w:val="22"/>
              </w:rPr>
              <w:t>TITLE</w:t>
            </w:r>
          </w:p>
        </w:tc>
        <w:tc>
          <w:tcPr>
            <w:tcW w:w="1530" w:type="dxa"/>
            <w:shd w:val="pct10" w:color="auto" w:fill="auto"/>
            <w:vAlign w:val="center"/>
          </w:tcPr>
          <w:p w:rsidR="00E22E02" w:rsidRPr="00D526D1" w:rsidRDefault="00E22E02" w:rsidP="00D625B8">
            <w:pPr>
              <w:jc w:val="center"/>
              <w:rPr>
                <w:b/>
                <w:sz w:val="22"/>
              </w:rPr>
            </w:pPr>
            <w:r w:rsidRPr="00D526D1">
              <w:rPr>
                <w:b/>
                <w:sz w:val="22"/>
              </w:rPr>
              <w:t>PHONE NUMBER</w:t>
            </w:r>
          </w:p>
        </w:tc>
        <w:tc>
          <w:tcPr>
            <w:tcW w:w="3092" w:type="dxa"/>
            <w:shd w:val="pct10" w:color="auto" w:fill="auto"/>
            <w:vAlign w:val="center"/>
          </w:tcPr>
          <w:p w:rsidR="00E22E02" w:rsidRPr="00D526D1" w:rsidRDefault="00E22E02" w:rsidP="00D625B8">
            <w:pPr>
              <w:jc w:val="center"/>
              <w:rPr>
                <w:b/>
                <w:sz w:val="22"/>
              </w:rPr>
            </w:pPr>
            <w:r w:rsidRPr="00D526D1">
              <w:rPr>
                <w:b/>
                <w:sz w:val="22"/>
              </w:rPr>
              <w:t>E-MAIL ADDRESS</w:t>
            </w:r>
          </w:p>
        </w:tc>
      </w:tr>
      <w:tr w:rsidR="00E22E02" w:rsidTr="00D625B8">
        <w:trPr>
          <w:cantSplit/>
          <w:jc w:val="center"/>
        </w:trPr>
        <w:tc>
          <w:tcPr>
            <w:tcW w:w="10923" w:type="dxa"/>
            <w:gridSpan w:val="4"/>
            <w:tcBorders>
              <w:top w:val="nil"/>
            </w:tcBorders>
          </w:tcPr>
          <w:p w:rsidR="00E22E02" w:rsidRDefault="00E22E02" w:rsidP="00D625B8">
            <w:pPr>
              <w:rPr>
                <w:b/>
                <w:sz w:val="24"/>
              </w:rPr>
            </w:pPr>
            <w:r>
              <w:rPr>
                <w:b/>
                <w:sz w:val="24"/>
              </w:rPr>
              <w:t xml:space="preserve">GRANTEE – </w:t>
            </w:r>
            <w:r w:rsidR="006C274C">
              <w:rPr>
                <w:b/>
                <w:sz w:val="24"/>
              </w:rPr>
              <w:t>Utah</w:t>
            </w:r>
            <w:r>
              <w:rPr>
                <w:b/>
                <w:sz w:val="24"/>
              </w:rPr>
              <w:t xml:space="preserve"> Department of Transportation (</w:t>
            </w:r>
            <w:r w:rsidR="006C274C">
              <w:rPr>
                <w:b/>
                <w:sz w:val="24"/>
              </w:rPr>
              <w:t>UDOT</w:t>
            </w:r>
            <w:r>
              <w:rPr>
                <w:b/>
                <w:sz w:val="24"/>
              </w:rPr>
              <w:t>)</w:t>
            </w:r>
          </w:p>
        </w:tc>
      </w:tr>
      <w:tr w:rsidR="00CA1585" w:rsidRPr="00E00DB7" w:rsidTr="00D625B8">
        <w:tblPrEx>
          <w:tblCellMar>
            <w:left w:w="108" w:type="dxa"/>
            <w:right w:w="108" w:type="dxa"/>
          </w:tblCellMar>
        </w:tblPrEx>
        <w:trPr>
          <w:cantSplit/>
          <w:trHeight w:val="197"/>
          <w:jc w:val="center"/>
        </w:trPr>
        <w:tc>
          <w:tcPr>
            <w:tcW w:w="2700" w:type="dxa"/>
          </w:tcPr>
          <w:p w:rsidR="00CA1585" w:rsidRDefault="00CA1585" w:rsidP="00145C5E">
            <w:pPr>
              <w:suppressAutoHyphens/>
              <w:spacing w:before="20" w:after="20"/>
              <w:rPr>
                <w:rFonts w:ascii="Arial Narrow" w:hAnsi="Arial Narrow"/>
              </w:rPr>
            </w:pPr>
            <w:r>
              <w:rPr>
                <w:rFonts w:ascii="Arial Narrow" w:hAnsi="Arial Narrow"/>
              </w:rPr>
              <w:t>William Lawrence</w:t>
            </w:r>
          </w:p>
        </w:tc>
        <w:tc>
          <w:tcPr>
            <w:tcW w:w="3601" w:type="dxa"/>
          </w:tcPr>
          <w:p w:rsidR="00CA1585" w:rsidRDefault="00CA1585" w:rsidP="00145C5E">
            <w:pPr>
              <w:suppressAutoHyphens/>
              <w:spacing w:before="20" w:after="20"/>
              <w:rPr>
                <w:rFonts w:ascii="Arial Narrow" w:hAnsi="Arial Narrow"/>
              </w:rPr>
            </w:pPr>
            <w:r>
              <w:rPr>
                <w:rFonts w:ascii="Arial Narrow" w:hAnsi="Arial Narrow"/>
              </w:rPr>
              <w:t>Direct of Program Finance</w:t>
            </w:r>
          </w:p>
        </w:tc>
        <w:tc>
          <w:tcPr>
            <w:tcW w:w="1530" w:type="dxa"/>
          </w:tcPr>
          <w:p w:rsidR="00CA1585" w:rsidRDefault="00CA1585" w:rsidP="00145C5E">
            <w:pPr>
              <w:suppressAutoHyphens/>
              <w:spacing w:before="20" w:after="20"/>
              <w:rPr>
                <w:rFonts w:ascii="Arial Narrow" w:hAnsi="Arial Narrow"/>
              </w:rPr>
            </w:pPr>
            <w:r>
              <w:rPr>
                <w:rFonts w:ascii="Arial Narrow" w:hAnsi="Arial Narrow"/>
              </w:rPr>
              <w:t>(801) 956-4129</w:t>
            </w:r>
          </w:p>
        </w:tc>
        <w:tc>
          <w:tcPr>
            <w:tcW w:w="3092" w:type="dxa"/>
          </w:tcPr>
          <w:p w:rsidR="00CA1585" w:rsidRDefault="00CA1585" w:rsidP="00145C5E">
            <w:pPr>
              <w:suppressAutoHyphens/>
              <w:spacing w:before="20" w:after="20"/>
            </w:pPr>
            <w:r>
              <w:t>wlawrence@utah.gov</w:t>
            </w:r>
          </w:p>
        </w:tc>
      </w:tr>
      <w:tr w:rsidR="00145C5E" w:rsidRPr="00E00DB7" w:rsidTr="00D625B8">
        <w:tblPrEx>
          <w:tblCellMar>
            <w:left w:w="108" w:type="dxa"/>
            <w:right w:w="108" w:type="dxa"/>
          </w:tblCellMar>
        </w:tblPrEx>
        <w:trPr>
          <w:cantSplit/>
          <w:trHeight w:val="197"/>
          <w:jc w:val="center"/>
        </w:trPr>
        <w:tc>
          <w:tcPr>
            <w:tcW w:w="2700" w:type="dxa"/>
          </w:tcPr>
          <w:p w:rsidR="00145C5E" w:rsidRDefault="00145C5E" w:rsidP="00145C5E">
            <w:pPr>
              <w:suppressAutoHyphens/>
              <w:spacing w:before="20" w:after="20"/>
              <w:rPr>
                <w:rFonts w:ascii="Arial Narrow" w:hAnsi="Arial Narrow"/>
              </w:rPr>
            </w:pPr>
            <w:r>
              <w:rPr>
                <w:rFonts w:ascii="Arial Narrow" w:hAnsi="Arial Narrow"/>
              </w:rPr>
              <w:t>Leone Gibson</w:t>
            </w:r>
          </w:p>
        </w:tc>
        <w:tc>
          <w:tcPr>
            <w:tcW w:w="3601" w:type="dxa"/>
          </w:tcPr>
          <w:p w:rsidR="00145C5E" w:rsidRDefault="00145C5E" w:rsidP="00145C5E">
            <w:pPr>
              <w:suppressAutoHyphens/>
              <w:spacing w:before="20" w:after="20"/>
              <w:rPr>
                <w:rFonts w:ascii="Arial Narrow" w:hAnsi="Arial Narrow"/>
              </w:rPr>
            </w:pPr>
            <w:r>
              <w:rPr>
                <w:rFonts w:ascii="Arial Narrow" w:hAnsi="Arial Narrow"/>
              </w:rPr>
              <w:t>Director, Transit Plans and Programs, Systems Planning and Programming</w:t>
            </w:r>
          </w:p>
        </w:tc>
        <w:tc>
          <w:tcPr>
            <w:tcW w:w="1530" w:type="dxa"/>
          </w:tcPr>
          <w:p w:rsidR="00145C5E" w:rsidRDefault="00145C5E" w:rsidP="00145C5E">
            <w:pPr>
              <w:suppressAutoHyphens/>
              <w:spacing w:before="20" w:after="20"/>
              <w:rPr>
                <w:rFonts w:ascii="Arial Narrow" w:hAnsi="Arial Narrow"/>
              </w:rPr>
            </w:pPr>
            <w:r>
              <w:rPr>
                <w:rFonts w:ascii="Arial Narrow" w:hAnsi="Arial Narrow"/>
              </w:rPr>
              <w:t>(801) 964-4508</w:t>
            </w:r>
          </w:p>
        </w:tc>
        <w:tc>
          <w:tcPr>
            <w:tcW w:w="3092" w:type="dxa"/>
          </w:tcPr>
          <w:p w:rsidR="00145C5E" w:rsidRDefault="00E46099" w:rsidP="00145C5E">
            <w:pPr>
              <w:suppressAutoHyphens/>
              <w:spacing w:before="20" w:after="20"/>
              <w:rPr>
                <w:rFonts w:ascii="Arial Narrow" w:hAnsi="Arial Narrow"/>
              </w:rPr>
            </w:pPr>
            <w:hyperlink r:id="rId14" w:history="1">
              <w:r w:rsidR="00145C5E" w:rsidRPr="00F619FE">
                <w:rPr>
                  <w:rStyle w:val="Hyperlink"/>
                  <w:rFonts w:ascii="Arial Narrow" w:hAnsi="Arial Narrow"/>
                </w:rPr>
                <w:t>lgibson@utah.gov</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3E71D9" w:rsidRDefault="00145C5E" w:rsidP="00145C5E">
            <w:pPr>
              <w:suppressAutoHyphens/>
              <w:spacing w:before="20" w:after="20"/>
              <w:rPr>
                <w:rFonts w:ascii="Arial Narrow" w:hAnsi="Arial Narrow"/>
              </w:rPr>
            </w:pPr>
            <w:proofErr w:type="spellStart"/>
            <w:r>
              <w:rPr>
                <w:rFonts w:ascii="Arial Narrow" w:hAnsi="Arial Narrow"/>
              </w:rPr>
              <w:t>Mumtaz</w:t>
            </w:r>
            <w:proofErr w:type="spellEnd"/>
            <w:r>
              <w:rPr>
                <w:rFonts w:ascii="Arial Narrow" w:hAnsi="Arial Narrow"/>
              </w:rPr>
              <w:t xml:space="preserve"> </w:t>
            </w:r>
            <w:proofErr w:type="spellStart"/>
            <w:r>
              <w:rPr>
                <w:rFonts w:ascii="Arial Narrow" w:hAnsi="Arial Narrow"/>
              </w:rPr>
              <w:t>Mullalkhel</w:t>
            </w:r>
            <w:proofErr w:type="spellEnd"/>
          </w:p>
        </w:tc>
        <w:tc>
          <w:tcPr>
            <w:tcW w:w="3601" w:type="dxa"/>
          </w:tcPr>
          <w:p w:rsidR="00145C5E" w:rsidRPr="003E71D9" w:rsidRDefault="00145C5E" w:rsidP="00145C5E">
            <w:pPr>
              <w:suppressAutoHyphens/>
              <w:spacing w:before="20" w:after="20"/>
              <w:rPr>
                <w:rFonts w:ascii="Arial Narrow" w:hAnsi="Arial Narrow"/>
              </w:rPr>
            </w:pPr>
            <w:r>
              <w:rPr>
                <w:rFonts w:ascii="Arial Narrow" w:hAnsi="Arial Narrow"/>
              </w:rPr>
              <w:t>Compliance Officer, Systems Planning and Programming</w:t>
            </w:r>
          </w:p>
        </w:tc>
        <w:tc>
          <w:tcPr>
            <w:tcW w:w="1530" w:type="dxa"/>
          </w:tcPr>
          <w:p w:rsidR="00145C5E" w:rsidRDefault="00145C5E" w:rsidP="00145C5E">
            <w:pPr>
              <w:pStyle w:val="NumberList"/>
              <w:suppressAutoHyphens/>
              <w:spacing w:before="20" w:after="20"/>
              <w:rPr>
                <w:rFonts w:ascii="Arial Narrow" w:hAnsi="Arial Narrow"/>
                <w:noProof w:val="0"/>
                <w:sz w:val="20"/>
              </w:rPr>
            </w:pPr>
            <w:r>
              <w:rPr>
                <w:rFonts w:ascii="Arial Narrow" w:hAnsi="Arial Narrow"/>
                <w:noProof w:val="0"/>
                <w:sz w:val="20"/>
              </w:rPr>
              <w:t>(801) 870-1595</w:t>
            </w:r>
          </w:p>
        </w:tc>
        <w:tc>
          <w:tcPr>
            <w:tcW w:w="3092" w:type="dxa"/>
          </w:tcPr>
          <w:p w:rsidR="00145C5E" w:rsidRPr="003E71D9" w:rsidRDefault="00E46099" w:rsidP="00145C5E">
            <w:pPr>
              <w:suppressAutoHyphens/>
              <w:spacing w:before="20" w:after="20"/>
              <w:rPr>
                <w:rFonts w:ascii="Arial Narrow" w:hAnsi="Arial Narrow"/>
              </w:rPr>
            </w:pPr>
            <w:hyperlink r:id="rId15" w:history="1">
              <w:r w:rsidR="00145C5E" w:rsidRPr="00F619FE">
                <w:rPr>
                  <w:rStyle w:val="Hyperlink"/>
                  <w:rFonts w:ascii="Arial Narrow" w:hAnsi="Arial Narrow"/>
                </w:rPr>
                <w:t>mmullalkhel@utah.gov</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3E71D9" w:rsidRDefault="00145C5E" w:rsidP="00145C5E">
            <w:pPr>
              <w:suppressAutoHyphens/>
              <w:spacing w:before="20" w:after="20"/>
              <w:rPr>
                <w:rFonts w:ascii="Arial Narrow" w:hAnsi="Arial Narrow"/>
              </w:rPr>
            </w:pPr>
            <w:r>
              <w:rPr>
                <w:rFonts w:ascii="Arial Narrow" w:hAnsi="Arial Narrow"/>
              </w:rPr>
              <w:t>Beverly Crawford</w:t>
            </w:r>
          </w:p>
        </w:tc>
        <w:tc>
          <w:tcPr>
            <w:tcW w:w="3601" w:type="dxa"/>
          </w:tcPr>
          <w:p w:rsidR="00145C5E" w:rsidRPr="003E71D9" w:rsidRDefault="00145C5E" w:rsidP="00145C5E">
            <w:pPr>
              <w:suppressAutoHyphens/>
              <w:spacing w:before="20" w:after="20"/>
              <w:rPr>
                <w:rFonts w:ascii="Arial Narrow" w:hAnsi="Arial Narrow"/>
              </w:rPr>
            </w:pPr>
            <w:r>
              <w:rPr>
                <w:rFonts w:ascii="Arial Narrow" w:hAnsi="Arial Narrow"/>
              </w:rPr>
              <w:t>Specialized Transit Program Manager, Systems Planning and Programming</w:t>
            </w:r>
          </w:p>
        </w:tc>
        <w:tc>
          <w:tcPr>
            <w:tcW w:w="1530" w:type="dxa"/>
          </w:tcPr>
          <w:p w:rsidR="00145C5E" w:rsidRPr="003E71D9" w:rsidRDefault="00145C5E" w:rsidP="00145C5E">
            <w:pPr>
              <w:pStyle w:val="NumberList"/>
              <w:suppressAutoHyphens/>
              <w:spacing w:before="20" w:after="20"/>
              <w:rPr>
                <w:rFonts w:ascii="Arial Narrow" w:hAnsi="Arial Narrow"/>
                <w:noProof w:val="0"/>
                <w:sz w:val="20"/>
              </w:rPr>
            </w:pPr>
            <w:r>
              <w:rPr>
                <w:rFonts w:ascii="Arial Narrow" w:hAnsi="Arial Narrow"/>
                <w:noProof w:val="0"/>
                <w:sz w:val="20"/>
              </w:rPr>
              <w:t>(801) 633-2703</w:t>
            </w:r>
          </w:p>
        </w:tc>
        <w:tc>
          <w:tcPr>
            <w:tcW w:w="3092" w:type="dxa"/>
          </w:tcPr>
          <w:p w:rsidR="00145C5E" w:rsidRPr="003E71D9" w:rsidRDefault="00E46099" w:rsidP="00145C5E">
            <w:pPr>
              <w:suppressAutoHyphens/>
              <w:spacing w:before="20" w:after="20"/>
              <w:rPr>
                <w:rFonts w:ascii="Arial Narrow" w:hAnsi="Arial Narrow"/>
              </w:rPr>
            </w:pPr>
            <w:hyperlink r:id="rId16" w:history="1">
              <w:r w:rsidR="00145C5E" w:rsidRPr="00F619FE">
                <w:rPr>
                  <w:rStyle w:val="Hyperlink"/>
                  <w:rFonts w:ascii="Arial Narrow" w:hAnsi="Arial Narrow"/>
                </w:rPr>
                <w:t>bcrawford@udot.gov</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3E71D9" w:rsidRDefault="00145C5E" w:rsidP="00145C5E">
            <w:pPr>
              <w:suppressAutoHyphens/>
              <w:spacing w:before="20" w:after="20"/>
              <w:rPr>
                <w:rFonts w:ascii="Arial Narrow" w:hAnsi="Arial Narrow"/>
              </w:rPr>
            </w:pPr>
            <w:r>
              <w:rPr>
                <w:rFonts w:ascii="Arial Narrow" w:hAnsi="Arial Narrow"/>
              </w:rPr>
              <w:t>Kelly Garner</w:t>
            </w:r>
          </w:p>
        </w:tc>
        <w:tc>
          <w:tcPr>
            <w:tcW w:w="3601" w:type="dxa"/>
          </w:tcPr>
          <w:p w:rsidR="00145C5E" w:rsidRDefault="00145C5E" w:rsidP="00145C5E">
            <w:pPr>
              <w:suppressAutoHyphens/>
              <w:spacing w:before="20" w:after="20"/>
              <w:rPr>
                <w:rFonts w:ascii="Arial Narrow" w:hAnsi="Arial Narrow"/>
              </w:rPr>
            </w:pPr>
            <w:r>
              <w:rPr>
                <w:rFonts w:ascii="Arial Narrow" w:hAnsi="Arial Narrow"/>
              </w:rPr>
              <w:t>Accountant, Comptroller</w:t>
            </w:r>
          </w:p>
        </w:tc>
        <w:tc>
          <w:tcPr>
            <w:tcW w:w="1530" w:type="dxa"/>
          </w:tcPr>
          <w:p w:rsidR="00145C5E" w:rsidRDefault="00145C5E" w:rsidP="00145C5E">
            <w:pPr>
              <w:pStyle w:val="NumberList"/>
              <w:suppressAutoHyphens/>
              <w:spacing w:before="20" w:after="20"/>
              <w:rPr>
                <w:rFonts w:ascii="Arial Narrow" w:hAnsi="Arial Narrow"/>
                <w:noProof w:val="0"/>
                <w:sz w:val="20"/>
              </w:rPr>
            </w:pPr>
            <w:r>
              <w:rPr>
                <w:rFonts w:ascii="Arial Narrow" w:hAnsi="Arial Narrow"/>
                <w:noProof w:val="0"/>
                <w:sz w:val="20"/>
              </w:rPr>
              <w:t>(801) 965-4006</w:t>
            </w:r>
          </w:p>
        </w:tc>
        <w:tc>
          <w:tcPr>
            <w:tcW w:w="3092" w:type="dxa"/>
          </w:tcPr>
          <w:p w:rsidR="00145C5E" w:rsidRPr="003E71D9" w:rsidRDefault="00E46099" w:rsidP="00145C5E">
            <w:pPr>
              <w:suppressAutoHyphens/>
              <w:spacing w:before="20" w:after="20"/>
              <w:rPr>
                <w:rFonts w:ascii="Arial Narrow" w:hAnsi="Arial Narrow"/>
              </w:rPr>
            </w:pPr>
            <w:hyperlink r:id="rId17" w:history="1">
              <w:r w:rsidR="00145C5E" w:rsidRPr="00F619FE">
                <w:rPr>
                  <w:rStyle w:val="Hyperlink"/>
                  <w:rFonts w:ascii="Arial Narrow" w:hAnsi="Arial Narrow"/>
                </w:rPr>
                <w:t>kgarner@utah.gov</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3E71D9" w:rsidRDefault="00145C5E" w:rsidP="00145C5E">
            <w:pPr>
              <w:suppressAutoHyphens/>
              <w:spacing w:before="20" w:after="20"/>
              <w:rPr>
                <w:rFonts w:ascii="Arial Narrow" w:hAnsi="Arial Narrow"/>
              </w:rPr>
            </w:pPr>
            <w:r>
              <w:rPr>
                <w:rFonts w:ascii="Arial Narrow" w:hAnsi="Arial Narrow"/>
              </w:rPr>
              <w:t>Jason Green</w:t>
            </w:r>
          </w:p>
        </w:tc>
        <w:tc>
          <w:tcPr>
            <w:tcW w:w="3601" w:type="dxa"/>
          </w:tcPr>
          <w:p w:rsidR="00145C5E" w:rsidRPr="003E71D9" w:rsidRDefault="00145C5E" w:rsidP="00145C5E">
            <w:pPr>
              <w:suppressAutoHyphens/>
              <w:spacing w:before="20" w:after="20"/>
              <w:rPr>
                <w:rFonts w:ascii="Arial Narrow" w:hAnsi="Arial Narrow"/>
              </w:rPr>
            </w:pPr>
            <w:r>
              <w:rPr>
                <w:rFonts w:ascii="Arial Narrow" w:hAnsi="Arial Narrow"/>
              </w:rPr>
              <w:t>Consultant, Systems Planning and Programming</w:t>
            </w:r>
          </w:p>
        </w:tc>
        <w:tc>
          <w:tcPr>
            <w:tcW w:w="1530" w:type="dxa"/>
          </w:tcPr>
          <w:p w:rsidR="00145C5E" w:rsidRPr="003E71D9" w:rsidRDefault="00145C5E" w:rsidP="00145C5E">
            <w:pPr>
              <w:pStyle w:val="NumberList"/>
              <w:suppressAutoHyphens/>
              <w:spacing w:before="20" w:after="20"/>
              <w:rPr>
                <w:rFonts w:ascii="Arial Narrow" w:hAnsi="Arial Narrow"/>
                <w:noProof w:val="0"/>
                <w:sz w:val="20"/>
              </w:rPr>
            </w:pPr>
            <w:r>
              <w:rPr>
                <w:rFonts w:ascii="Arial Narrow" w:hAnsi="Arial Narrow"/>
                <w:noProof w:val="0"/>
                <w:sz w:val="20"/>
              </w:rPr>
              <w:t>(801) 415-5844</w:t>
            </w:r>
          </w:p>
        </w:tc>
        <w:tc>
          <w:tcPr>
            <w:tcW w:w="3092" w:type="dxa"/>
          </w:tcPr>
          <w:p w:rsidR="00145C5E" w:rsidRPr="00AB7DC9" w:rsidRDefault="00E46099" w:rsidP="00145C5E">
            <w:pPr>
              <w:suppressAutoHyphens/>
              <w:spacing w:before="20" w:after="20"/>
              <w:rPr>
                <w:rFonts w:ascii="Arial Narrow" w:hAnsi="Arial Narrow"/>
              </w:rPr>
            </w:pPr>
            <w:hyperlink r:id="rId18" w:history="1">
              <w:r w:rsidR="00145C5E" w:rsidRPr="00F619FE">
                <w:rPr>
                  <w:rStyle w:val="Hyperlink"/>
                  <w:rFonts w:ascii="Arial Narrow" w:hAnsi="Arial Narrow"/>
                </w:rPr>
                <w:t>jasongreen@hwlochner.com</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Default="00145C5E" w:rsidP="00145C5E">
            <w:pPr>
              <w:suppressAutoHyphens/>
              <w:spacing w:before="20" w:after="20"/>
              <w:rPr>
                <w:rFonts w:ascii="Arial Narrow" w:hAnsi="Arial Narrow"/>
              </w:rPr>
            </w:pPr>
            <w:r>
              <w:rPr>
                <w:rFonts w:ascii="Arial Narrow" w:hAnsi="Arial Narrow"/>
              </w:rPr>
              <w:t>Tracy Young</w:t>
            </w:r>
          </w:p>
        </w:tc>
        <w:tc>
          <w:tcPr>
            <w:tcW w:w="3601" w:type="dxa"/>
          </w:tcPr>
          <w:p w:rsidR="00145C5E" w:rsidRDefault="00145C5E" w:rsidP="00145C5E">
            <w:pPr>
              <w:suppressAutoHyphens/>
              <w:spacing w:before="20" w:after="20"/>
              <w:rPr>
                <w:rFonts w:ascii="Arial Narrow" w:hAnsi="Arial Narrow"/>
              </w:rPr>
            </w:pPr>
            <w:r>
              <w:rPr>
                <w:rFonts w:ascii="Arial Narrow" w:hAnsi="Arial Narrow"/>
              </w:rPr>
              <w:t>Rural Public Transit Program Manager, Systems Planning and Programming</w:t>
            </w:r>
          </w:p>
        </w:tc>
        <w:tc>
          <w:tcPr>
            <w:tcW w:w="1530" w:type="dxa"/>
          </w:tcPr>
          <w:p w:rsidR="00145C5E" w:rsidRDefault="00145C5E" w:rsidP="00145C5E">
            <w:pPr>
              <w:suppressAutoHyphens/>
              <w:spacing w:before="20" w:after="20"/>
              <w:rPr>
                <w:rFonts w:ascii="Arial Narrow" w:hAnsi="Arial Narrow"/>
              </w:rPr>
            </w:pPr>
            <w:r>
              <w:rPr>
                <w:rFonts w:ascii="Arial Narrow" w:hAnsi="Arial Narrow"/>
              </w:rPr>
              <w:t>(801) 520-5492</w:t>
            </w:r>
          </w:p>
        </w:tc>
        <w:tc>
          <w:tcPr>
            <w:tcW w:w="3092" w:type="dxa"/>
          </w:tcPr>
          <w:p w:rsidR="00145C5E" w:rsidRDefault="00E46099" w:rsidP="00145C5E">
            <w:pPr>
              <w:suppressAutoHyphens/>
              <w:spacing w:before="20" w:after="20"/>
              <w:rPr>
                <w:rFonts w:ascii="Arial Narrow" w:hAnsi="Arial Narrow"/>
              </w:rPr>
            </w:pPr>
            <w:hyperlink r:id="rId19" w:history="1">
              <w:r w:rsidR="00145C5E" w:rsidRPr="00C84F14">
                <w:rPr>
                  <w:rStyle w:val="Hyperlink"/>
                  <w:rFonts w:ascii="Arial Narrow" w:hAnsi="Arial Narrow"/>
                </w:rPr>
                <w:t>tracyyoung@utah.gov</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Default="00145C5E" w:rsidP="00145C5E">
            <w:pPr>
              <w:suppressAutoHyphens/>
              <w:spacing w:before="20" w:after="20"/>
              <w:rPr>
                <w:rFonts w:ascii="Arial Narrow" w:hAnsi="Arial Narrow"/>
              </w:rPr>
            </w:pPr>
            <w:r>
              <w:rPr>
                <w:rFonts w:ascii="Arial Narrow" w:hAnsi="Arial Narrow"/>
              </w:rPr>
              <w:t>Christopher Meredith</w:t>
            </w:r>
          </w:p>
        </w:tc>
        <w:tc>
          <w:tcPr>
            <w:tcW w:w="3601" w:type="dxa"/>
          </w:tcPr>
          <w:p w:rsidR="00145C5E" w:rsidRDefault="00145C5E" w:rsidP="00145C5E">
            <w:pPr>
              <w:suppressAutoHyphens/>
              <w:spacing w:before="20" w:after="20"/>
              <w:rPr>
                <w:rFonts w:ascii="Arial Narrow" w:hAnsi="Arial Narrow"/>
              </w:rPr>
            </w:pPr>
            <w:r>
              <w:rPr>
                <w:rFonts w:ascii="Arial Narrow" w:hAnsi="Arial Narrow"/>
              </w:rPr>
              <w:t>Specialized Transit Program Manager, Systems Planning and Programming</w:t>
            </w:r>
          </w:p>
        </w:tc>
        <w:tc>
          <w:tcPr>
            <w:tcW w:w="1530" w:type="dxa"/>
          </w:tcPr>
          <w:p w:rsidR="00145C5E" w:rsidRDefault="00145C5E" w:rsidP="00145C5E">
            <w:pPr>
              <w:suppressAutoHyphens/>
              <w:spacing w:before="20" w:after="20"/>
              <w:rPr>
                <w:rFonts w:ascii="Arial Narrow" w:hAnsi="Arial Narrow"/>
              </w:rPr>
            </w:pPr>
            <w:r>
              <w:rPr>
                <w:rFonts w:ascii="Arial Narrow" w:hAnsi="Arial Narrow"/>
              </w:rPr>
              <w:t>(801) 965-4551</w:t>
            </w:r>
          </w:p>
        </w:tc>
        <w:tc>
          <w:tcPr>
            <w:tcW w:w="3092" w:type="dxa"/>
          </w:tcPr>
          <w:p w:rsidR="00145C5E" w:rsidRDefault="00E46099" w:rsidP="00145C5E">
            <w:pPr>
              <w:suppressAutoHyphens/>
              <w:spacing w:before="20" w:after="20"/>
              <w:rPr>
                <w:rFonts w:ascii="Arial Narrow" w:hAnsi="Arial Narrow"/>
              </w:rPr>
            </w:pPr>
            <w:hyperlink r:id="rId20" w:history="1">
              <w:r w:rsidR="00145C5E" w:rsidRPr="00C84F14">
                <w:rPr>
                  <w:rStyle w:val="Hyperlink"/>
                  <w:rFonts w:ascii="Arial Narrow" w:hAnsi="Arial Narrow"/>
                </w:rPr>
                <w:t>cmeredith@utah.gov</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Default="00145C5E" w:rsidP="00145C5E">
            <w:pPr>
              <w:suppressAutoHyphens/>
              <w:spacing w:before="20" w:after="20"/>
              <w:rPr>
                <w:rFonts w:ascii="Arial Narrow" w:hAnsi="Arial Narrow"/>
              </w:rPr>
            </w:pPr>
            <w:r>
              <w:rPr>
                <w:rFonts w:ascii="Arial Narrow" w:hAnsi="Arial Narrow"/>
              </w:rPr>
              <w:t xml:space="preserve">Debbie </w:t>
            </w:r>
            <w:proofErr w:type="spellStart"/>
            <w:r>
              <w:rPr>
                <w:rFonts w:ascii="Arial Narrow" w:hAnsi="Arial Narrow"/>
              </w:rPr>
              <w:t>Boulton</w:t>
            </w:r>
            <w:proofErr w:type="spellEnd"/>
          </w:p>
        </w:tc>
        <w:tc>
          <w:tcPr>
            <w:tcW w:w="3601" w:type="dxa"/>
          </w:tcPr>
          <w:p w:rsidR="00145C5E" w:rsidRDefault="00145C5E" w:rsidP="00145C5E">
            <w:pPr>
              <w:suppressAutoHyphens/>
              <w:spacing w:before="20" w:after="20"/>
              <w:rPr>
                <w:rFonts w:ascii="Arial Narrow" w:hAnsi="Arial Narrow"/>
              </w:rPr>
            </w:pPr>
            <w:r>
              <w:rPr>
                <w:rFonts w:ascii="Arial Narrow" w:hAnsi="Arial Narrow"/>
              </w:rPr>
              <w:t>Purchasing Agent, Procurement Services</w:t>
            </w:r>
          </w:p>
        </w:tc>
        <w:tc>
          <w:tcPr>
            <w:tcW w:w="1530" w:type="dxa"/>
          </w:tcPr>
          <w:p w:rsidR="00145C5E" w:rsidRDefault="00145C5E" w:rsidP="00145C5E">
            <w:pPr>
              <w:suppressAutoHyphens/>
              <w:spacing w:before="20" w:after="20"/>
              <w:rPr>
                <w:rFonts w:ascii="Arial Narrow" w:hAnsi="Arial Narrow"/>
              </w:rPr>
            </w:pPr>
            <w:r>
              <w:rPr>
                <w:rFonts w:ascii="Arial Narrow" w:hAnsi="Arial Narrow"/>
              </w:rPr>
              <w:t>(801) 965-4070</w:t>
            </w:r>
          </w:p>
        </w:tc>
        <w:tc>
          <w:tcPr>
            <w:tcW w:w="3092" w:type="dxa"/>
          </w:tcPr>
          <w:p w:rsidR="00145C5E" w:rsidRDefault="00E46099" w:rsidP="00145C5E">
            <w:pPr>
              <w:suppressAutoHyphens/>
              <w:spacing w:before="20" w:after="20"/>
              <w:rPr>
                <w:rFonts w:ascii="Arial Narrow" w:hAnsi="Arial Narrow"/>
              </w:rPr>
            </w:pPr>
            <w:hyperlink r:id="rId21" w:history="1">
              <w:r w:rsidR="00145C5E" w:rsidRPr="00C84F14">
                <w:rPr>
                  <w:rStyle w:val="Hyperlink"/>
                  <w:rFonts w:ascii="Arial Narrow" w:hAnsi="Arial Narrow"/>
                </w:rPr>
                <w:t>dboulton@utah.gov</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Default="00145C5E" w:rsidP="00145C5E">
            <w:pPr>
              <w:suppressAutoHyphens/>
              <w:spacing w:before="20" w:after="20"/>
              <w:rPr>
                <w:rFonts w:ascii="Arial Narrow" w:hAnsi="Arial Narrow"/>
              </w:rPr>
            </w:pPr>
            <w:r>
              <w:rPr>
                <w:rFonts w:ascii="Arial Narrow" w:hAnsi="Arial Narrow"/>
              </w:rPr>
              <w:t xml:space="preserve">Gaye </w:t>
            </w:r>
            <w:proofErr w:type="spellStart"/>
            <w:r>
              <w:rPr>
                <w:rFonts w:ascii="Arial Narrow" w:hAnsi="Arial Narrow"/>
              </w:rPr>
              <w:t>Hettrick</w:t>
            </w:r>
            <w:proofErr w:type="spellEnd"/>
          </w:p>
        </w:tc>
        <w:tc>
          <w:tcPr>
            <w:tcW w:w="3601" w:type="dxa"/>
          </w:tcPr>
          <w:p w:rsidR="00145C5E" w:rsidRDefault="00145C5E" w:rsidP="00145C5E">
            <w:pPr>
              <w:suppressAutoHyphens/>
              <w:spacing w:before="20" w:after="20"/>
              <w:rPr>
                <w:rFonts w:ascii="Arial Narrow" w:hAnsi="Arial Narrow"/>
              </w:rPr>
            </w:pPr>
            <w:r>
              <w:rPr>
                <w:rFonts w:ascii="Arial Narrow" w:hAnsi="Arial Narrow"/>
              </w:rPr>
              <w:t>Consultant Services Manager, A and E Contracts</w:t>
            </w:r>
          </w:p>
        </w:tc>
        <w:tc>
          <w:tcPr>
            <w:tcW w:w="1530" w:type="dxa"/>
          </w:tcPr>
          <w:p w:rsidR="00145C5E" w:rsidRDefault="00145C5E" w:rsidP="00145C5E">
            <w:pPr>
              <w:suppressAutoHyphens/>
              <w:spacing w:before="20" w:after="20"/>
              <w:rPr>
                <w:rFonts w:ascii="Arial Narrow" w:hAnsi="Arial Narrow"/>
              </w:rPr>
            </w:pPr>
            <w:r>
              <w:rPr>
                <w:rFonts w:ascii="Arial Narrow" w:hAnsi="Arial Narrow"/>
              </w:rPr>
              <w:t>(801) 965-4639</w:t>
            </w:r>
          </w:p>
        </w:tc>
        <w:tc>
          <w:tcPr>
            <w:tcW w:w="3092" w:type="dxa"/>
          </w:tcPr>
          <w:p w:rsidR="00145C5E" w:rsidRDefault="00E46099" w:rsidP="00145C5E">
            <w:pPr>
              <w:suppressAutoHyphens/>
              <w:spacing w:before="20" w:after="20"/>
              <w:rPr>
                <w:rFonts w:ascii="Arial Narrow" w:hAnsi="Arial Narrow"/>
              </w:rPr>
            </w:pPr>
            <w:hyperlink r:id="rId22" w:history="1">
              <w:r w:rsidR="00145C5E" w:rsidRPr="00C84F14">
                <w:rPr>
                  <w:rStyle w:val="Hyperlink"/>
                  <w:rFonts w:ascii="Arial Narrow" w:hAnsi="Arial Narrow"/>
                </w:rPr>
                <w:t>ghettrick@utah.gov</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Default="00145C5E" w:rsidP="00145C5E">
            <w:pPr>
              <w:suppressAutoHyphens/>
              <w:spacing w:before="20" w:after="20"/>
              <w:rPr>
                <w:rFonts w:ascii="Arial Narrow" w:hAnsi="Arial Narrow"/>
              </w:rPr>
            </w:pPr>
            <w:proofErr w:type="spellStart"/>
            <w:r>
              <w:rPr>
                <w:rFonts w:ascii="Arial Narrow" w:hAnsi="Arial Narrow"/>
              </w:rPr>
              <w:t>Denice</w:t>
            </w:r>
            <w:proofErr w:type="spellEnd"/>
            <w:r>
              <w:rPr>
                <w:rFonts w:ascii="Arial Narrow" w:hAnsi="Arial Narrow"/>
              </w:rPr>
              <w:t xml:space="preserve"> Graham</w:t>
            </w:r>
          </w:p>
        </w:tc>
        <w:tc>
          <w:tcPr>
            <w:tcW w:w="3601" w:type="dxa"/>
          </w:tcPr>
          <w:p w:rsidR="00145C5E" w:rsidRDefault="00145C5E" w:rsidP="00145C5E">
            <w:pPr>
              <w:suppressAutoHyphens/>
              <w:spacing w:before="20" w:after="20"/>
              <w:rPr>
                <w:rFonts w:ascii="Arial Narrow" w:hAnsi="Arial Narrow"/>
              </w:rPr>
            </w:pPr>
            <w:r>
              <w:rPr>
                <w:rFonts w:ascii="Arial Narrow" w:hAnsi="Arial Narrow"/>
              </w:rPr>
              <w:t>Civil Rights Manager, Civil Rights</w:t>
            </w:r>
          </w:p>
        </w:tc>
        <w:tc>
          <w:tcPr>
            <w:tcW w:w="1530" w:type="dxa"/>
          </w:tcPr>
          <w:p w:rsidR="00145C5E" w:rsidRDefault="00145C5E" w:rsidP="00145C5E">
            <w:pPr>
              <w:suppressAutoHyphens/>
              <w:spacing w:before="20" w:after="20"/>
              <w:rPr>
                <w:rFonts w:ascii="Arial Narrow" w:hAnsi="Arial Narrow"/>
              </w:rPr>
            </w:pPr>
            <w:r>
              <w:rPr>
                <w:rFonts w:ascii="Arial Narrow" w:hAnsi="Arial Narrow"/>
              </w:rPr>
              <w:t>(801) 965-4695</w:t>
            </w:r>
          </w:p>
        </w:tc>
        <w:tc>
          <w:tcPr>
            <w:tcW w:w="3092" w:type="dxa"/>
          </w:tcPr>
          <w:p w:rsidR="00145C5E" w:rsidRDefault="00E46099" w:rsidP="00145C5E">
            <w:pPr>
              <w:suppressAutoHyphens/>
              <w:spacing w:before="20" w:after="20"/>
              <w:rPr>
                <w:rFonts w:ascii="Arial Narrow" w:hAnsi="Arial Narrow"/>
              </w:rPr>
            </w:pPr>
            <w:hyperlink r:id="rId23" w:history="1">
              <w:r w:rsidR="00145C5E" w:rsidRPr="00C84F14">
                <w:rPr>
                  <w:rStyle w:val="Hyperlink"/>
                  <w:rFonts w:ascii="Arial Narrow" w:hAnsi="Arial Narrow"/>
                </w:rPr>
                <w:t>dgraham@utah.gov</w:t>
              </w:r>
            </w:hyperlink>
          </w:p>
        </w:tc>
      </w:tr>
      <w:tr w:rsidR="00E22E02" w:rsidTr="00D625B8">
        <w:trPr>
          <w:cantSplit/>
          <w:jc w:val="center"/>
        </w:trPr>
        <w:tc>
          <w:tcPr>
            <w:tcW w:w="10923" w:type="dxa"/>
            <w:gridSpan w:val="4"/>
            <w:tcBorders>
              <w:top w:val="nil"/>
            </w:tcBorders>
          </w:tcPr>
          <w:p w:rsidR="00E22E02" w:rsidRDefault="00E22E02" w:rsidP="00D625B8">
            <w:pPr>
              <w:rPr>
                <w:b/>
                <w:sz w:val="24"/>
              </w:rPr>
            </w:pPr>
          </w:p>
        </w:tc>
      </w:tr>
      <w:tr w:rsidR="00E22E02" w:rsidRPr="00523022" w:rsidTr="00D625B8">
        <w:trPr>
          <w:cantSplit/>
          <w:jc w:val="center"/>
        </w:trPr>
        <w:tc>
          <w:tcPr>
            <w:tcW w:w="10923" w:type="dxa"/>
            <w:gridSpan w:val="4"/>
          </w:tcPr>
          <w:p w:rsidR="00E22E02" w:rsidRPr="00523022" w:rsidRDefault="00E22E02" w:rsidP="00D625B8">
            <w:pPr>
              <w:rPr>
                <w:b/>
                <w:sz w:val="24"/>
              </w:rPr>
            </w:pPr>
            <w:r>
              <w:rPr>
                <w:b/>
                <w:sz w:val="24"/>
              </w:rPr>
              <w:t>Federal Transit Administration – FTA</w:t>
            </w:r>
          </w:p>
        </w:tc>
      </w:tr>
      <w:tr w:rsidR="00E22E02" w:rsidTr="00D625B8">
        <w:tblPrEx>
          <w:tblCellMar>
            <w:left w:w="108" w:type="dxa"/>
            <w:right w:w="108" w:type="dxa"/>
          </w:tblCellMar>
        </w:tblPrEx>
        <w:trPr>
          <w:cantSplit/>
          <w:jc w:val="center"/>
        </w:trPr>
        <w:tc>
          <w:tcPr>
            <w:tcW w:w="2700" w:type="dxa"/>
          </w:tcPr>
          <w:p w:rsidR="00E22E02" w:rsidRPr="00523022" w:rsidRDefault="00762F36" w:rsidP="00D625B8">
            <w:r>
              <w:t>Amber Ontiveros</w:t>
            </w:r>
          </w:p>
        </w:tc>
        <w:tc>
          <w:tcPr>
            <w:tcW w:w="3601" w:type="dxa"/>
          </w:tcPr>
          <w:p w:rsidR="00E22E02" w:rsidRPr="00523022" w:rsidRDefault="00E22E02" w:rsidP="00D625B8">
            <w:r>
              <w:t>Civil Rights Officer, FTA Region IX</w:t>
            </w:r>
          </w:p>
        </w:tc>
        <w:tc>
          <w:tcPr>
            <w:tcW w:w="1530" w:type="dxa"/>
          </w:tcPr>
          <w:p w:rsidR="00E22E02" w:rsidRPr="00523022" w:rsidRDefault="00E22E02" w:rsidP="00D625B8">
            <w:r>
              <w:t>(415) 744-2729</w:t>
            </w:r>
          </w:p>
        </w:tc>
        <w:tc>
          <w:tcPr>
            <w:tcW w:w="3092" w:type="dxa"/>
          </w:tcPr>
          <w:p w:rsidR="00E22E02" w:rsidRPr="00523022" w:rsidRDefault="00E46099" w:rsidP="00D625B8">
            <w:hyperlink r:id="rId24" w:history="1">
              <w:r w:rsidR="004A28B7" w:rsidRPr="00F30705">
                <w:rPr>
                  <w:rStyle w:val="Hyperlink"/>
                </w:rPr>
                <w:t>amber.ontiveros@fta.dot.gov</w:t>
              </w:r>
            </w:hyperlink>
          </w:p>
        </w:tc>
      </w:tr>
      <w:tr w:rsidR="00E22E02" w:rsidRPr="00523022" w:rsidTr="00D625B8">
        <w:trPr>
          <w:cantSplit/>
          <w:jc w:val="center"/>
        </w:trPr>
        <w:tc>
          <w:tcPr>
            <w:tcW w:w="10923" w:type="dxa"/>
            <w:gridSpan w:val="4"/>
          </w:tcPr>
          <w:p w:rsidR="00E22E02" w:rsidRDefault="00E22E02" w:rsidP="00D625B8">
            <w:pPr>
              <w:rPr>
                <w:b/>
                <w:sz w:val="24"/>
              </w:rPr>
            </w:pPr>
          </w:p>
        </w:tc>
      </w:tr>
      <w:tr w:rsidR="00E22E02" w:rsidRPr="00523022" w:rsidTr="00D625B8">
        <w:trPr>
          <w:cantSplit/>
          <w:jc w:val="center"/>
        </w:trPr>
        <w:tc>
          <w:tcPr>
            <w:tcW w:w="10923" w:type="dxa"/>
            <w:gridSpan w:val="4"/>
          </w:tcPr>
          <w:p w:rsidR="00E22E02" w:rsidRPr="00523022" w:rsidRDefault="00E22E02" w:rsidP="00D625B8">
            <w:pPr>
              <w:rPr>
                <w:b/>
                <w:sz w:val="24"/>
              </w:rPr>
            </w:pPr>
            <w:r>
              <w:rPr>
                <w:b/>
                <w:sz w:val="24"/>
              </w:rPr>
              <w:t>REVIEW TEAM – The DMP Group, LLC</w:t>
            </w:r>
          </w:p>
        </w:tc>
      </w:tr>
      <w:tr w:rsidR="00E22E02" w:rsidTr="00D625B8">
        <w:trPr>
          <w:cantSplit/>
          <w:jc w:val="center"/>
        </w:trPr>
        <w:tc>
          <w:tcPr>
            <w:tcW w:w="2700" w:type="dxa"/>
          </w:tcPr>
          <w:p w:rsidR="00E22E02" w:rsidRPr="008F0120" w:rsidRDefault="00E22E02" w:rsidP="00D625B8">
            <w:r>
              <w:t>John Potts</w:t>
            </w:r>
          </w:p>
        </w:tc>
        <w:tc>
          <w:tcPr>
            <w:tcW w:w="3601" w:type="dxa"/>
          </w:tcPr>
          <w:p w:rsidR="00E22E02" w:rsidRPr="008F0120" w:rsidRDefault="00E22E02" w:rsidP="00D625B8">
            <w:r w:rsidRPr="008F0120">
              <w:t>Lead Reviewer, The DMP Group</w:t>
            </w:r>
          </w:p>
        </w:tc>
        <w:tc>
          <w:tcPr>
            <w:tcW w:w="1530" w:type="dxa"/>
          </w:tcPr>
          <w:p w:rsidR="00E22E02" w:rsidRPr="008F0120" w:rsidRDefault="00E22E02" w:rsidP="00D625B8">
            <w:r>
              <w:t>(504) 813-7425</w:t>
            </w:r>
          </w:p>
        </w:tc>
        <w:tc>
          <w:tcPr>
            <w:tcW w:w="3092" w:type="dxa"/>
          </w:tcPr>
          <w:p w:rsidR="00E22E02" w:rsidRPr="008F0120" w:rsidRDefault="00E22E02" w:rsidP="00D625B8">
            <w:r w:rsidRPr="00D526D1">
              <w:t>johnpotts@thedmpgroup.com</w:t>
            </w:r>
            <w:r w:rsidRPr="008F0120">
              <w:t xml:space="preserve"> </w:t>
            </w:r>
          </w:p>
        </w:tc>
      </w:tr>
      <w:tr w:rsidR="00E22E02" w:rsidTr="00D625B8">
        <w:trPr>
          <w:cantSplit/>
          <w:jc w:val="center"/>
        </w:trPr>
        <w:tc>
          <w:tcPr>
            <w:tcW w:w="2700" w:type="dxa"/>
          </w:tcPr>
          <w:p w:rsidR="00E22E02" w:rsidRPr="008F0120" w:rsidRDefault="00156F2E" w:rsidP="00D625B8">
            <w:r>
              <w:t>Dana Lucas</w:t>
            </w:r>
          </w:p>
        </w:tc>
        <w:tc>
          <w:tcPr>
            <w:tcW w:w="3601" w:type="dxa"/>
          </w:tcPr>
          <w:p w:rsidR="00E22E02" w:rsidRPr="008F0120" w:rsidRDefault="00E22E02" w:rsidP="00D625B8">
            <w:r w:rsidRPr="008F0120">
              <w:t>Reviewer, The DMP Group</w:t>
            </w:r>
          </w:p>
        </w:tc>
        <w:tc>
          <w:tcPr>
            <w:tcW w:w="1530" w:type="dxa"/>
          </w:tcPr>
          <w:p w:rsidR="00E22E02" w:rsidRPr="008F0120" w:rsidRDefault="00E22E02" w:rsidP="00D625B8">
            <w:r>
              <w:t>(301) 585-</w:t>
            </w:r>
            <w:r w:rsidRPr="008F0120">
              <w:t>2630</w:t>
            </w:r>
          </w:p>
        </w:tc>
        <w:tc>
          <w:tcPr>
            <w:tcW w:w="3092" w:type="dxa"/>
          </w:tcPr>
          <w:p w:rsidR="00E22E02" w:rsidRPr="008F0120" w:rsidRDefault="00A36F9E" w:rsidP="00D625B8">
            <w:r>
              <w:t>d</w:t>
            </w:r>
            <w:r w:rsidR="00156F2E">
              <w:t>ana.lucas@thedmpgroup.com</w:t>
            </w:r>
          </w:p>
        </w:tc>
      </w:tr>
    </w:tbl>
    <w:p w:rsidR="00E22E02" w:rsidRDefault="00E22E02" w:rsidP="00E22E02"/>
    <w:p w:rsidR="00E22E02" w:rsidRDefault="00E22E02" w:rsidP="00E22E02"/>
    <w:p w:rsidR="00E22E02" w:rsidRDefault="00E22E02" w:rsidP="00E22E02"/>
    <w:p w:rsidR="00E22E02" w:rsidRDefault="00E22E02" w:rsidP="00E22E02"/>
    <w:p w:rsidR="00E22E02" w:rsidRDefault="00E22E02" w:rsidP="00E22E02"/>
    <w:p w:rsidR="00E22E02" w:rsidRPr="00E22E02" w:rsidRDefault="00E22E02" w:rsidP="00E22E02"/>
    <w:p w:rsidR="00F80A8D" w:rsidRDefault="00F80A8D"/>
    <w:bookmarkEnd w:id="29"/>
    <w:p w:rsidR="00523022" w:rsidRDefault="00523022"/>
    <w:sectPr w:rsidR="00523022" w:rsidSect="00035671">
      <w:headerReference w:type="default" r:id="rId25"/>
      <w:footerReference w:type="even" r:id="rId26"/>
      <w:footerReference w:type="default" r:id="rId27"/>
      <w:footerReference w:type="first" r:id="rId28"/>
      <w:pgSz w:w="12240" w:h="15840" w:code="1"/>
      <w:pgMar w:top="1440" w:right="1440" w:bottom="1440" w:left="1440" w:header="720" w:footer="14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36A" w:rsidRDefault="0065036A">
      <w:r>
        <w:separator/>
      </w:r>
    </w:p>
  </w:endnote>
  <w:endnote w:type="continuationSeparator" w:id="0">
    <w:p w:rsidR="0065036A" w:rsidRDefault="006503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0B" w:rsidRDefault="00E46099">
    <w:pPr>
      <w:pStyle w:val="Footer"/>
      <w:framePr w:wrap="around" w:vAnchor="text" w:hAnchor="margin" w:xAlign="center" w:y="1"/>
      <w:rPr>
        <w:rStyle w:val="PageNumber"/>
      </w:rPr>
    </w:pPr>
    <w:r>
      <w:rPr>
        <w:rStyle w:val="PageNumber"/>
      </w:rPr>
      <w:fldChar w:fldCharType="begin"/>
    </w:r>
    <w:r w:rsidR="00B5280B">
      <w:rPr>
        <w:rStyle w:val="PageNumber"/>
      </w:rPr>
      <w:instrText xml:space="preserve">PAGE  </w:instrText>
    </w:r>
    <w:r>
      <w:rPr>
        <w:rStyle w:val="PageNumber"/>
      </w:rPr>
      <w:fldChar w:fldCharType="separate"/>
    </w:r>
    <w:r w:rsidR="00B5280B">
      <w:rPr>
        <w:rStyle w:val="PageNumber"/>
        <w:noProof/>
      </w:rPr>
      <w:t>40</w:t>
    </w:r>
    <w:r>
      <w:rPr>
        <w:rStyle w:val="PageNumber"/>
      </w:rPr>
      <w:fldChar w:fldCharType="end"/>
    </w:r>
  </w:p>
  <w:p w:rsidR="00B5280B" w:rsidRDefault="00B528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0B" w:rsidRDefault="00B5280B">
    <w:pPr>
      <w:pStyle w:val="Footer"/>
      <w:framePr w:wrap="around" w:vAnchor="text" w:hAnchor="margin" w:xAlign="center" w:y="1"/>
      <w:jc w:val="center"/>
      <w:rPr>
        <w:rStyle w:val="PageNumber"/>
      </w:rPr>
    </w:pPr>
  </w:p>
  <w:p w:rsidR="00B5280B" w:rsidRDefault="00B5280B">
    <w:pPr>
      <w:pStyle w:val="Footer"/>
      <w:framePr w:wrap="around" w:vAnchor="text" w:hAnchor="margin" w:xAlign="center" w:y="1"/>
      <w:ind w:right="360"/>
      <w:jc w:val="center"/>
      <w:rPr>
        <w:rStyle w:val="PageNumber"/>
      </w:rPr>
    </w:pPr>
  </w:p>
  <w:p w:rsidR="00B5280B" w:rsidRDefault="00B5280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0B" w:rsidRDefault="00B5280B">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0B" w:rsidRDefault="00E46099">
    <w:pPr>
      <w:pStyle w:val="Footer"/>
      <w:framePr w:wrap="around" w:vAnchor="text" w:hAnchor="margin" w:xAlign="center" w:y="1"/>
      <w:rPr>
        <w:rStyle w:val="PageNumber"/>
      </w:rPr>
    </w:pPr>
    <w:r>
      <w:rPr>
        <w:rStyle w:val="PageNumber"/>
      </w:rPr>
      <w:fldChar w:fldCharType="begin"/>
    </w:r>
    <w:r w:rsidR="00B5280B">
      <w:rPr>
        <w:rStyle w:val="PageNumber"/>
      </w:rPr>
      <w:instrText xml:space="preserve">PAGE  </w:instrText>
    </w:r>
    <w:r>
      <w:rPr>
        <w:rStyle w:val="PageNumber"/>
      </w:rPr>
      <w:fldChar w:fldCharType="separate"/>
    </w:r>
    <w:r w:rsidR="00B5280B">
      <w:rPr>
        <w:rStyle w:val="PageNumber"/>
        <w:noProof/>
      </w:rPr>
      <w:t>40</w:t>
    </w:r>
    <w:r>
      <w:rPr>
        <w:rStyle w:val="PageNumber"/>
      </w:rPr>
      <w:fldChar w:fldCharType="end"/>
    </w:r>
  </w:p>
  <w:p w:rsidR="00B5280B" w:rsidRDefault="00B5280B">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0B" w:rsidRDefault="00E46099" w:rsidP="00F1730E">
    <w:pPr>
      <w:pStyle w:val="Footer"/>
      <w:framePr w:wrap="around" w:vAnchor="text" w:hAnchor="margin" w:xAlign="center" w:y="1"/>
      <w:ind w:right="360"/>
      <w:jc w:val="right"/>
      <w:rPr>
        <w:rStyle w:val="PageNumber"/>
      </w:rPr>
    </w:pPr>
    <w:r>
      <w:rPr>
        <w:rStyle w:val="PageNumber"/>
      </w:rPr>
      <w:fldChar w:fldCharType="begin"/>
    </w:r>
    <w:r w:rsidR="00B5280B">
      <w:rPr>
        <w:rStyle w:val="PageNumber"/>
      </w:rPr>
      <w:instrText xml:space="preserve"> PAGE </w:instrText>
    </w:r>
    <w:r>
      <w:rPr>
        <w:rStyle w:val="PageNumber"/>
      </w:rPr>
      <w:fldChar w:fldCharType="separate"/>
    </w:r>
    <w:r w:rsidR="00B7221F">
      <w:rPr>
        <w:rStyle w:val="PageNumber"/>
        <w:noProof/>
      </w:rPr>
      <w:t>39</w:t>
    </w:r>
    <w:r>
      <w:rPr>
        <w:rStyle w:val="PageNumber"/>
      </w:rPr>
      <w:fldChar w:fldCharType="end"/>
    </w:r>
  </w:p>
  <w:p w:rsidR="00B5280B" w:rsidRDefault="00B5280B">
    <w:pPr>
      <w:pStyle w:val="Footer"/>
      <w:jc w:val="center"/>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0B" w:rsidRDefault="00E46099">
    <w:pPr>
      <w:pStyle w:val="Footer"/>
      <w:jc w:val="center"/>
    </w:pPr>
    <w:r>
      <w:rPr>
        <w:rStyle w:val="PageNumber"/>
      </w:rPr>
      <w:fldChar w:fldCharType="begin"/>
    </w:r>
    <w:r w:rsidR="00B5280B">
      <w:rPr>
        <w:rStyle w:val="PageNumber"/>
      </w:rPr>
      <w:instrText xml:space="preserve"> PAGE </w:instrText>
    </w:r>
    <w:r>
      <w:rPr>
        <w:rStyle w:val="PageNumber"/>
      </w:rPr>
      <w:fldChar w:fldCharType="separate"/>
    </w:r>
    <w:r w:rsidR="00B7221F">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36A" w:rsidRDefault="0065036A">
      <w:r>
        <w:separator/>
      </w:r>
    </w:p>
  </w:footnote>
  <w:footnote w:type="continuationSeparator" w:id="0">
    <w:p w:rsidR="0065036A" w:rsidRDefault="0065036A">
      <w:r>
        <w:continuationSeparator/>
      </w:r>
    </w:p>
  </w:footnote>
  <w:footnote w:id="1">
    <w:p w:rsidR="00B5280B" w:rsidRDefault="00B5280B" w:rsidP="003930A8">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0B" w:rsidRDefault="00B5280B">
    <w:pPr>
      <w:pStyle w:val="Header"/>
    </w:pPr>
  </w:p>
  <w:p w:rsidR="00B5280B" w:rsidRDefault="00B528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0B" w:rsidRDefault="00B528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5A08F2"/>
    <w:multiLevelType w:val="hybridMultilevel"/>
    <w:tmpl w:val="9E92B60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nsid w:val="03003511"/>
    <w:multiLevelType w:val="hybridMultilevel"/>
    <w:tmpl w:val="2BA01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52721"/>
    <w:multiLevelType w:val="hybridMultilevel"/>
    <w:tmpl w:val="A27E2C8A"/>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E8C507F"/>
    <w:multiLevelType w:val="hybridMultilevel"/>
    <w:tmpl w:val="24401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7">
    <w:nsid w:val="181755DE"/>
    <w:multiLevelType w:val="hybridMultilevel"/>
    <w:tmpl w:val="EC1E004A"/>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9D66B5B"/>
    <w:multiLevelType w:val="hybridMultilevel"/>
    <w:tmpl w:val="C32C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F047B"/>
    <w:multiLevelType w:val="hybridMultilevel"/>
    <w:tmpl w:val="E67E2A8A"/>
    <w:lvl w:ilvl="0" w:tplc="F5E60D7A">
      <w:start w:val="1"/>
      <w:numFmt w:val="decimal"/>
      <w:lvlText w:val="%1."/>
      <w:lvlJc w:val="left"/>
      <w:pPr>
        <w:ind w:left="1440" w:hanging="360"/>
      </w:pPr>
    </w:lvl>
    <w:lvl w:ilvl="1" w:tplc="04090001">
      <w:start w:val="1"/>
      <w:numFmt w:val="low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EB1EC8"/>
    <w:multiLevelType w:val="hybridMultilevel"/>
    <w:tmpl w:val="288CE89A"/>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1">
    <w:nsid w:val="24383412"/>
    <w:multiLevelType w:val="hybridMultilevel"/>
    <w:tmpl w:val="A5E271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45F03AF"/>
    <w:multiLevelType w:val="hybridMultilevel"/>
    <w:tmpl w:val="1834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D1759"/>
    <w:multiLevelType w:val="multilevel"/>
    <w:tmpl w:val="AD06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280E6C36"/>
    <w:multiLevelType w:val="hybridMultilevel"/>
    <w:tmpl w:val="79A41966"/>
    <w:lvl w:ilvl="0" w:tplc="04090017">
      <w:start w:val="1"/>
      <w:numFmt w:val="lowerLetter"/>
      <w:lvlText w:val="%1)"/>
      <w:lvlJc w:val="left"/>
      <w:pPr>
        <w:ind w:left="720" w:hanging="360"/>
      </w:pPr>
    </w:lvl>
    <w:lvl w:ilvl="1" w:tplc="D63AF16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E927F2"/>
    <w:multiLevelType w:val="multilevel"/>
    <w:tmpl w:val="34227B5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DB4003C"/>
    <w:multiLevelType w:val="hybridMultilevel"/>
    <w:tmpl w:val="633C89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630F6"/>
    <w:multiLevelType w:val="singleLevel"/>
    <w:tmpl w:val="33E073C4"/>
    <w:lvl w:ilvl="0">
      <w:start w:val="1"/>
      <w:numFmt w:val="lowerLetter"/>
      <w:lvlText w:val="%1."/>
      <w:lvlJc w:val="left"/>
      <w:pPr>
        <w:tabs>
          <w:tab w:val="num" w:pos="360"/>
        </w:tabs>
        <w:ind w:left="360" w:hanging="360"/>
      </w:pPr>
    </w:lvl>
  </w:abstractNum>
  <w:abstractNum w:abstractNumId="19">
    <w:nsid w:val="32406E58"/>
    <w:multiLevelType w:val="multilevel"/>
    <w:tmpl w:val="D88639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007ACD"/>
    <w:multiLevelType w:val="hybridMultilevel"/>
    <w:tmpl w:val="C012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F2A32"/>
    <w:multiLevelType w:val="hybridMultilevel"/>
    <w:tmpl w:val="D5C47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010870"/>
    <w:multiLevelType w:val="hybridMultilevel"/>
    <w:tmpl w:val="8230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060683"/>
    <w:multiLevelType w:val="hybridMultilevel"/>
    <w:tmpl w:val="E91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F15E19"/>
    <w:multiLevelType w:val="singleLevel"/>
    <w:tmpl w:val="33E073C4"/>
    <w:lvl w:ilvl="0">
      <w:start w:val="1"/>
      <w:numFmt w:val="lowerLetter"/>
      <w:lvlText w:val="%1."/>
      <w:lvlJc w:val="left"/>
      <w:pPr>
        <w:tabs>
          <w:tab w:val="num" w:pos="360"/>
        </w:tabs>
        <w:ind w:left="360" w:hanging="360"/>
      </w:pPr>
    </w:lvl>
  </w:abstractNum>
  <w:abstractNum w:abstractNumId="25">
    <w:nsid w:val="48D37E83"/>
    <w:multiLevelType w:val="hybridMultilevel"/>
    <w:tmpl w:val="85C0AD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000CA6"/>
    <w:multiLevelType w:val="hybridMultilevel"/>
    <w:tmpl w:val="CD06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04072D"/>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C86071B"/>
    <w:multiLevelType w:val="hybridMultilevel"/>
    <w:tmpl w:val="6BF2C2F4"/>
    <w:lvl w:ilvl="0" w:tplc="C340121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8D72EE"/>
    <w:multiLevelType w:val="hybridMultilevel"/>
    <w:tmpl w:val="C1CC2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6165D5"/>
    <w:multiLevelType w:val="hybridMultilevel"/>
    <w:tmpl w:val="C85E6DEC"/>
    <w:lvl w:ilvl="0" w:tplc="E48080E2">
      <w:start w:val="1"/>
      <w:numFmt w:val="decimal"/>
      <w:lvlText w:val="%1."/>
      <w:lvlJc w:val="left"/>
      <w:pPr>
        <w:tabs>
          <w:tab w:val="num" w:pos="360"/>
        </w:tabs>
        <w:ind w:left="360" w:hanging="360"/>
      </w:pPr>
    </w:lvl>
    <w:lvl w:ilvl="1" w:tplc="F5242DD2" w:tentative="1">
      <w:start w:val="1"/>
      <w:numFmt w:val="lowerLetter"/>
      <w:lvlText w:val="%2."/>
      <w:lvlJc w:val="left"/>
      <w:pPr>
        <w:tabs>
          <w:tab w:val="num" w:pos="1080"/>
        </w:tabs>
        <w:ind w:left="1080" w:hanging="360"/>
      </w:pPr>
    </w:lvl>
    <w:lvl w:ilvl="2" w:tplc="3C12DEBA" w:tentative="1">
      <w:start w:val="1"/>
      <w:numFmt w:val="lowerRoman"/>
      <w:lvlText w:val="%3."/>
      <w:lvlJc w:val="right"/>
      <w:pPr>
        <w:tabs>
          <w:tab w:val="num" w:pos="1800"/>
        </w:tabs>
        <w:ind w:left="1800" w:hanging="180"/>
      </w:pPr>
    </w:lvl>
    <w:lvl w:ilvl="3" w:tplc="1DD624AE" w:tentative="1">
      <w:start w:val="1"/>
      <w:numFmt w:val="decimal"/>
      <w:lvlText w:val="%4."/>
      <w:lvlJc w:val="left"/>
      <w:pPr>
        <w:tabs>
          <w:tab w:val="num" w:pos="2520"/>
        </w:tabs>
        <w:ind w:left="2520" w:hanging="360"/>
      </w:pPr>
    </w:lvl>
    <w:lvl w:ilvl="4" w:tplc="77DC97CE" w:tentative="1">
      <w:start w:val="1"/>
      <w:numFmt w:val="lowerLetter"/>
      <w:lvlText w:val="%5."/>
      <w:lvlJc w:val="left"/>
      <w:pPr>
        <w:tabs>
          <w:tab w:val="num" w:pos="3240"/>
        </w:tabs>
        <w:ind w:left="3240" w:hanging="360"/>
      </w:pPr>
    </w:lvl>
    <w:lvl w:ilvl="5" w:tplc="634497FE" w:tentative="1">
      <w:start w:val="1"/>
      <w:numFmt w:val="lowerRoman"/>
      <w:lvlText w:val="%6."/>
      <w:lvlJc w:val="right"/>
      <w:pPr>
        <w:tabs>
          <w:tab w:val="num" w:pos="3960"/>
        </w:tabs>
        <w:ind w:left="3960" w:hanging="180"/>
      </w:pPr>
    </w:lvl>
    <w:lvl w:ilvl="6" w:tplc="5DAC0272" w:tentative="1">
      <w:start w:val="1"/>
      <w:numFmt w:val="decimal"/>
      <w:lvlText w:val="%7."/>
      <w:lvlJc w:val="left"/>
      <w:pPr>
        <w:tabs>
          <w:tab w:val="num" w:pos="4680"/>
        </w:tabs>
        <w:ind w:left="4680" w:hanging="360"/>
      </w:pPr>
    </w:lvl>
    <w:lvl w:ilvl="7" w:tplc="2332B380" w:tentative="1">
      <w:start w:val="1"/>
      <w:numFmt w:val="lowerLetter"/>
      <w:lvlText w:val="%8."/>
      <w:lvlJc w:val="left"/>
      <w:pPr>
        <w:tabs>
          <w:tab w:val="num" w:pos="5400"/>
        </w:tabs>
        <w:ind w:left="5400" w:hanging="360"/>
      </w:pPr>
    </w:lvl>
    <w:lvl w:ilvl="8" w:tplc="BCA824A2" w:tentative="1">
      <w:start w:val="1"/>
      <w:numFmt w:val="lowerRoman"/>
      <w:lvlText w:val="%9."/>
      <w:lvlJc w:val="right"/>
      <w:pPr>
        <w:tabs>
          <w:tab w:val="num" w:pos="6120"/>
        </w:tabs>
        <w:ind w:left="6120" w:hanging="180"/>
      </w:pPr>
    </w:lvl>
  </w:abstractNum>
  <w:abstractNum w:abstractNumId="31">
    <w:nsid w:val="56565C87"/>
    <w:multiLevelType w:val="hybridMultilevel"/>
    <w:tmpl w:val="EB84BCF2"/>
    <w:lvl w:ilvl="0" w:tplc="7514EE22">
      <w:start w:val="1"/>
      <w:numFmt w:val="bullet"/>
      <w:lvlText w:val=""/>
      <w:lvlJc w:val="left"/>
      <w:pPr>
        <w:tabs>
          <w:tab w:val="num" w:pos="720"/>
        </w:tabs>
        <w:ind w:left="720" w:hanging="360"/>
      </w:pPr>
      <w:rPr>
        <w:rFonts w:ascii="Symbol" w:hAnsi="Symbol" w:hint="default"/>
      </w:rPr>
    </w:lvl>
    <w:lvl w:ilvl="1" w:tplc="2DA6800A" w:tentative="1">
      <w:start w:val="1"/>
      <w:numFmt w:val="bullet"/>
      <w:lvlText w:val="o"/>
      <w:lvlJc w:val="left"/>
      <w:pPr>
        <w:tabs>
          <w:tab w:val="num" w:pos="1440"/>
        </w:tabs>
        <w:ind w:left="1440" w:hanging="360"/>
      </w:pPr>
      <w:rPr>
        <w:rFonts w:ascii="Courier New" w:hAnsi="Courier New" w:hint="default"/>
      </w:rPr>
    </w:lvl>
    <w:lvl w:ilvl="2" w:tplc="7F880BBA" w:tentative="1">
      <w:start w:val="1"/>
      <w:numFmt w:val="bullet"/>
      <w:lvlText w:val=""/>
      <w:lvlJc w:val="left"/>
      <w:pPr>
        <w:tabs>
          <w:tab w:val="num" w:pos="2160"/>
        </w:tabs>
        <w:ind w:left="2160" w:hanging="360"/>
      </w:pPr>
      <w:rPr>
        <w:rFonts w:ascii="Wingdings" w:hAnsi="Wingdings" w:hint="default"/>
      </w:rPr>
    </w:lvl>
    <w:lvl w:ilvl="3" w:tplc="340C3016" w:tentative="1">
      <w:start w:val="1"/>
      <w:numFmt w:val="bullet"/>
      <w:lvlText w:val=""/>
      <w:lvlJc w:val="left"/>
      <w:pPr>
        <w:tabs>
          <w:tab w:val="num" w:pos="2880"/>
        </w:tabs>
        <w:ind w:left="2880" w:hanging="360"/>
      </w:pPr>
      <w:rPr>
        <w:rFonts w:ascii="Symbol" w:hAnsi="Symbol" w:hint="default"/>
      </w:rPr>
    </w:lvl>
    <w:lvl w:ilvl="4" w:tplc="17428804" w:tentative="1">
      <w:start w:val="1"/>
      <w:numFmt w:val="bullet"/>
      <w:lvlText w:val="o"/>
      <w:lvlJc w:val="left"/>
      <w:pPr>
        <w:tabs>
          <w:tab w:val="num" w:pos="3600"/>
        </w:tabs>
        <w:ind w:left="3600" w:hanging="360"/>
      </w:pPr>
      <w:rPr>
        <w:rFonts w:ascii="Courier New" w:hAnsi="Courier New" w:hint="default"/>
      </w:rPr>
    </w:lvl>
    <w:lvl w:ilvl="5" w:tplc="AAC84D70" w:tentative="1">
      <w:start w:val="1"/>
      <w:numFmt w:val="bullet"/>
      <w:lvlText w:val=""/>
      <w:lvlJc w:val="left"/>
      <w:pPr>
        <w:tabs>
          <w:tab w:val="num" w:pos="4320"/>
        </w:tabs>
        <w:ind w:left="4320" w:hanging="360"/>
      </w:pPr>
      <w:rPr>
        <w:rFonts w:ascii="Wingdings" w:hAnsi="Wingdings" w:hint="default"/>
      </w:rPr>
    </w:lvl>
    <w:lvl w:ilvl="6" w:tplc="1A2AFB92" w:tentative="1">
      <w:start w:val="1"/>
      <w:numFmt w:val="bullet"/>
      <w:lvlText w:val=""/>
      <w:lvlJc w:val="left"/>
      <w:pPr>
        <w:tabs>
          <w:tab w:val="num" w:pos="5040"/>
        </w:tabs>
        <w:ind w:left="5040" w:hanging="360"/>
      </w:pPr>
      <w:rPr>
        <w:rFonts w:ascii="Symbol" w:hAnsi="Symbol" w:hint="default"/>
      </w:rPr>
    </w:lvl>
    <w:lvl w:ilvl="7" w:tplc="B35A373A" w:tentative="1">
      <w:start w:val="1"/>
      <w:numFmt w:val="bullet"/>
      <w:lvlText w:val="o"/>
      <w:lvlJc w:val="left"/>
      <w:pPr>
        <w:tabs>
          <w:tab w:val="num" w:pos="5760"/>
        </w:tabs>
        <w:ind w:left="5760" w:hanging="360"/>
      </w:pPr>
      <w:rPr>
        <w:rFonts w:ascii="Courier New" w:hAnsi="Courier New" w:hint="default"/>
      </w:rPr>
    </w:lvl>
    <w:lvl w:ilvl="8" w:tplc="F3AEF8F4" w:tentative="1">
      <w:start w:val="1"/>
      <w:numFmt w:val="bullet"/>
      <w:lvlText w:val=""/>
      <w:lvlJc w:val="left"/>
      <w:pPr>
        <w:tabs>
          <w:tab w:val="num" w:pos="6480"/>
        </w:tabs>
        <w:ind w:left="6480" w:hanging="360"/>
      </w:pPr>
      <w:rPr>
        <w:rFonts w:ascii="Wingdings" w:hAnsi="Wingdings" w:hint="default"/>
      </w:rPr>
    </w:lvl>
  </w:abstractNum>
  <w:abstractNum w:abstractNumId="32">
    <w:nsid w:val="575A6535"/>
    <w:multiLevelType w:val="hybridMultilevel"/>
    <w:tmpl w:val="BB94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2437D5"/>
    <w:multiLevelType w:val="hybridMultilevel"/>
    <w:tmpl w:val="5706EEC4"/>
    <w:lvl w:ilvl="0" w:tplc="0409000F">
      <w:start w:val="1"/>
      <w:numFmt w:val="decimal"/>
      <w:lvlText w:val="%1."/>
      <w:lvlJc w:val="left"/>
      <w:pPr>
        <w:tabs>
          <w:tab w:val="num" w:pos="720"/>
        </w:tabs>
        <w:ind w:left="720" w:hanging="360"/>
      </w:pPr>
    </w:lvl>
    <w:lvl w:ilvl="1" w:tplc="6D944124">
      <w:start w:val="1"/>
      <w:numFmt w:val="lowerLetter"/>
      <w:lvlText w:val="%2."/>
      <w:lvlJc w:val="left"/>
      <w:pPr>
        <w:tabs>
          <w:tab w:val="num" w:pos="1440"/>
        </w:tabs>
        <w:ind w:left="1440" w:hanging="360"/>
      </w:pPr>
    </w:lvl>
    <w:lvl w:ilvl="2" w:tplc="B9489FA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DB58CB"/>
    <w:multiLevelType w:val="hybridMultilevel"/>
    <w:tmpl w:val="4754D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F70853"/>
    <w:multiLevelType w:val="hybridMultilevel"/>
    <w:tmpl w:val="6F92A41E"/>
    <w:lvl w:ilvl="0" w:tplc="BB9A7FE6">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69175308"/>
    <w:multiLevelType w:val="singleLevel"/>
    <w:tmpl w:val="0409000F"/>
    <w:lvl w:ilvl="0">
      <w:start w:val="1"/>
      <w:numFmt w:val="decimal"/>
      <w:lvlText w:val="%1."/>
      <w:lvlJc w:val="left"/>
      <w:pPr>
        <w:tabs>
          <w:tab w:val="num" w:pos="720"/>
        </w:tabs>
        <w:ind w:left="720" w:hanging="360"/>
      </w:pPr>
    </w:lvl>
  </w:abstractNum>
  <w:abstractNum w:abstractNumId="37">
    <w:nsid w:val="6A8128D5"/>
    <w:multiLevelType w:val="hybridMultilevel"/>
    <w:tmpl w:val="4F70D4D6"/>
    <w:lvl w:ilvl="0" w:tplc="33E073C4">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8D2A86"/>
    <w:multiLevelType w:val="hybridMultilevel"/>
    <w:tmpl w:val="1BD87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1D1188"/>
    <w:multiLevelType w:val="hybridMultilevel"/>
    <w:tmpl w:val="69043E64"/>
    <w:lvl w:ilvl="0" w:tplc="04090017">
      <w:start w:val="1"/>
      <w:numFmt w:val="lowerLetter"/>
      <w:lvlText w:val="%1)"/>
      <w:lvlJc w:val="left"/>
      <w:pPr>
        <w:ind w:left="1436" w:hanging="360"/>
      </w:p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40">
    <w:nsid w:val="6E225CF9"/>
    <w:multiLevelType w:val="hybridMultilevel"/>
    <w:tmpl w:val="ADE4846A"/>
    <w:lvl w:ilvl="0" w:tplc="702262B0">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nsid w:val="76060ECD"/>
    <w:multiLevelType w:val="hybridMultilevel"/>
    <w:tmpl w:val="E18407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9222C0"/>
    <w:multiLevelType w:val="hybridMultilevel"/>
    <w:tmpl w:val="9DA66A14"/>
    <w:lvl w:ilvl="0" w:tplc="702262B0">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3">
    <w:nsid w:val="799C2CA9"/>
    <w:multiLevelType w:val="singleLevel"/>
    <w:tmpl w:val="676ABA38"/>
    <w:lvl w:ilvl="0">
      <w:start w:val="1"/>
      <w:numFmt w:val="upperRoman"/>
      <w:pStyle w:val="BHLevel1"/>
      <w:lvlText w:val="%1."/>
      <w:lvlJc w:val="left"/>
      <w:pPr>
        <w:tabs>
          <w:tab w:val="num" w:pos="720"/>
        </w:tabs>
        <w:ind w:left="720" w:hanging="720"/>
      </w:pPr>
      <w:rPr>
        <w:rFonts w:ascii="Times New Roman" w:hAnsi="Times New Roman" w:hint="default"/>
        <w:b/>
        <w:i w:val="0"/>
        <w:sz w:val="28"/>
        <w:u w:val="none"/>
      </w:rPr>
    </w:lvl>
  </w:abstractNum>
  <w:abstractNum w:abstractNumId="44">
    <w:nsid w:val="7B2174BB"/>
    <w:multiLevelType w:val="hybridMultilevel"/>
    <w:tmpl w:val="E11A31A2"/>
    <w:lvl w:ilvl="0" w:tplc="88325AAE">
      <w:start w:val="1"/>
      <w:numFmt w:val="lowerLetter"/>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7CE07637"/>
    <w:multiLevelType w:val="hybridMultilevel"/>
    <w:tmpl w:val="E92CC39E"/>
    <w:lvl w:ilvl="0" w:tplc="3138BD0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36"/>
  </w:num>
  <w:num w:numId="5">
    <w:abstractNumId w:val="24"/>
  </w:num>
  <w:num w:numId="6">
    <w:abstractNumId w:val="18"/>
  </w:num>
  <w:num w:numId="7">
    <w:abstractNumId w:val="43"/>
  </w:num>
  <w:num w:numId="8">
    <w:abstractNumId w:val="6"/>
  </w:num>
  <w:num w:numId="9">
    <w:abstractNumId w:val="31"/>
  </w:num>
  <w:num w:numId="10">
    <w:abstractNumId w:val="33"/>
  </w:num>
  <w:num w:numId="11">
    <w:abstractNumId w:val="30"/>
  </w:num>
  <w:num w:numId="12">
    <w:abstractNumId w:val="27"/>
  </w:num>
  <w:num w:numId="13">
    <w:abstractNumId w:val="42"/>
  </w:num>
  <w:num w:numId="14">
    <w:abstractNumId w:val="40"/>
  </w:num>
  <w:num w:numId="15">
    <w:abstractNumId w:val="45"/>
  </w:num>
  <w:num w:numId="16">
    <w:abstractNumId w:val="10"/>
  </w:num>
  <w:num w:numId="17">
    <w:abstractNumId w:val="8"/>
  </w:num>
  <w:num w:numId="18">
    <w:abstractNumId w:val="22"/>
  </w:num>
  <w:num w:numId="19">
    <w:abstractNumId w:val="25"/>
  </w:num>
  <w:num w:numId="20">
    <w:abstractNumId w:val="29"/>
  </w:num>
  <w:num w:numId="21">
    <w:abstractNumId w:val="21"/>
  </w:num>
  <w:num w:numId="22">
    <w:abstractNumId w:val="41"/>
  </w:num>
  <w:num w:numId="23">
    <w:abstractNumId w:val="4"/>
  </w:num>
  <w:num w:numId="24">
    <w:abstractNumId w:val="7"/>
  </w:num>
  <w:num w:numId="25">
    <w:abstractNumId w:val="44"/>
  </w:num>
  <w:num w:numId="26">
    <w:abstractNumId w:val="35"/>
  </w:num>
  <w:num w:numId="27">
    <w:abstractNumId w:val="17"/>
  </w:num>
  <w:num w:numId="28">
    <w:abstractNumId w:val="28"/>
  </w:num>
  <w:num w:numId="29">
    <w:abstractNumId w:val="39"/>
  </w:num>
  <w:num w:numId="30">
    <w:abstractNumId w:val="34"/>
  </w:num>
  <w:num w:numId="31">
    <w:abstractNumId w:val="16"/>
  </w:num>
  <w:num w:numId="32">
    <w:abstractNumId w:val="3"/>
  </w:num>
  <w:num w:numId="33">
    <w:abstractNumId w:val="15"/>
  </w:num>
  <w:num w:numId="34">
    <w:abstractNumId w:val="2"/>
  </w:num>
  <w:num w:numId="35">
    <w:abstractNumId w:val="38"/>
  </w:num>
  <w:num w:numId="36">
    <w:abstractNumId w:val="13"/>
  </w:num>
  <w:num w:numId="37">
    <w:abstractNumId w:val="19"/>
  </w:num>
  <w:num w:numId="38">
    <w:abstractNumId w:val="32"/>
  </w:num>
  <w:num w:numId="39">
    <w:abstractNumId w:val="37"/>
  </w:num>
  <w:num w:numId="40">
    <w:abstractNumId w:val="26"/>
  </w:num>
  <w:num w:numId="41">
    <w:abstractNumId w:val="5"/>
  </w:num>
  <w:num w:numId="42">
    <w:abstractNumId w:val="12"/>
  </w:num>
  <w:num w:numId="43">
    <w:abstractNumId w:val="9"/>
  </w:num>
  <w:num w:numId="44">
    <w:abstractNumId w:val="23"/>
  </w:num>
  <w:num w:numId="45">
    <w:abstractNumId w:val="20"/>
  </w:num>
  <w:num w:numId="46">
    <w:abstractNumId w:val="1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14106"/>
    <w:rsid w:val="00002E69"/>
    <w:rsid w:val="00003CF5"/>
    <w:rsid w:val="000055D5"/>
    <w:rsid w:val="00007891"/>
    <w:rsid w:val="00010922"/>
    <w:rsid w:val="000229BA"/>
    <w:rsid w:val="00024E21"/>
    <w:rsid w:val="00035671"/>
    <w:rsid w:val="0004231E"/>
    <w:rsid w:val="0004419D"/>
    <w:rsid w:val="000611BB"/>
    <w:rsid w:val="00061754"/>
    <w:rsid w:val="00062693"/>
    <w:rsid w:val="00064AF5"/>
    <w:rsid w:val="000658ED"/>
    <w:rsid w:val="00065D1D"/>
    <w:rsid w:val="000670FA"/>
    <w:rsid w:val="000671C0"/>
    <w:rsid w:val="00081DC2"/>
    <w:rsid w:val="00085F3E"/>
    <w:rsid w:val="000A1004"/>
    <w:rsid w:val="000A56BF"/>
    <w:rsid w:val="000B0ED9"/>
    <w:rsid w:val="000B3C66"/>
    <w:rsid w:val="000B5317"/>
    <w:rsid w:val="000B62C1"/>
    <w:rsid w:val="000C13DC"/>
    <w:rsid w:val="000C1C81"/>
    <w:rsid w:val="000C2E03"/>
    <w:rsid w:val="000C450A"/>
    <w:rsid w:val="000C5AF1"/>
    <w:rsid w:val="000D0924"/>
    <w:rsid w:val="000D3659"/>
    <w:rsid w:val="000E04F2"/>
    <w:rsid w:val="000E0EDD"/>
    <w:rsid w:val="000E23F3"/>
    <w:rsid w:val="000E39FF"/>
    <w:rsid w:val="000F1C0E"/>
    <w:rsid w:val="001033FC"/>
    <w:rsid w:val="001035FE"/>
    <w:rsid w:val="001123AE"/>
    <w:rsid w:val="00115C26"/>
    <w:rsid w:val="001226FE"/>
    <w:rsid w:val="001248A6"/>
    <w:rsid w:val="00124C35"/>
    <w:rsid w:val="00130731"/>
    <w:rsid w:val="0013305F"/>
    <w:rsid w:val="00134B44"/>
    <w:rsid w:val="00135803"/>
    <w:rsid w:val="00136B66"/>
    <w:rsid w:val="00142881"/>
    <w:rsid w:val="00145C5E"/>
    <w:rsid w:val="001476B5"/>
    <w:rsid w:val="001479AA"/>
    <w:rsid w:val="001558E1"/>
    <w:rsid w:val="00155FDB"/>
    <w:rsid w:val="00156F2E"/>
    <w:rsid w:val="00157694"/>
    <w:rsid w:val="00163463"/>
    <w:rsid w:val="00165CBD"/>
    <w:rsid w:val="0016772D"/>
    <w:rsid w:val="001712C1"/>
    <w:rsid w:val="00174DCA"/>
    <w:rsid w:val="00176420"/>
    <w:rsid w:val="00180653"/>
    <w:rsid w:val="00186683"/>
    <w:rsid w:val="00186943"/>
    <w:rsid w:val="00191FC1"/>
    <w:rsid w:val="0019298E"/>
    <w:rsid w:val="00194105"/>
    <w:rsid w:val="001A6B09"/>
    <w:rsid w:val="001B7A76"/>
    <w:rsid w:val="001C03A3"/>
    <w:rsid w:val="001C03D3"/>
    <w:rsid w:val="001D0C8E"/>
    <w:rsid w:val="001F1DAD"/>
    <w:rsid w:val="00201BB0"/>
    <w:rsid w:val="00210E88"/>
    <w:rsid w:val="00213759"/>
    <w:rsid w:val="002150EA"/>
    <w:rsid w:val="00217F7A"/>
    <w:rsid w:val="002207BE"/>
    <w:rsid w:val="002235F3"/>
    <w:rsid w:val="00225B6A"/>
    <w:rsid w:val="0022753A"/>
    <w:rsid w:val="00230026"/>
    <w:rsid w:val="002327EC"/>
    <w:rsid w:val="00232C6E"/>
    <w:rsid w:val="002351CC"/>
    <w:rsid w:val="00236583"/>
    <w:rsid w:val="0024308F"/>
    <w:rsid w:val="0025092F"/>
    <w:rsid w:val="00253555"/>
    <w:rsid w:val="00254388"/>
    <w:rsid w:val="00255EE1"/>
    <w:rsid w:val="002566B9"/>
    <w:rsid w:val="002615D5"/>
    <w:rsid w:val="00261C1A"/>
    <w:rsid w:val="00265AD2"/>
    <w:rsid w:val="00266F9B"/>
    <w:rsid w:val="00283218"/>
    <w:rsid w:val="002947FC"/>
    <w:rsid w:val="002A3DCC"/>
    <w:rsid w:val="002B4E89"/>
    <w:rsid w:val="002B6C30"/>
    <w:rsid w:val="002D2C84"/>
    <w:rsid w:val="002D7A56"/>
    <w:rsid w:val="002E4775"/>
    <w:rsid w:val="002E58E4"/>
    <w:rsid w:val="002F0F66"/>
    <w:rsid w:val="002F227D"/>
    <w:rsid w:val="00302B6A"/>
    <w:rsid w:val="00305B86"/>
    <w:rsid w:val="00306763"/>
    <w:rsid w:val="003171AB"/>
    <w:rsid w:val="00317E9A"/>
    <w:rsid w:val="00327890"/>
    <w:rsid w:val="003312F2"/>
    <w:rsid w:val="00337DFC"/>
    <w:rsid w:val="00345816"/>
    <w:rsid w:val="00347579"/>
    <w:rsid w:val="003537F0"/>
    <w:rsid w:val="003544D9"/>
    <w:rsid w:val="00354B4B"/>
    <w:rsid w:val="00367096"/>
    <w:rsid w:val="0037007C"/>
    <w:rsid w:val="00372163"/>
    <w:rsid w:val="00373A00"/>
    <w:rsid w:val="003759EA"/>
    <w:rsid w:val="0037611B"/>
    <w:rsid w:val="0037750C"/>
    <w:rsid w:val="00383245"/>
    <w:rsid w:val="003930A8"/>
    <w:rsid w:val="003A78A3"/>
    <w:rsid w:val="003B11B7"/>
    <w:rsid w:val="003B4518"/>
    <w:rsid w:val="003B5DDA"/>
    <w:rsid w:val="003B6E93"/>
    <w:rsid w:val="003B7372"/>
    <w:rsid w:val="003C0AEE"/>
    <w:rsid w:val="003C1A2F"/>
    <w:rsid w:val="003C2C05"/>
    <w:rsid w:val="003D19DD"/>
    <w:rsid w:val="003D6D76"/>
    <w:rsid w:val="003F38BD"/>
    <w:rsid w:val="00401E04"/>
    <w:rsid w:val="00404B66"/>
    <w:rsid w:val="00407122"/>
    <w:rsid w:val="00411599"/>
    <w:rsid w:val="00412DD6"/>
    <w:rsid w:val="004133E5"/>
    <w:rsid w:val="004155AD"/>
    <w:rsid w:val="00417A9F"/>
    <w:rsid w:val="0042277B"/>
    <w:rsid w:val="00422C7F"/>
    <w:rsid w:val="004277A3"/>
    <w:rsid w:val="00436B64"/>
    <w:rsid w:val="00440AC6"/>
    <w:rsid w:val="00443A26"/>
    <w:rsid w:val="004512A5"/>
    <w:rsid w:val="00455321"/>
    <w:rsid w:val="0046273D"/>
    <w:rsid w:val="00465FFF"/>
    <w:rsid w:val="004665B2"/>
    <w:rsid w:val="004779B6"/>
    <w:rsid w:val="00493307"/>
    <w:rsid w:val="00493660"/>
    <w:rsid w:val="004A28B7"/>
    <w:rsid w:val="004A4156"/>
    <w:rsid w:val="004A7496"/>
    <w:rsid w:val="004B446C"/>
    <w:rsid w:val="004B4661"/>
    <w:rsid w:val="004B4E49"/>
    <w:rsid w:val="004B54C0"/>
    <w:rsid w:val="004C0104"/>
    <w:rsid w:val="004C1CCF"/>
    <w:rsid w:val="004C3A89"/>
    <w:rsid w:val="004D1A92"/>
    <w:rsid w:val="004D1FBA"/>
    <w:rsid w:val="004D4E0D"/>
    <w:rsid w:val="004D7B63"/>
    <w:rsid w:val="004E6F7F"/>
    <w:rsid w:val="004F1897"/>
    <w:rsid w:val="004F4EC9"/>
    <w:rsid w:val="004F6378"/>
    <w:rsid w:val="005004EC"/>
    <w:rsid w:val="0051146A"/>
    <w:rsid w:val="00512311"/>
    <w:rsid w:val="00520240"/>
    <w:rsid w:val="005223CA"/>
    <w:rsid w:val="00523022"/>
    <w:rsid w:val="0052544A"/>
    <w:rsid w:val="00533171"/>
    <w:rsid w:val="005370B2"/>
    <w:rsid w:val="0053731C"/>
    <w:rsid w:val="00541B4B"/>
    <w:rsid w:val="00553625"/>
    <w:rsid w:val="00561623"/>
    <w:rsid w:val="005624F9"/>
    <w:rsid w:val="005640A2"/>
    <w:rsid w:val="00566D76"/>
    <w:rsid w:val="00567B4B"/>
    <w:rsid w:val="005755D8"/>
    <w:rsid w:val="00577BF9"/>
    <w:rsid w:val="00577C32"/>
    <w:rsid w:val="005807C5"/>
    <w:rsid w:val="0058257F"/>
    <w:rsid w:val="00584474"/>
    <w:rsid w:val="00584F51"/>
    <w:rsid w:val="005910BC"/>
    <w:rsid w:val="00593F7B"/>
    <w:rsid w:val="00596328"/>
    <w:rsid w:val="005A0372"/>
    <w:rsid w:val="005A29C8"/>
    <w:rsid w:val="005B389A"/>
    <w:rsid w:val="005C0553"/>
    <w:rsid w:val="005C0DB0"/>
    <w:rsid w:val="005D2D43"/>
    <w:rsid w:val="005E03C5"/>
    <w:rsid w:val="005E2261"/>
    <w:rsid w:val="005E5045"/>
    <w:rsid w:val="005E7600"/>
    <w:rsid w:val="005E7A10"/>
    <w:rsid w:val="005F1E85"/>
    <w:rsid w:val="005F291D"/>
    <w:rsid w:val="005F690B"/>
    <w:rsid w:val="00602064"/>
    <w:rsid w:val="00605A3F"/>
    <w:rsid w:val="006060FA"/>
    <w:rsid w:val="006062E3"/>
    <w:rsid w:val="006071F2"/>
    <w:rsid w:val="00610E83"/>
    <w:rsid w:val="00617FED"/>
    <w:rsid w:val="00622C18"/>
    <w:rsid w:val="00633AC3"/>
    <w:rsid w:val="00634B82"/>
    <w:rsid w:val="006358DB"/>
    <w:rsid w:val="00637D83"/>
    <w:rsid w:val="0064099D"/>
    <w:rsid w:val="006439E4"/>
    <w:rsid w:val="0065036A"/>
    <w:rsid w:val="00651DDB"/>
    <w:rsid w:val="00661E48"/>
    <w:rsid w:val="00664E30"/>
    <w:rsid w:val="0066635E"/>
    <w:rsid w:val="00666E96"/>
    <w:rsid w:val="00667FD9"/>
    <w:rsid w:val="00670EB2"/>
    <w:rsid w:val="0067153D"/>
    <w:rsid w:val="00673B34"/>
    <w:rsid w:val="006767A4"/>
    <w:rsid w:val="006773B4"/>
    <w:rsid w:val="00680605"/>
    <w:rsid w:val="0068742C"/>
    <w:rsid w:val="006926F0"/>
    <w:rsid w:val="00693350"/>
    <w:rsid w:val="00694D53"/>
    <w:rsid w:val="00697B10"/>
    <w:rsid w:val="006A0E22"/>
    <w:rsid w:val="006A7348"/>
    <w:rsid w:val="006B00F6"/>
    <w:rsid w:val="006B1A9A"/>
    <w:rsid w:val="006B3D97"/>
    <w:rsid w:val="006B6109"/>
    <w:rsid w:val="006C274C"/>
    <w:rsid w:val="006C37A0"/>
    <w:rsid w:val="006C663A"/>
    <w:rsid w:val="006D2C2F"/>
    <w:rsid w:val="006D47E3"/>
    <w:rsid w:val="006D4F26"/>
    <w:rsid w:val="006E2763"/>
    <w:rsid w:val="006E621A"/>
    <w:rsid w:val="006E6429"/>
    <w:rsid w:val="006E668D"/>
    <w:rsid w:val="006F00F4"/>
    <w:rsid w:val="006F0682"/>
    <w:rsid w:val="006F3013"/>
    <w:rsid w:val="006F4A20"/>
    <w:rsid w:val="00703761"/>
    <w:rsid w:val="00706E4C"/>
    <w:rsid w:val="00707BA0"/>
    <w:rsid w:val="00710946"/>
    <w:rsid w:val="00720B1A"/>
    <w:rsid w:val="00724AFC"/>
    <w:rsid w:val="00725F9F"/>
    <w:rsid w:val="007331D7"/>
    <w:rsid w:val="00733A47"/>
    <w:rsid w:val="00734CAA"/>
    <w:rsid w:val="0073657B"/>
    <w:rsid w:val="00736965"/>
    <w:rsid w:val="00740062"/>
    <w:rsid w:val="00742593"/>
    <w:rsid w:val="00742E3B"/>
    <w:rsid w:val="00746F1E"/>
    <w:rsid w:val="00750162"/>
    <w:rsid w:val="00750E12"/>
    <w:rsid w:val="00751820"/>
    <w:rsid w:val="00752593"/>
    <w:rsid w:val="00754A65"/>
    <w:rsid w:val="007554DE"/>
    <w:rsid w:val="007561AF"/>
    <w:rsid w:val="00757272"/>
    <w:rsid w:val="007615CE"/>
    <w:rsid w:val="00762F36"/>
    <w:rsid w:val="007807A6"/>
    <w:rsid w:val="007851AF"/>
    <w:rsid w:val="00787B1F"/>
    <w:rsid w:val="00792213"/>
    <w:rsid w:val="007A4FD0"/>
    <w:rsid w:val="007A6572"/>
    <w:rsid w:val="007A6C29"/>
    <w:rsid w:val="007B5B1A"/>
    <w:rsid w:val="007C38C5"/>
    <w:rsid w:val="007C3CA4"/>
    <w:rsid w:val="007D6036"/>
    <w:rsid w:val="007D6219"/>
    <w:rsid w:val="007E12C9"/>
    <w:rsid w:val="007E254C"/>
    <w:rsid w:val="007E3CBB"/>
    <w:rsid w:val="007F238D"/>
    <w:rsid w:val="007F2F49"/>
    <w:rsid w:val="00802484"/>
    <w:rsid w:val="00803A17"/>
    <w:rsid w:val="00807357"/>
    <w:rsid w:val="0080784D"/>
    <w:rsid w:val="00807EBC"/>
    <w:rsid w:val="00820328"/>
    <w:rsid w:val="0083091D"/>
    <w:rsid w:val="008330FB"/>
    <w:rsid w:val="00834417"/>
    <w:rsid w:val="00842D1C"/>
    <w:rsid w:val="008519C9"/>
    <w:rsid w:val="00852C4E"/>
    <w:rsid w:val="00852FA1"/>
    <w:rsid w:val="0085661C"/>
    <w:rsid w:val="00864D74"/>
    <w:rsid w:val="00866337"/>
    <w:rsid w:val="008715F4"/>
    <w:rsid w:val="00872213"/>
    <w:rsid w:val="00893991"/>
    <w:rsid w:val="008A0D86"/>
    <w:rsid w:val="008A2BF5"/>
    <w:rsid w:val="008B106E"/>
    <w:rsid w:val="008B2555"/>
    <w:rsid w:val="008B49BE"/>
    <w:rsid w:val="008C1061"/>
    <w:rsid w:val="008C3DD1"/>
    <w:rsid w:val="008C59EE"/>
    <w:rsid w:val="008C6590"/>
    <w:rsid w:val="008D1286"/>
    <w:rsid w:val="008D64EC"/>
    <w:rsid w:val="008E06FC"/>
    <w:rsid w:val="008E514F"/>
    <w:rsid w:val="008E6F00"/>
    <w:rsid w:val="008F0120"/>
    <w:rsid w:val="008F2B07"/>
    <w:rsid w:val="00901710"/>
    <w:rsid w:val="009102A5"/>
    <w:rsid w:val="00913B7A"/>
    <w:rsid w:val="00916238"/>
    <w:rsid w:val="00916DBF"/>
    <w:rsid w:val="00925F26"/>
    <w:rsid w:val="00931BC1"/>
    <w:rsid w:val="009333BD"/>
    <w:rsid w:val="00934380"/>
    <w:rsid w:val="009371C0"/>
    <w:rsid w:val="0094009B"/>
    <w:rsid w:val="009449A9"/>
    <w:rsid w:val="00945EEA"/>
    <w:rsid w:val="009506B1"/>
    <w:rsid w:val="00951E5B"/>
    <w:rsid w:val="00953139"/>
    <w:rsid w:val="00955040"/>
    <w:rsid w:val="00956314"/>
    <w:rsid w:val="00956A26"/>
    <w:rsid w:val="009622F3"/>
    <w:rsid w:val="009734DD"/>
    <w:rsid w:val="00974787"/>
    <w:rsid w:val="0099457A"/>
    <w:rsid w:val="0099521B"/>
    <w:rsid w:val="009A0D26"/>
    <w:rsid w:val="009A51F4"/>
    <w:rsid w:val="009A52A0"/>
    <w:rsid w:val="009B20FE"/>
    <w:rsid w:val="009B2C92"/>
    <w:rsid w:val="009B4053"/>
    <w:rsid w:val="009B517F"/>
    <w:rsid w:val="009B588B"/>
    <w:rsid w:val="009C6AE7"/>
    <w:rsid w:val="009C6B14"/>
    <w:rsid w:val="009D17EE"/>
    <w:rsid w:val="009D4675"/>
    <w:rsid w:val="009D7F43"/>
    <w:rsid w:val="009E1095"/>
    <w:rsid w:val="009E4696"/>
    <w:rsid w:val="009E48C9"/>
    <w:rsid w:val="009E603A"/>
    <w:rsid w:val="009E7B51"/>
    <w:rsid w:val="009F04DF"/>
    <w:rsid w:val="009F243B"/>
    <w:rsid w:val="009F35B4"/>
    <w:rsid w:val="009F419B"/>
    <w:rsid w:val="00A06C27"/>
    <w:rsid w:val="00A0725D"/>
    <w:rsid w:val="00A103D8"/>
    <w:rsid w:val="00A113CF"/>
    <w:rsid w:val="00A162F2"/>
    <w:rsid w:val="00A203F5"/>
    <w:rsid w:val="00A24CED"/>
    <w:rsid w:val="00A25BD5"/>
    <w:rsid w:val="00A2623C"/>
    <w:rsid w:val="00A31F82"/>
    <w:rsid w:val="00A35003"/>
    <w:rsid w:val="00A36F9E"/>
    <w:rsid w:val="00A379AD"/>
    <w:rsid w:val="00A45684"/>
    <w:rsid w:val="00A46C80"/>
    <w:rsid w:val="00A550A9"/>
    <w:rsid w:val="00A60F6D"/>
    <w:rsid w:val="00A61832"/>
    <w:rsid w:val="00A6272D"/>
    <w:rsid w:val="00A65544"/>
    <w:rsid w:val="00A73EF1"/>
    <w:rsid w:val="00A92E80"/>
    <w:rsid w:val="00A94C3C"/>
    <w:rsid w:val="00AA18FA"/>
    <w:rsid w:val="00AA59B8"/>
    <w:rsid w:val="00AC527A"/>
    <w:rsid w:val="00AC5A61"/>
    <w:rsid w:val="00AD0841"/>
    <w:rsid w:val="00AD546D"/>
    <w:rsid w:val="00AE178C"/>
    <w:rsid w:val="00AF33EE"/>
    <w:rsid w:val="00AF6217"/>
    <w:rsid w:val="00AF7BCD"/>
    <w:rsid w:val="00B00DDC"/>
    <w:rsid w:val="00B03A95"/>
    <w:rsid w:val="00B05942"/>
    <w:rsid w:val="00B06DF0"/>
    <w:rsid w:val="00B10968"/>
    <w:rsid w:val="00B10EE8"/>
    <w:rsid w:val="00B1782E"/>
    <w:rsid w:val="00B1784C"/>
    <w:rsid w:val="00B261E8"/>
    <w:rsid w:val="00B31BD6"/>
    <w:rsid w:val="00B43EAD"/>
    <w:rsid w:val="00B440AF"/>
    <w:rsid w:val="00B44968"/>
    <w:rsid w:val="00B5182E"/>
    <w:rsid w:val="00B5280B"/>
    <w:rsid w:val="00B52B14"/>
    <w:rsid w:val="00B530EB"/>
    <w:rsid w:val="00B551F4"/>
    <w:rsid w:val="00B5587A"/>
    <w:rsid w:val="00B60A72"/>
    <w:rsid w:val="00B61446"/>
    <w:rsid w:val="00B61713"/>
    <w:rsid w:val="00B61D57"/>
    <w:rsid w:val="00B62CA9"/>
    <w:rsid w:val="00B63217"/>
    <w:rsid w:val="00B66BF3"/>
    <w:rsid w:val="00B7221F"/>
    <w:rsid w:val="00B74DF3"/>
    <w:rsid w:val="00B75288"/>
    <w:rsid w:val="00B7561E"/>
    <w:rsid w:val="00B75FA5"/>
    <w:rsid w:val="00B87331"/>
    <w:rsid w:val="00B95DAC"/>
    <w:rsid w:val="00B965EA"/>
    <w:rsid w:val="00BA2449"/>
    <w:rsid w:val="00BA66BF"/>
    <w:rsid w:val="00BB1BF5"/>
    <w:rsid w:val="00BC2C48"/>
    <w:rsid w:val="00BD0727"/>
    <w:rsid w:val="00BD239B"/>
    <w:rsid w:val="00BD3EFF"/>
    <w:rsid w:val="00BD3F8E"/>
    <w:rsid w:val="00BD5D47"/>
    <w:rsid w:val="00BD6EE7"/>
    <w:rsid w:val="00BE43D8"/>
    <w:rsid w:val="00BE48B9"/>
    <w:rsid w:val="00BE4A3F"/>
    <w:rsid w:val="00BF0FDB"/>
    <w:rsid w:val="00BF31DE"/>
    <w:rsid w:val="00BF49EA"/>
    <w:rsid w:val="00C00537"/>
    <w:rsid w:val="00C07D18"/>
    <w:rsid w:val="00C07E4D"/>
    <w:rsid w:val="00C10267"/>
    <w:rsid w:val="00C10F1F"/>
    <w:rsid w:val="00C13927"/>
    <w:rsid w:val="00C15496"/>
    <w:rsid w:val="00C205C8"/>
    <w:rsid w:val="00C22326"/>
    <w:rsid w:val="00C23771"/>
    <w:rsid w:val="00C256EB"/>
    <w:rsid w:val="00C32ED3"/>
    <w:rsid w:val="00C36410"/>
    <w:rsid w:val="00C41B08"/>
    <w:rsid w:val="00C44317"/>
    <w:rsid w:val="00C5043B"/>
    <w:rsid w:val="00C50754"/>
    <w:rsid w:val="00C5389E"/>
    <w:rsid w:val="00C54E20"/>
    <w:rsid w:val="00C57208"/>
    <w:rsid w:val="00C60656"/>
    <w:rsid w:val="00C657B3"/>
    <w:rsid w:val="00C7537A"/>
    <w:rsid w:val="00C77D87"/>
    <w:rsid w:val="00C77E7E"/>
    <w:rsid w:val="00C86322"/>
    <w:rsid w:val="00C923AB"/>
    <w:rsid w:val="00C92771"/>
    <w:rsid w:val="00C92D2E"/>
    <w:rsid w:val="00CA08A7"/>
    <w:rsid w:val="00CA1585"/>
    <w:rsid w:val="00CA19D8"/>
    <w:rsid w:val="00CA4F4B"/>
    <w:rsid w:val="00CB33F0"/>
    <w:rsid w:val="00CB4B37"/>
    <w:rsid w:val="00CB542D"/>
    <w:rsid w:val="00CC05B6"/>
    <w:rsid w:val="00CC3819"/>
    <w:rsid w:val="00CD7869"/>
    <w:rsid w:val="00CD7DDE"/>
    <w:rsid w:val="00CE30DF"/>
    <w:rsid w:val="00CE4D3B"/>
    <w:rsid w:val="00CE4E9B"/>
    <w:rsid w:val="00CF1DF2"/>
    <w:rsid w:val="00CF236D"/>
    <w:rsid w:val="00CF4D72"/>
    <w:rsid w:val="00D03052"/>
    <w:rsid w:val="00D05C78"/>
    <w:rsid w:val="00D13CCD"/>
    <w:rsid w:val="00D3053F"/>
    <w:rsid w:val="00D4154E"/>
    <w:rsid w:val="00D46449"/>
    <w:rsid w:val="00D51C40"/>
    <w:rsid w:val="00D51E24"/>
    <w:rsid w:val="00D526D1"/>
    <w:rsid w:val="00D52F5B"/>
    <w:rsid w:val="00D6129E"/>
    <w:rsid w:val="00D625B8"/>
    <w:rsid w:val="00D64D52"/>
    <w:rsid w:val="00D70B2B"/>
    <w:rsid w:val="00D732D6"/>
    <w:rsid w:val="00D73550"/>
    <w:rsid w:val="00D7612B"/>
    <w:rsid w:val="00D7762B"/>
    <w:rsid w:val="00D85102"/>
    <w:rsid w:val="00D86230"/>
    <w:rsid w:val="00D94012"/>
    <w:rsid w:val="00D96504"/>
    <w:rsid w:val="00DA2D01"/>
    <w:rsid w:val="00DA6510"/>
    <w:rsid w:val="00DB0412"/>
    <w:rsid w:val="00DB098B"/>
    <w:rsid w:val="00DB132C"/>
    <w:rsid w:val="00DB472F"/>
    <w:rsid w:val="00DB599D"/>
    <w:rsid w:val="00DB77DA"/>
    <w:rsid w:val="00DC03C9"/>
    <w:rsid w:val="00DC3132"/>
    <w:rsid w:val="00DC5337"/>
    <w:rsid w:val="00DD1189"/>
    <w:rsid w:val="00DD252E"/>
    <w:rsid w:val="00DD3137"/>
    <w:rsid w:val="00DD4180"/>
    <w:rsid w:val="00DD6DB6"/>
    <w:rsid w:val="00DD6F87"/>
    <w:rsid w:val="00DE0674"/>
    <w:rsid w:val="00DE71F1"/>
    <w:rsid w:val="00DF7E1B"/>
    <w:rsid w:val="00E00DB7"/>
    <w:rsid w:val="00E01F25"/>
    <w:rsid w:val="00E03CAF"/>
    <w:rsid w:val="00E047DD"/>
    <w:rsid w:val="00E05C6F"/>
    <w:rsid w:val="00E10723"/>
    <w:rsid w:val="00E17792"/>
    <w:rsid w:val="00E22E02"/>
    <w:rsid w:val="00E2301C"/>
    <w:rsid w:val="00E312B2"/>
    <w:rsid w:val="00E34860"/>
    <w:rsid w:val="00E36D52"/>
    <w:rsid w:val="00E37FA5"/>
    <w:rsid w:val="00E4016A"/>
    <w:rsid w:val="00E434D0"/>
    <w:rsid w:val="00E46099"/>
    <w:rsid w:val="00E467E8"/>
    <w:rsid w:val="00E4793C"/>
    <w:rsid w:val="00E5385F"/>
    <w:rsid w:val="00E61632"/>
    <w:rsid w:val="00E638CF"/>
    <w:rsid w:val="00E63A75"/>
    <w:rsid w:val="00E66E39"/>
    <w:rsid w:val="00E7226D"/>
    <w:rsid w:val="00E7300A"/>
    <w:rsid w:val="00E75576"/>
    <w:rsid w:val="00E81B56"/>
    <w:rsid w:val="00E84124"/>
    <w:rsid w:val="00E864F4"/>
    <w:rsid w:val="00E87E96"/>
    <w:rsid w:val="00E90433"/>
    <w:rsid w:val="00E91FBC"/>
    <w:rsid w:val="00E95667"/>
    <w:rsid w:val="00E97751"/>
    <w:rsid w:val="00EA0F06"/>
    <w:rsid w:val="00EB135C"/>
    <w:rsid w:val="00EB2159"/>
    <w:rsid w:val="00EC0C5D"/>
    <w:rsid w:val="00EC1C1B"/>
    <w:rsid w:val="00EC453A"/>
    <w:rsid w:val="00ED368D"/>
    <w:rsid w:val="00ED5931"/>
    <w:rsid w:val="00ED5A85"/>
    <w:rsid w:val="00ED77C1"/>
    <w:rsid w:val="00EE4DE2"/>
    <w:rsid w:val="00EF2C37"/>
    <w:rsid w:val="00F04B62"/>
    <w:rsid w:val="00F05AEC"/>
    <w:rsid w:val="00F069AA"/>
    <w:rsid w:val="00F14106"/>
    <w:rsid w:val="00F14EE6"/>
    <w:rsid w:val="00F1730E"/>
    <w:rsid w:val="00F17763"/>
    <w:rsid w:val="00F21AC3"/>
    <w:rsid w:val="00F21F0C"/>
    <w:rsid w:val="00F239D9"/>
    <w:rsid w:val="00F24380"/>
    <w:rsid w:val="00F249D9"/>
    <w:rsid w:val="00F33500"/>
    <w:rsid w:val="00F46E13"/>
    <w:rsid w:val="00F473DF"/>
    <w:rsid w:val="00F52DBA"/>
    <w:rsid w:val="00F54869"/>
    <w:rsid w:val="00F57221"/>
    <w:rsid w:val="00F61EAF"/>
    <w:rsid w:val="00F76C84"/>
    <w:rsid w:val="00F80A8D"/>
    <w:rsid w:val="00F84BD3"/>
    <w:rsid w:val="00F96221"/>
    <w:rsid w:val="00F97516"/>
    <w:rsid w:val="00FB3737"/>
    <w:rsid w:val="00FC0B2B"/>
    <w:rsid w:val="00FC1A3B"/>
    <w:rsid w:val="00FC5775"/>
    <w:rsid w:val="00FC5FB1"/>
    <w:rsid w:val="00FC6992"/>
    <w:rsid w:val="00FD1CFD"/>
    <w:rsid w:val="00FD5932"/>
    <w:rsid w:val="00FD68FC"/>
    <w:rsid w:val="00FE3BEF"/>
    <w:rsid w:val="00FE74C2"/>
    <w:rsid w:val="00FE7A14"/>
    <w:rsid w:val="00FF1A49"/>
    <w:rsid w:val="00FF455A"/>
    <w:rsid w:val="00FF4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semiHidden/>
    <w:rsid w:val="00CB4B37"/>
    <w:rPr>
      <w:sz w:val="24"/>
    </w:rPr>
  </w:style>
  <w:style w:type="paragraph" w:styleId="Header">
    <w:name w:val="header"/>
    <w:basedOn w:val="Normal"/>
    <w:semiHidden/>
    <w:rsid w:val="00CB4B37"/>
    <w:pPr>
      <w:tabs>
        <w:tab w:val="center" w:pos="4320"/>
        <w:tab w:val="right" w:pos="8640"/>
      </w:tabs>
    </w:pPr>
  </w:style>
  <w:style w:type="paragraph" w:styleId="Footer">
    <w:name w:val="footer"/>
    <w:basedOn w:val="Normal"/>
    <w:semiHidden/>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8"/>
      </w:numPr>
      <w:spacing w:before="240" w:after="240"/>
      <w:outlineLvl w:val="1"/>
    </w:pPr>
    <w:rPr>
      <w:b/>
      <w:sz w:val="24"/>
      <w:u w:val="single"/>
    </w:rPr>
  </w:style>
  <w:style w:type="paragraph" w:customStyle="1" w:styleId="BHLevel1">
    <w:name w:val="BHLevel1"/>
    <w:basedOn w:val="Normal"/>
    <w:next w:val="Normal"/>
    <w:rsid w:val="00CB4B37"/>
    <w:pPr>
      <w:numPr>
        <w:numId w:val="7"/>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semiHidden/>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uiPriority w:val="59"/>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uiPriority w:val="99"/>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paragraph" w:styleId="NoSpacing">
    <w:name w:val="No Spacing"/>
    <w:uiPriority w:val="1"/>
    <w:qFormat/>
    <w:rsid w:val="006E6429"/>
    <w:rPr>
      <w:rFonts w:ascii="Calibri" w:eastAsia="Calibri" w:hAnsi="Calibri"/>
      <w:sz w:val="22"/>
      <w:szCs w:val="22"/>
    </w:rPr>
  </w:style>
  <w:style w:type="paragraph" w:styleId="EndnoteText">
    <w:name w:val="endnote text"/>
    <w:basedOn w:val="Normal"/>
    <w:link w:val="EndnoteTextChar"/>
    <w:uiPriority w:val="99"/>
    <w:semiHidden/>
    <w:unhideWhenUsed/>
    <w:rsid w:val="007B5B1A"/>
  </w:style>
  <w:style w:type="character" w:customStyle="1" w:styleId="EndnoteTextChar">
    <w:name w:val="Endnote Text Char"/>
    <w:basedOn w:val="DefaultParagraphFont"/>
    <w:link w:val="EndnoteText"/>
    <w:uiPriority w:val="99"/>
    <w:semiHidden/>
    <w:rsid w:val="007B5B1A"/>
  </w:style>
  <w:style w:type="character" w:styleId="EndnoteReference">
    <w:name w:val="endnote reference"/>
    <w:basedOn w:val="DefaultParagraphFont"/>
    <w:uiPriority w:val="99"/>
    <w:semiHidden/>
    <w:unhideWhenUsed/>
    <w:rsid w:val="007B5B1A"/>
    <w:rPr>
      <w:vertAlign w:val="superscript"/>
    </w:rPr>
  </w:style>
</w:styles>
</file>

<file path=word/webSettings.xml><?xml version="1.0" encoding="utf-8"?>
<w:webSettings xmlns:r="http://schemas.openxmlformats.org/officeDocument/2006/relationships" xmlns:w="http://schemas.openxmlformats.org/wordprocessingml/2006/main">
  <w:divs>
    <w:div w:id="99450667">
      <w:bodyDiv w:val="1"/>
      <w:marLeft w:val="0"/>
      <w:marRight w:val="0"/>
      <w:marTop w:val="0"/>
      <w:marBottom w:val="0"/>
      <w:divBdr>
        <w:top w:val="none" w:sz="0" w:space="0" w:color="auto"/>
        <w:left w:val="none" w:sz="0" w:space="0" w:color="auto"/>
        <w:bottom w:val="none" w:sz="0" w:space="0" w:color="auto"/>
        <w:right w:val="none" w:sz="0" w:space="0" w:color="auto"/>
      </w:divBdr>
    </w:div>
    <w:div w:id="307591066">
      <w:bodyDiv w:val="1"/>
      <w:marLeft w:val="0"/>
      <w:marRight w:val="0"/>
      <w:marTop w:val="0"/>
      <w:marBottom w:val="0"/>
      <w:divBdr>
        <w:top w:val="none" w:sz="0" w:space="0" w:color="auto"/>
        <w:left w:val="none" w:sz="0" w:space="0" w:color="auto"/>
        <w:bottom w:val="none" w:sz="0" w:space="0" w:color="auto"/>
        <w:right w:val="none" w:sz="0" w:space="0" w:color="auto"/>
      </w:divBdr>
      <w:divsChild>
        <w:div w:id="720908018">
          <w:marLeft w:val="0"/>
          <w:marRight w:val="0"/>
          <w:marTop w:val="0"/>
          <w:marBottom w:val="0"/>
          <w:divBdr>
            <w:top w:val="none" w:sz="0" w:space="0" w:color="auto"/>
            <w:left w:val="none" w:sz="0" w:space="0" w:color="auto"/>
            <w:bottom w:val="none" w:sz="0" w:space="0" w:color="auto"/>
            <w:right w:val="none" w:sz="0" w:space="0" w:color="auto"/>
          </w:divBdr>
          <w:divsChild>
            <w:div w:id="62720282">
              <w:marLeft w:val="0"/>
              <w:marRight w:val="0"/>
              <w:marTop w:val="0"/>
              <w:marBottom w:val="0"/>
              <w:divBdr>
                <w:top w:val="none" w:sz="0" w:space="0" w:color="auto"/>
                <w:left w:val="none" w:sz="0" w:space="0" w:color="auto"/>
                <w:bottom w:val="none" w:sz="0" w:space="0" w:color="auto"/>
                <w:right w:val="none" w:sz="0" w:space="0" w:color="auto"/>
              </w:divBdr>
              <w:divsChild>
                <w:div w:id="118257229">
                  <w:marLeft w:val="0"/>
                  <w:marRight w:val="0"/>
                  <w:marTop w:val="0"/>
                  <w:marBottom w:val="0"/>
                  <w:divBdr>
                    <w:top w:val="none" w:sz="0" w:space="0" w:color="auto"/>
                    <w:left w:val="none" w:sz="0" w:space="0" w:color="auto"/>
                    <w:bottom w:val="none" w:sz="0" w:space="0" w:color="auto"/>
                    <w:right w:val="none" w:sz="0" w:space="0" w:color="auto"/>
                  </w:divBdr>
                  <w:divsChild>
                    <w:div w:id="426658671">
                      <w:marLeft w:val="0"/>
                      <w:marRight w:val="0"/>
                      <w:marTop w:val="0"/>
                      <w:marBottom w:val="0"/>
                      <w:divBdr>
                        <w:top w:val="none" w:sz="0" w:space="0" w:color="auto"/>
                        <w:left w:val="none" w:sz="0" w:space="0" w:color="auto"/>
                        <w:bottom w:val="none" w:sz="0" w:space="0" w:color="auto"/>
                        <w:right w:val="none" w:sz="0" w:space="0" w:color="auto"/>
                      </w:divBdr>
                      <w:divsChild>
                        <w:div w:id="15625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630076">
      <w:bodyDiv w:val="1"/>
      <w:marLeft w:val="0"/>
      <w:marRight w:val="0"/>
      <w:marTop w:val="0"/>
      <w:marBottom w:val="0"/>
      <w:divBdr>
        <w:top w:val="none" w:sz="0" w:space="0" w:color="auto"/>
        <w:left w:val="none" w:sz="0" w:space="0" w:color="auto"/>
        <w:bottom w:val="none" w:sz="0" w:space="0" w:color="auto"/>
        <w:right w:val="none" w:sz="0" w:space="0" w:color="auto"/>
      </w:divBdr>
    </w:div>
    <w:div w:id="1056972162">
      <w:bodyDiv w:val="1"/>
      <w:marLeft w:val="0"/>
      <w:marRight w:val="0"/>
      <w:marTop w:val="0"/>
      <w:marBottom w:val="0"/>
      <w:divBdr>
        <w:top w:val="none" w:sz="0" w:space="0" w:color="auto"/>
        <w:left w:val="none" w:sz="0" w:space="0" w:color="auto"/>
        <w:bottom w:val="none" w:sz="0" w:space="0" w:color="auto"/>
        <w:right w:val="none" w:sz="0" w:space="0" w:color="auto"/>
      </w:divBdr>
      <w:divsChild>
        <w:div w:id="248775638">
          <w:marLeft w:val="0"/>
          <w:marRight w:val="0"/>
          <w:marTop w:val="0"/>
          <w:marBottom w:val="0"/>
          <w:divBdr>
            <w:top w:val="none" w:sz="0" w:space="0" w:color="auto"/>
            <w:left w:val="none" w:sz="0" w:space="0" w:color="auto"/>
            <w:bottom w:val="none" w:sz="0" w:space="0" w:color="auto"/>
            <w:right w:val="none" w:sz="0" w:space="0" w:color="auto"/>
          </w:divBdr>
          <w:divsChild>
            <w:div w:id="109011612">
              <w:marLeft w:val="0"/>
              <w:marRight w:val="0"/>
              <w:marTop w:val="0"/>
              <w:marBottom w:val="0"/>
              <w:divBdr>
                <w:top w:val="none" w:sz="0" w:space="0" w:color="auto"/>
                <w:left w:val="none" w:sz="0" w:space="0" w:color="auto"/>
                <w:bottom w:val="none" w:sz="0" w:space="0" w:color="auto"/>
                <w:right w:val="none" w:sz="0" w:space="0" w:color="auto"/>
              </w:divBdr>
              <w:divsChild>
                <w:div w:id="1715546705">
                  <w:marLeft w:val="0"/>
                  <w:marRight w:val="0"/>
                  <w:marTop w:val="0"/>
                  <w:marBottom w:val="0"/>
                  <w:divBdr>
                    <w:top w:val="none" w:sz="0" w:space="0" w:color="auto"/>
                    <w:left w:val="none" w:sz="0" w:space="0" w:color="auto"/>
                    <w:bottom w:val="none" w:sz="0" w:space="0" w:color="auto"/>
                    <w:right w:val="none" w:sz="0" w:space="0" w:color="auto"/>
                  </w:divBdr>
                  <w:divsChild>
                    <w:div w:id="801314683">
                      <w:marLeft w:val="0"/>
                      <w:marRight w:val="0"/>
                      <w:marTop w:val="0"/>
                      <w:marBottom w:val="0"/>
                      <w:divBdr>
                        <w:top w:val="none" w:sz="0" w:space="0" w:color="auto"/>
                        <w:left w:val="none" w:sz="0" w:space="0" w:color="auto"/>
                        <w:bottom w:val="none" w:sz="0" w:space="0" w:color="auto"/>
                        <w:right w:val="none" w:sz="0" w:space="0" w:color="auto"/>
                      </w:divBdr>
                      <w:divsChild>
                        <w:div w:id="13382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882697">
      <w:bodyDiv w:val="1"/>
      <w:marLeft w:val="0"/>
      <w:marRight w:val="0"/>
      <w:marTop w:val="0"/>
      <w:marBottom w:val="0"/>
      <w:divBdr>
        <w:top w:val="none" w:sz="0" w:space="0" w:color="auto"/>
        <w:left w:val="none" w:sz="0" w:space="0" w:color="auto"/>
        <w:bottom w:val="none" w:sz="0" w:space="0" w:color="auto"/>
        <w:right w:val="none" w:sz="0" w:space="0" w:color="auto"/>
      </w:divBdr>
      <w:divsChild>
        <w:div w:id="188111179">
          <w:marLeft w:val="0"/>
          <w:marRight w:val="0"/>
          <w:marTop w:val="0"/>
          <w:marBottom w:val="0"/>
          <w:divBdr>
            <w:top w:val="none" w:sz="0" w:space="0" w:color="auto"/>
            <w:left w:val="none" w:sz="0" w:space="0" w:color="auto"/>
            <w:bottom w:val="none" w:sz="0" w:space="0" w:color="auto"/>
            <w:right w:val="none" w:sz="0" w:space="0" w:color="auto"/>
          </w:divBdr>
          <w:divsChild>
            <w:div w:id="2082556536">
              <w:marLeft w:val="0"/>
              <w:marRight w:val="0"/>
              <w:marTop w:val="0"/>
              <w:marBottom w:val="0"/>
              <w:divBdr>
                <w:top w:val="none" w:sz="0" w:space="0" w:color="auto"/>
                <w:left w:val="none" w:sz="0" w:space="0" w:color="auto"/>
                <w:bottom w:val="none" w:sz="0" w:space="0" w:color="auto"/>
                <w:right w:val="none" w:sz="0" w:space="0" w:color="auto"/>
              </w:divBdr>
              <w:divsChild>
                <w:div w:id="1196651922">
                  <w:marLeft w:val="0"/>
                  <w:marRight w:val="0"/>
                  <w:marTop w:val="0"/>
                  <w:marBottom w:val="0"/>
                  <w:divBdr>
                    <w:top w:val="none" w:sz="0" w:space="0" w:color="auto"/>
                    <w:left w:val="none" w:sz="0" w:space="0" w:color="auto"/>
                    <w:bottom w:val="none" w:sz="0" w:space="0" w:color="auto"/>
                    <w:right w:val="none" w:sz="0" w:space="0" w:color="auto"/>
                  </w:divBdr>
                  <w:divsChild>
                    <w:div w:id="246961467">
                      <w:marLeft w:val="0"/>
                      <w:marRight w:val="0"/>
                      <w:marTop w:val="0"/>
                      <w:marBottom w:val="0"/>
                      <w:divBdr>
                        <w:top w:val="none" w:sz="0" w:space="0" w:color="auto"/>
                        <w:left w:val="none" w:sz="0" w:space="0" w:color="auto"/>
                        <w:bottom w:val="none" w:sz="0" w:space="0" w:color="auto"/>
                        <w:right w:val="none" w:sz="0" w:space="0" w:color="auto"/>
                      </w:divBdr>
                      <w:divsChild>
                        <w:div w:id="20556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84766">
      <w:bodyDiv w:val="1"/>
      <w:marLeft w:val="0"/>
      <w:marRight w:val="0"/>
      <w:marTop w:val="0"/>
      <w:marBottom w:val="0"/>
      <w:divBdr>
        <w:top w:val="none" w:sz="0" w:space="0" w:color="auto"/>
        <w:left w:val="none" w:sz="0" w:space="0" w:color="auto"/>
        <w:bottom w:val="none" w:sz="0" w:space="0" w:color="auto"/>
        <w:right w:val="none" w:sz="0" w:space="0" w:color="auto"/>
      </w:divBdr>
      <w:divsChild>
        <w:div w:id="2007901135">
          <w:marLeft w:val="0"/>
          <w:marRight w:val="0"/>
          <w:marTop w:val="0"/>
          <w:marBottom w:val="0"/>
          <w:divBdr>
            <w:top w:val="none" w:sz="0" w:space="0" w:color="auto"/>
            <w:left w:val="none" w:sz="0" w:space="0" w:color="auto"/>
            <w:bottom w:val="none" w:sz="0" w:space="0" w:color="auto"/>
            <w:right w:val="none" w:sz="0" w:space="0" w:color="auto"/>
          </w:divBdr>
          <w:divsChild>
            <w:div w:id="84546317">
              <w:marLeft w:val="0"/>
              <w:marRight w:val="0"/>
              <w:marTop w:val="0"/>
              <w:marBottom w:val="0"/>
              <w:divBdr>
                <w:top w:val="none" w:sz="0" w:space="0" w:color="auto"/>
                <w:left w:val="none" w:sz="0" w:space="0" w:color="auto"/>
                <w:bottom w:val="none" w:sz="0" w:space="0" w:color="auto"/>
                <w:right w:val="none" w:sz="0" w:space="0" w:color="auto"/>
              </w:divBdr>
              <w:divsChild>
                <w:div w:id="2083671012">
                  <w:marLeft w:val="0"/>
                  <w:marRight w:val="0"/>
                  <w:marTop w:val="0"/>
                  <w:marBottom w:val="0"/>
                  <w:divBdr>
                    <w:top w:val="none" w:sz="0" w:space="0" w:color="auto"/>
                    <w:left w:val="none" w:sz="0" w:space="0" w:color="auto"/>
                    <w:bottom w:val="none" w:sz="0" w:space="0" w:color="auto"/>
                    <w:right w:val="none" w:sz="0" w:space="0" w:color="auto"/>
                  </w:divBdr>
                  <w:divsChild>
                    <w:div w:id="689843260">
                      <w:marLeft w:val="0"/>
                      <w:marRight w:val="0"/>
                      <w:marTop w:val="0"/>
                      <w:marBottom w:val="0"/>
                      <w:divBdr>
                        <w:top w:val="none" w:sz="0" w:space="0" w:color="auto"/>
                        <w:left w:val="none" w:sz="0" w:space="0" w:color="auto"/>
                        <w:bottom w:val="none" w:sz="0" w:space="0" w:color="auto"/>
                        <w:right w:val="none" w:sz="0" w:space="0" w:color="auto"/>
                      </w:divBdr>
                      <w:divsChild>
                        <w:div w:id="5584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3956">
      <w:bodyDiv w:val="1"/>
      <w:marLeft w:val="0"/>
      <w:marRight w:val="0"/>
      <w:marTop w:val="0"/>
      <w:marBottom w:val="0"/>
      <w:divBdr>
        <w:top w:val="none" w:sz="0" w:space="0" w:color="auto"/>
        <w:left w:val="none" w:sz="0" w:space="0" w:color="auto"/>
        <w:bottom w:val="none" w:sz="0" w:space="0" w:color="auto"/>
        <w:right w:val="none" w:sz="0" w:space="0" w:color="auto"/>
      </w:divBdr>
    </w:div>
    <w:div w:id="1771318635">
      <w:bodyDiv w:val="1"/>
      <w:marLeft w:val="0"/>
      <w:marRight w:val="0"/>
      <w:marTop w:val="0"/>
      <w:marBottom w:val="0"/>
      <w:divBdr>
        <w:top w:val="none" w:sz="0" w:space="0" w:color="auto"/>
        <w:left w:val="none" w:sz="0" w:space="0" w:color="auto"/>
        <w:bottom w:val="none" w:sz="0" w:space="0" w:color="auto"/>
        <w:right w:val="none" w:sz="0" w:space="0" w:color="auto"/>
      </w:divBdr>
      <w:divsChild>
        <w:div w:id="2052342631">
          <w:marLeft w:val="0"/>
          <w:marRight w:val="0"/>
          <w:marTop w:val="0"/>
          <w:marBottom w:val="0"/>
          <w:divBdr>
            <w:top w:val="none" w:sz="0" w:space="0" w:color="auto"/>
            <w:left w:val="none" w:sz="0" w:space="0" w:color="auto"/>
            <w:bottom w:val="none" w:sz="0" w:space="0" w:color="auto"/>
            <w:right w:val="none" w:sz="0" w:space="0" w:color="auto"/>
          </w:divBdr>
          <w:divsChild>
            <w:div w:id="431054581">
              <w:marLeft w:val="0"/>
              <w:marRight w:val="0"/>
              <w:marTop w:val="0"/>
              <w:marBottom w:val="0"/>
              <w:divBdr>
                <w:top w:val="none" w:sz="0" w:space="0" w:color="auto"/>
                <w:left w:val="none" w:sz="0" w:space="0" w:color="auto"/>
                <w:bottom w:val="none" w:sz="0" w:space="0" w:color="auto"/>
                <w:right w:val="none" w:sz="0" w:space="0" w:color="auto"/>
              </w:divBdr>
              <w:divsChild>
                <w:div w:id="1253706857">
                  <w:marLeft w:val="0"/>
                  <w:marRight w:val="0"/>
                  <w:marTop w:val="0"/>
                  <w:marBottom w:val="0"/>
                  <w:divBdr>
                    <w:top w:val="none" w:sz="0" w:space="0" w:color="auto"/>
                    <w:left w:val="none" w:sz="0" w:space="0" w:color="auto"/>
                    <w:bottom w:val="none" w:sz="0" w:space="0" w:color="auto"/>
                    <w:right w:val="none" w:sz="0" w:space="0" w:color="auto"/>
                  </w:divBdr>
                  <w:divsChild>
                    <w:div w:id="933976299">
                      <w:marLeft w:val="0"/>
                      <w:marRight w:val="0"/>
                      <w:marTop w:val="0"/>
                      <w:marBottom w:val="0"/>
                      <w:divBdr>
                        <w:top w:val="none" w:sz="0" w:space="0" w:color="auto"/>
                        <w:left w:val="none" w:sz="0" w:space="0" w:color="auto"/>
                        <w:bottom w:val="none" w:sz="0" w:space="0" w:color="auto"/>
                        <w:right w:val="none" w:sz="0" w:space="0" w:color="auto"/>
                      </w:divBdr>
                      <w:divsChild>
                        <w:div w:id="1279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mailto:jasongreen@hwlochner.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dboulton@utah.gov" TargetMode="External"/><Relationship Id="rId7" Type="http://schemas.openxmlformats.org/officeDocument/2006/relationships/endnotes" Target="endnotes.xml"/><Relationship Id="rId12" Type="http://schemas.openxmlformats.org/officeDocument/2006/relationships/hyperlink" Target="http://www.udot.utah.gov/main/uconowner.gf?n=139063807119540018" TargetMode="External"/><Relationship Id="rId17" Type="http://schemas.openxmlformats.org/officeDocument/2006/relationships/hyperlink" Target="mailto:kgarner@utah.go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crawford@udot.gov" TargetMode="External"/><Relationship Id="rId20" Type="http://schemas.openxmlformats.org/officeDocument/2006/relationships/hyperlink" Target="mailto:cmeredith@utah.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amber.ontiveros@fta.dot.gov" TargetMode="External"/><Relationship Id="rId5" Type="http://schemas.openxmlformats.org/officeDocument/2006/relationships/webSettings" Target="webSettings.xml"/><Relationship Id="rId15" Type="http://schemas.openxmlformats.org/officeDocument/2006/relationships/hyperlink" Target="mailto:mmullalkhel@utah.gov" TargetMode="External"/><Relationship Id="rId23" Type="http://schemas.openxmlformats.org/officeDocument/2006/relationships/hyperlink" Target="mailto:dgraham@utah.gov" TargetMode="Externa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mailto:tracyyoung@utah.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gibson@utah.gov" TargetMode="External"/><Relationship Id="rId22" Type="http://schemas.openxmlformats.org/officeDocument/2006/relationships/hyperlink" Target="mailto:ghettrick@utah.gov"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8DC4-512F-4D09-927C-397676A3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46</Pages>
  <Words>10810</Words>
  <Characters>61621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
  <LinksUpToDate>false</LinksUpToDate>
  <CharactersWithSpaces>72287</CharactersWithSpaces>
  <SharedDoc>false</SharedDoc>
  <HLinks>
    <vt:vector size="6" baseType="variant">
      <vt:variant>
        <vt:i4>8192127</vt:i4>
      </vt:variant>
      <vt:variant>
        <vt:i4>63</vt:i4>
      </vt:variant>
      <vt:variant>
        <vt:i4>0</vt:i4>
      </vt:variant>
      <vt:variant>
        <vt:i4>5</vt:i4>
      </vt:variant>
      <vt:variant>
        <vt:lpwstr>http://hawaii.gov/dot/administration/ocr/title6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Maxine927</cp:lastModifiedBy>
  <cp:revision>4</cp:revision>
  <cp:lastPrinted>2010-08-03T17:46:00Z</cp:lastPrinted>
  <dcterms:created xsi:type="dcterms:W3CDTF">2010-11-27T20:19:00Z</dcterms:created>
  <dcterms:modified xsi:type="dcterms:W3CDTF">2010-11-30T19:10:00Z</dcterms:modified>
</cp:coreProperties>
</file>